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05" w:rsidRPr="002B1987" w:rsidRDefault="00C05505" w:rsidP="00C05505">
      <w:pPr>
        <w:pageBreakBefore/>
        <w:spacing w:after="120"/>
        <w:jc w:val="center"/>
        <w:rPr>
          <w:color w:val="000000"/>
        </w:rPr>
      </w:pPr>
      <w:bookmarkStart w:id="0" w:name="_GoBack"/>
      <w:bookmarkEnd w:id="0"/>
      <w:r w:rsidRPr="002B1987">
        <w:rPr>
          <w:rFonts w:ascii="Arial" w:hAnsi="Arial" w:cs="Arial"/>
          <w:b/>
          <w:bCs/>
          <w:color w:val="000000"/>
        </w:rPr>
        <w:t>МЕТОДОЛОГИЧЕСКИЕ ПОЯСНЕНИЯ</w:t>
      </w:r>
    </w:p>
    <w:p w:rsidR="00C05505" w:rsidRPr="002B1987" w:rsidRDefault="00C05505" w:rsidP="00C05505">
      <w:pPr>
        <w:ind w:firstLine="284"/>
        <w:jc w:val="both"/>
        <w:rPr>
          <w:color w:val="000000"/>
        </w:rPr>
      </w:pPr>
      <w:r w:rsidRPr="002B1987">
        <w:rPr>
          <w:rFonts w:ascii="Arial" w:hAnsi="Arial" w:cs="Arial"/>
          <w:b/>
          <w:bCs/>
          <w:color w:val="000000"/>
          <w:sz w:val="16"/>
          <w:szCs w:val="16"/>
        </w:rPr>
        <w:t xml:space="preserve">Табл. </w:t>
      </w:r>
      <w:r w:rsidR="00F1678E">
        <w:rPr>
          <w:rFonts w:ascii="Arial" w:hAnsi="Arial" w:cs="Arial"/>
          <w:b/>
          <w:bCs/>
          <w:color w:val="000000"/>
          <w:sz w:val="16"/>
          <w:szCs w:val="16"/>
        </w:rPr>
        <w:t>18.</w:t>
      </w:r>
      <w:r w:rsidRPr="002B1987">
        <w:rPr>
          <w:rFonts w:ascii="Arial" w:hAnsi="Arial" w:cs="Arial"/>
          <w:b/>
          <w:bCs/>
          <w:color w:val="000000"/>
          <w:sz w:val="16"/>
          <w:szCs w:val="16"/>
        </w:rPr>
        <w:t>1</w:t>
      </w:r>
      <w:r w:rsidR="007B5331">
        <w:rPr>
          <w:rFonts w:ascii="Arial" w:hAnsi="Arial" w:cs="Arial"/>
          <w:b/>
          <w:bCs/>
          <w:color w:val="000000"/>
          <w:sz w:val="16"/>
          <w:szCs w:val="16"/>
        </w:rPr>
        <w:t xml:space="preserve"> </w:t>
      </w:r>
      <w:r w:rsidR="008032E1">
        <w:rPr>
          <w:rFonts w:ascii="Arial" w:hAnsi="Arial" w:cs="Arial"/>
          <w:b/>
          <w:bCs/>
          <w:color w:val="000000"/>
          <w:sz w:val="16"/>
          <w:szCs w:val="16"/>
        </w:rPr>
        <w:t>–</w:t>
      </w:r>
      <w:r w:rsidR="007B5331">
        <w:rPr>
          <w:rFonts w:ascii="Arial" w:hAnsi="Arial" w:cs="Arial"/>
          <w:b/>
          <w:bCs/>
          <w:color w:val="000000"/>
          <w:sz w:val="16"/>
          <w:szCs w:val="16"/>
        </w:rPr>
        <w:t xml:space="preserve"> </w:t>
      </w:r>
      <w:r w:rsidR="00F1678E">
        <w:rPr>
          <w:rFonts w:ascii="Arial" w:hAnsi="Arial" w:cs="Arial"/>
          <w:b/>
          <w:bCs/>
          <w:color w:val="000000"/>
          <w:sz w:val="16"/>
          <w:szCs w:val="16"/>
        </w:rPr>
        <w:t>18.</w:t>
      </w:r>
      <w:r w:rsidRPr="002B1987">
        <w:rPr>
          <w:rFonts w:ascii="Arial" w:hAnsi="Arial" w:cs="Arial"/>
          <w:b/>
          <w:bCs/>
          <w:color w:val="000000"/>
          <w:sz w:val="16"/>
          <w:szCs w:val="16"/>
        </w:rPr>
        <w:t>2.</w:t>
      </w:r>
      <w:r w:rsidRPr="002B1987">
        <w:rPr>
          <w:rFonts w:ascii="Arial" w:hAnsi="Arial" w:cs="Arial"/>
          <w:color w:val="000000"/>
          <w:sz w:val="16"/>
          <w:szCs w:val="16"/>
        </w:rPr>
        <w:t xml:space="preserve"> </w:t>
      </w:r>
      <w:r w:rsidRPr="002B1987">
        <w:rPr>
          <w:rFonts w:ascii="Arial" w:hAnsi="Arial" w:cs="Arial"/>
          <w:b/>
          <w:bCs/>
          <w:color w:val="000000"/>
          <w:sz w:val="16"/>
          <w:szCs w:val="16"/>
        </w:rPr>
        <w:t>Объем выполненных работ по виду экономической деятельности "Строительство"</w:t>
      </w:r>
      <w:r w:rsidRPr="002B1987">
        <w:rPr>
          <w:rFonts w:ascii="Arial" w:hAnsi="Arial" w:cs="Arial"/>
          <w:color w:val="000000"/>
          <w:sz w:val="16"/>
          <w:szCs w:val="16"/>
        </w:rPr>
        <w:t xml:space="preserve"> – это строительные работы, выполненные организациями собственными силами на основании договоров и (или) контрактов, заключаемых </w:t>
      </w:r>
      <w:r w:rsidR="0090383D">
        <w:rPr>
          <w:rFonts w:ascii="Arial" w:hAnsi="Arial" w:cs="Arial"/>
          <w:color w:val="000000"/>
          <w:sz w:val="16"/>
          <w:szCs w:val="16"/>
        </w:rPr>
        <w:br/>
      </w:r>
      <w:r w:rsidRPr="002B1987">
        <w:rPr>
          <w:rFonts w:ascii="Arial" w:hAnsi="Arial" w:cs="Arial"/>
          <w:color w:val="000000"/>
          <w:sz w:val="16"/>
          <w:szCs w:val="16"/>
        </w:rPr>
        <w:t>с заказчиками, а также работы</w:t>
      </w:r>
      <w:r w:rsidR="00BF5E1D" w:rsidRPr="002B1987">
        <w:rPr>
          <w:rFonts w:ascii="Arial" w:hAnsi="Arial" w:cs="Arial"/>
          <w:color w:val="000000"/>
          <w:sz w:val="16"/>
          <w:szCs w:val="16"/>
        </w:rPr>
        <w:t>,</w:t>
      </w:r>
      <w:r w:rsidRPr="002B1987">
        <w:rPr>
          <w:rFonts w:ascii="Arial" w:hAnsi="Arial" w:cs="Arial"/>
          <w:color w:val="000000"/>
          <w:sz w:val="16"/>
          <w:szCs w:val="16"/>
        </w:rPr>
        <w:t xml:space="preserve"> выполненные хозяйственным способом организациями</w:t>
      </w:r>
      <w:r w:rsidR="009018B1" w:rsidRPr="009018B1">
        <w:rPr>
          <w:rFonts w:ascii="Arial" w:hAnsi="Arial" w:cs="Arial"/>
          <w:color w:val="000000"/>
          <w:sz w:val="16"/>
          <w:szCs w:val="16"/>
        </w:rPr>
        <w:t xml:space="preserve"> </w:t>
      </w:r>
      <w:r w:rsidR="009018B1">
        <w:rPr>
          <w:rFonts w:ascii="Arial" w:hAnsi="Arial" w:cs="Arial"/>
          <w:color w:val="000000"/>
          <w:sz w:val="16"/>
          <w:szCs w:val="16"/>
        </w:rPr>
        <w:t>(</w:t>
      </w:r>
      <w:r w:rsidR="009018B1" w:rsidRPr="002B1987">
        <w:rPr>
          <w:rFonts w:ascii="Arial" w:hAnsi="Arial" w:cs="Arial"/>
          <w:color w:val="000000"/>
          <w:sz w:val="16"/>
          <w:szCs w:val="16"/>
        </w:rPr>
        <w:t>с 2015 г.</w:t>
      </w:r>
      <w:r w:rsidR="009018B1">
        <w:rPr>
          <w:rFonts w:ascii="Arial" w:hAnsi="Arial" w:cs="Arial"/>
          <w:color w:val="000000"/>
          <w:sz w:val="16"/>
          <w:szCs w:val="16"/>
        </w:rPr>
        <w:t>)</w:t>
      </w:r>
      <w:r w:rsidR="009018B1" w:rsidRPr="002B1987">
        <w:rPr>
          <w:rFonts w:ascii="Arial" w:hAnsi="Arial" w:cs="Arial"/>
          <w:color w:val="000000"/>
          <w:sz w:val="16"/>
          <w:szCs w:val="16"/>
        </w:rPr>
        <w:t xml:space="preserve"> </w:t>
      </w:r>
      <w:r w:rsidRPr="002B1987">
        <w:rPr>
          <w:rFonts w:ascii="Arial" w:hAnsi="Arial" w:cs="Arial"/>
          <w:color w:val="000000"/>
          <w:sz w:val="16"/>
          <w:szCs w:val="16"/>
        </w:rPr>
        <w:t xml:space="preserve"> и населением. </w:t>
      </w:r>
    </w:p>
    <w:p w:rsidR="00C05505" w:rsidRPr="002B1987" w:rsidRDefault="00C05505" w:rsidP="00C05505">
      <w:pPr>
        <w:ind w:firstLine="284"/>
        <w:jc w:val="both"/>
        <w:rPr>
          <w:color w:val="000000"/>
        </w:rPr>
      </w:pPr>
      <w:r w:rsidRPr="001A351D">
        <w:rPr>
          <w:rFonts w:ascii="Arial" w:hAnsi="Arial" w:cs="Arial"/>
          <w:color w:val="000000"/>
          <w:spacing w:val="-2"/>
          <w:sz w:val="16"/>
          <w:szCs w:val="16"/>
        </w:rPr>
        <w:t>В стоимость этих работ включаются работы по строительству новых объектов, капитальному и текущему ремонту, реконструкции</w:t>
      </w:r>
      <w:r w:rsidRPr="002B1987">
        <w:rPr>
          <w:rFonts w:ascii="Arial" w:hAnsi="Arial" w:cs="Arial"/>
          <w:color w:val="000000"/>
          <w:sz w:val="16"/>
          <w:szCs w:val="16"/>
        </w:rPr>
        <w:t xml:space="preserve"> жилых и нежилых зданий и инженерных сооружений.</w:t>
      </w:r>
    </w:p>
    <w:p w:rsidR="00C05505" w:rsidRPr="002B1987" w:rsidRDefault="00C05505" w:rsidP="00C05505">
      <w:pPr>
        <w:ind w:firstLine="284"/>
        <w:jc w:val="both"/>
        <w:rPr>
          <w:color w:val="000000"/>
        </w:rPr>
      </w:pPr>
      <w:r w:rsidRPr="002B1987">
        <w:rPr>
          <w:rFonts w:ascii="Arial" w:hAnsi="Arial" w:cs="Arial"/>
          <w:color w:val="000000"/>
          <w:sz w:val="16"/>
          <w:szCs w:val="16"/>
        </w:rPr>
        <w:t xml:space="preserve">Показатель «Объем работ по виду деятельности «Строительство» по полному кругу хозяйствующих субъектов формируется как сумма данных по организациям, не относящимся к субъектам малого предпринимательства, по малым и </w:t>
      </w:r>
      <w:proofErr w:type="spellStart"/>
      <w:r w:rsidRPr="002B1987">
        <w:rPr>
          <w:rFonts w:ascii="Arial" w:hAnsi="Arial" w:cs="Arial"/>
          <w:color w:val="000000"/>
          <w:sz w:val="16"/>
          <w:szCs w:val="16"/>
        </w:rPr>
        <w:t>микропредприятиям</w:t>
      </w:r>
      <w:proofErr w:type="spellEnd"/>
      <w:r w:rsidRPr="002B1987">
        <w:rPr>
          <w:rFonts w:ascii="Arial" w:hAnsi="Arial" w:cs="Arial"/>
          <w:color w:val="000000"/>
          <w:sz w:val="16"/>
          <w:szCs w:val="16"/>
        </w:rPr>
        <w:t xml:space="preserve"> </w:t>
      </w:r>
      <w:r w:rsidR="00BF2C87">
        <w:rPr>
          <w:rFonts w:ascii="Arial" w:hAnsi="Arial" w:cs="Arial"/>
          <w:color w:val="000000"/>
          <w:sz w:val="16"/>
          <w:szCs w:val="16"/>
        </w:rPr>
        <w:br/>
      </w:r>
      <w:r w:rsidR="001A351D" w:rsidRPr="002B1987">
        <w:rPr>
          <w:rFonts w:ascii="Arial" w:hAnsi="Arial" w:cs="Arial"/>
          <w:color w:val="000000"/>
          <w:sz w:val="16"/>
          <w:szCs w:val="16"/>
        </w:rPr>
        <w:t xml:space="preserve">и </w:t>
      </w:r>
      <w:r w:rsidRPr="002B1987">
        <w:rPr>
          <w:rFonts w:ascii="Arial" w:hAnsi="Arial" w:cs="Arial"/>
          <w:color w:val="000000"/>
          <w:sz w:val="16"/>
          <w:szCs w:val="16"/>
        </w:rPr>
        <w:t>с учетом деятельности, не наблюдаемой прямыми статистическими методами.</w:t>
      </w:r>
    </w:p>
    <w:p w:rsidR="00C05505" w:rsidRPr="002B1987" w:rsidRDefault="00C05505" w:rsidP="00C05505">
      <w:pPr>
        <w:ind w:firstLine="284"/>
        <w:jc w:val="both"/>
        <w:rPr>
          <w:color w:val="000000"/>
        </w:rPr>
      </w:pPr>
      <w:r w:rsidRPr="002B1987">
        <w:rPr>
          <w:rFonts w:ascii="Arial" w:hAnsi="Arial" w:cs="Arial"/>
          <w:color w:val="000000"/>
          <w:sz w:val="16"/>
          <w:szCs w:val="16"/>
        </w:rPr>
        <w:t>Индексы физического объема работ рассчитаны в сопоставимых ценах.</w:t>
      </w:r>
    </w:p>
    <w:p w:rsidR="00C05505" w:rsidRPr="002B1987" w:rsidRDefault="00C05505" w:rsidP="00C05505">
      <w:pPr>
        <w:ind w:firstLine="284"/>
        <w:jc w:val="both"/>
        <w:rPr>
          <w:rFonts w:ascii="Arial" w:hAnsi="Arial" w:cs="Arial"/>
          <w:color w:val="000000"/>
          <w:sz w:val="16"/>
          <w:szCs w:val="16"/>
        </w:rPr>
      </w:pPr>
      <w:r w:rsidRPr="002B1987">
        <w:rPr>
          <w:rFonts w:ascii="Arial" w:hAnsi="Arial" w:cs="Arial"/>
          <w:b/>
          <w:bCs/>
          <w:color w:val="000000"/>
          <w:sz w:val="16"/>
          <w:szCs w:val="16"/>
        </w:rPr>
        <w:t xml:space="preserve">Табл. </w:t>
      </w:r>
      <w:r w:rsidR="00F1678E">
        <w:rPr>
          <w:rFonts w:ascii="Arial" w:hAnsi="Arial" w:cs="Arial"/>
          <w:b/>
          <w:bCs/>
          <w:sz w:val="16"/>
          <w:szCs w:val="16"/>
        </w:rPr>
        <w:t>18.</w:t>
      </w:r>
      <w:r w:rsidR="0065797A" w:rsidRPr="0065797A">
        <w:rPr>
          <w:rFonts w:ascii="Arial" w:hAnsi="Arial" w:cs="Arial"/>
          <w:b/>
          <w:bCs/>
          <w:sz w:val="16"/>
          <w:szCs w:val="16"/>
        </w:rPr>
        <w:t xml:space="preserve">7, </w:t>
      </w:r>
      <w:r w:rsidR="00F1678E">
        <w:rPr>
          <w:rFonts w:ascii="Arial" w:hAnsi="Arial" w:cs="Arial"/>
          <w:b/>
          <w:bCs/>
          <w:sz w:val="16"/>
          <w:szCs w:val="16"/>
        </w:rPr>
        <w:t>18.</w:t>
      </w:r>
      <w:r w:rsidR="0065797A" w:rsidRPr="0065797A">
        <w:rPr>
          <w:rFonts w:ascii="Arial" w:hAnsi="Arial" w:cs="Arial"/>
          <w:b/>
          <w:bCs/>
          <w:sz w:val="16"/>
          <w:szCs w:val="16"/>
        </w:rPr>
        <w:t xml:space="preserve">14, </w:t>
      </w:r>
      <w:r w:rsidR="00F1678E">
        <w:rPr>
          <w:rFonts w:ascii="Arial" w:hAnsi="Arial" w:cs="Arial"/>
          <w:b/>
          <w:bCs/>
          <w:sz w:val="16"/>
          <w:szCs w:val="16"/>
        </w:rPr>
        <w:t>18.</w:t>
      </w:r>
      <w:r w:rsidR="0065797A" w:rsidRPr="0065797A">
        <w:rPr>
          <w:rFonts w:ascii="Arial" w:hAnsi="Arial" w:cs="Arial"/>
          <w:b/>
          <w:bCs/>
          <w:sz w:val="16"/>
          <w:szCs w:val="16"/>
        </w:rPr>
        <w:t>15</w:t>
      </w:r>
      <w:r w:rsidRPr="002B1987">
        <w:rPr>
          <w:rFonts w:ascii="Arial" w:hAnsi="Arial" w:cs="Arial"/>
          <w:b/>
          <w:bCs/>
          <w:color w:val="000000"/>
          <w:sz w:val="16"/>
          <w:szCs w:val="16"/>
        </w:rPr>
        <w:t>.</w:t>
      </w:r>
      <w:r w:rsidRPr="002B1987">
        <w:rPr>
          <w:rFonts w:ascii="Arial" w:hAnsi="Arial" w:cs="Arial"/>
          <w:color w:val="000000"/>
          <w:sz w:val="16"/>
          <w:szCs w:val="16"/>
        </w:rPr>
        <w:t xml:space="preserve"> </w:t>
      </w:r>
      <w:r w:rsidRPr="002B1987">
        <w:rPr>
          <w:rFonts w:ascii="Arial" w:hAnsi="Arial" w:cs="Arial"/>
          <w:b/>
          <w:bCs/>
          <w:color w:val="000000"/>
          <w:sz w:val="16"/>
          <w:szCs w:val="16"/>
        </w:rPr>
        <w:t>Ввод в действие мощностей</w:t>
      </w:r>
      <w:r w:rsidRPr="002B1987">
        <w:rPr>
          <w:rFonts w:ascii="Arial" w:hAnsi="Arial" w:cs="Arial"/>
          <w:color w:val="000000"/>
          <w:sz w:val="16"/>
          <w:szCs w:val="16"/>
        </w:rPr>
        <w:t xml:space="preserve"> – показатель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 Введенные в эксплуатацию объекты (мощности) показываются в размерах, указанных в разрешениях на ввод объектов (мощностей) </w:t>
      </w:r>
      <w:r w:rsidR="00CB3A2D" w:rsidRPr="00CB3A2D">
        <w:rPr>
          <w:rFonts w:ascii="Arial" w:hAnsi="Arial" w:cs="Arial"/>
          <w:color w:val="000000"/>
          <w:sz w:val="16"/>
          <w:szCs w:val="16"/>
        </w:rPr>
        <w:br/>
      </w:r>
      <w:r w:rsidRPr="002B1987">
        <w:rPr>
          <w:rFonts w:ascii="Arial" w:hAnsi="Arial" w:cs="Arial"/>
          <w:color w:val="000000"/>
          <w:sz w:val="16"/>
          <w:szCs w:val="16"/>
        </w:rPr>
        <w:t xml:space="preserve">в эксплуатацию, оформленных в установленном порядке в соответствии с действующим законодательством Российской </w:t>
      </w:r>
      <w:r w:rsidR="00CB3A2D" w:rsidRPr="00CB3A2D">
        <w:rPr>
          <w:rFonts w:ascii="Arial" w:hAnsi="Arial" w:cs="Arial"/>
          <w:color w:val="000000"/>
          <w:sz w:val="16"/>
          <w:szCs w:val="16"/>
        </w:rPr>
        <w:br/>
      </w:r>
      <w:r w:rsidRPr="002B1987">
        <w:rPr>
          <w:rFonts w:ascii="Arial" w:hAnsi="Arial" w:cs="Arial"/>
          <w:color w:val="000000"/>
          <w:sz w:val="16"/>
          <w:szCs w:val="16"/>
        </w:rPr>
        <w:t xml:space="preserve">Федерации о градостроительной деятельности. </w:t>
      </w:r>
    </w:p>
    <w:p w:rsidR="00C05505" w:rsidRPr="002B1987" w:rsidRDefault="00C05505" w:rsidP="00C05505">
      <w:pPr>
        <w:ind w:firstLine="284"/>
        <w:jc w:val="both"/>
        <w:rPr>
          <w:color w:val="000000"/>
        </w:rPr>
      </w:pPr>
      <w:r w:rsidRPr="002B1987">
        <w:rPr>
          <w:rFonts w:ascii="Arial" w:hAnsi="Arial" w:cs="Arial"/>
          <w:color w:val="000000"/>
          <w:sz w:val="16"/>
          <w:szCs w:val="16"/>
        </w:rPr>
        <w:t xml:space="preserve">Данные о </w:t>
      </w:r>
      <w:r w:rsidRPr="002B1987">
        <w:rPr>
          <w:rFonts w:ascii="Arial" w:hAnsi="Arial" w:cs="Arial"/>
          <w:b/>
          <w:bCs/>
          <w:color w:val="000000"/>
          <w:sz w:val="16"/>
          <w:szCs w:val="16"/>
        </w:rPr>
        <w:t>вводе в действие мощностей</w:t>
      </w:r>
      <w:r w:rsidRPr="002B1987">
        <w:rPr>
          <w:rFonts w:ascii="Arial" w:hAnsi="Arial" w:cs="Arial"/>
          <w:color w:val="000000"/>
          <w:sz w:val="16"/>
          <w:szCs w:val="16"/>
        </w:rPr>
        <w:t xml:space="preserve"> </w:t>
      </w:r>
      <w:r w:rsidRPr="002B1987">
        <w:rPr>
          <w:rFonts w:ascii="Arial" w:hAnsi="Arial" w:cs="Arial"/>
          <w:b/>
          <w:bCs/>
          <w:color w:val="000000"/>
          <w:sz w:val="16"/>
          <w:szCs w:val="16"/>
        </w:rPr>
        <w:t>и объектов</w:t>
      </w:r>
      <w:r w:rsidRPr="002B1987">
        <w:rPr>
          <w:rFonts w:ascii="Arial" w:hAnsi="Arial" w:cs="Arial"/>
          <w:color w:val="000000"/>
          <w:sz w:val="16"/>
          <w:szCs w:val="16"/>
        </w:rPr>
        <w:t xml:space="preserve"> включают ввод за счет строительства и реконструкции.</w:t>
      </w:r>
    </w:p>
    <w:p w:rsidR="00C05505" w:rsidRPr="002B1987" w:rsidRDefault="00C05505" w:rsidP="00C05505">
      <w:pPr>
        <w:ind w:firstLine="284"/>
        <w:jc w:val="both"/>
        <w:rPr>
          <w:color w:val="000000"/>
        </w:rPr>
      </w:pPr>
      <w:r w:rsidRPr="002B1987">
        <w:rPr>
          <w:rFonts w:ascii="Arial" w:hAnsi="Arial" w:cs="Arial"/>
          <w:b/>
          <w:bCs/>
          <w:color w:val="000000"/>
          <w:sz w:val="16"/>
          <w:szCs w:val="16"/>
        </w:rPr>
        <w:t>Табл</w:t>
      </w:r>
      <w:r w:rsidRPr="0065797A">
        <w:rPr>
          <w:rFonts w:ascii="Arial" w:hAnsi="Arial" w:cs="Arial"/>
          <w:b/>
          <w:bCs/>
          <w:sz w:val="16"/>
          <w:szCs w:val="16"/>
        </w:rPr>
        <w:t xml:space="preserve">. </w:t>
      </w:r>
      <w:r w:rsidR="00F1678E">
        <w:rPr>
          <w:rFonts w:ascii="Arial" w:hAnsi="Arial" w:cs="Arial"/>
          <w:b/>
          <w:bCs/>
          <w:sz w:val="16"/>
          <w:szCs w:val="16"/>
        </w:rPr>
        <w:t>18.</w:t>
      </w:r>
      <w:r w:rsidR="0065797A" w:rsidRPr="0065797A">
        <w:rPr>
          <w:rFonts w:ascii="Arial" w:hAnsi="Arial" w:cs="Arial"/>
          <w:b/>
          <w:bCs/>
          <w:sz w:val="16"/>
          <w:szCs w:val="16"/>
        </w:rPr>
        <w:t>8</w:t>
      </w:r>
      <w:r w:rsidR="007B5331">
        <w:rPr>
          <w:rFonts w:ascii="Arial" w:hAnsi="Arial" w:cs="Arial"/>
          <w:b/>
          <w:bCs/>
          <w:sz w:val="16"/>
          <w:szCs w:val="16"/>
        </w:rPr>
        <w:t xml:space="preserve"> </w:t>
      </w:r>
      <w:r w:rsidR="0065797A" w:rsidRPr="0065797A">
        <w:rPr>
          <w:rFonts w:ascii="Arial" w:hAnsi="Arial" w:cs="Arial"/>
          <w:b/>
          <w:bCs/>
          <w:sz w:val="16"/>
          <w:szCs w:val="16"/>
        </w:rPr>
        <w:t>–</w:t>
      </w:r>
      <w:r w:rsidR="007B5331">
        <w:rPr>
          <w:rFonts w:ascii="Arial" w:hAnsi="Arial" w:cs="Arial"/>
          <w:b/>
          <w:bCs/>
          <w:sz w:val="16"/>
          <w:szCs w:val="16"/>
        </w:rPr>
        <w:t xml:space="preserve"> </w:t>
      </w:r>
      <w:r w:rsidR="00F1678E">
        <w:rPr>
          <w:rFonts w:ascii="Arial" w:hAnsi="Arial" w:cs="Arial"/>
          <w:b/>
          <w:bCs/>
          <w:sz w:val="16"/>
          <w:szCs w:val="16"/>
        </w:rPr>
        <w:t>18.</w:t>
      </w:r>
      <w:r w:rsidR="0065797A" w:rsidRPr="0065797A">
        <w:rPr>
          <w:rFonts w:ascii="Arial" w:hAnsi="Arial" w:cs="Arial"/>
          <w:b/>
          <w:bCs/>
          <w:sz w:val="16"/>
          <w:szCs w:val="16"/>
        </w:rPr>
        <w:t xml:space="preserve">11, </w:t>
      </w:r>
      <w:r w:rsidR="00F1678E">
        <w:rPr>
          <w:rFonts w:ascii="Arial" w:hAnsi="Arial" w:cs="Arial"/>
          <w:b/>
          <w:bCs/>
          <w:sz w:val="16"/>
          <w:szCs w:val="16"/>
        </w:rPr>
        <w:t>18.</w:t>
      </w:r>
      <w:r w:rsidR="0065797A" w:rsidRPr="0065797A">
        <w:rPr>
          <w:rFonts w:ascii="Arial" w:hAnsi="Arial" w:cs="Arial"/>
          <w:b/>
          <w:bCs/>
          <w:sz w:val="16"/>
          <w:szCs w:val="16"/>
        </w:rPr>
        <w:t>13</w:t>
      </w:r>
      <w:r w:rsidRPr="002B1987">
        <w:rPr>
          <w:rFonts w:ascii="Arial" w:hAnsi="Arial" w:cs="Arial"/>
          <w:b/>
          <w:bCs/>
          <w:color w:val="000000"/>
          <w:sz w:val="16"/>
          <w:szCs w:val="16"/>
        </w:rPr>
        <w:t xml:space="preserve">. </w:t>
      </w:r>
      <w:proofErr w:type="gramStart"/>
      <w:r w:rsidRPr="002B1987">
        <w:rPr>
          <w:rFonts w:ascii="Arial" w:hAnsi="Arial" w:cs="Arial"/>
          <w:b/>
          <w:color w:val="000000"/>
          <w:sz w:val="16"/>
          <w:szCs w:val="16"/>
        </w:rPr>
        <w:t>Общая площадь</w:t>
      </w:r>
      <w:r w:rsidRPr="002B1987">
        <w:rPr>
          <w:rFonts w:ascii="Arial" w:hAnsi="Arial" w:cs="Arial"/>
          <w:color w:val="000000"/>
          <w:sz w:val="16"/>
          <w:szCs w:val="16"/>
        </w:rPr>
        <w:t xml:space="preserve"> жилых помещений во введенных в эксплуатацию жилых и нежилых зданиях, жилых домах определяется как сумма площадей всех частей жилых помещений, включая площадь помещений вспомогательного </w:t>
      </w:r>
      <w:r w:rsidR="0090383D">
        <w:rPr>
          <w:rFonts w:ascii="Arial" w:hAnsi="Arial" w:cs="Arial"/>
          <w:color w:val="000000"/>
          <w:sz w:val="16"/>
          <w:szCs w:val="16"/>
        </w:rPr>
        <w:br/>
      </w:r>
      <w:r w:rsidRPr="002B1987">
        <w:rPr>
          <w:rFonts w:ascii="Arial" w:hAnsi="Arial" w:cs="Arial"/>
          <w:color w:val="000000"/>
          <w:sz w:val="16"/>
          <w:szCs w:val="16"/>
        </w:rPr>
        <w:t>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2B1987">
        <w:rPr>
          <w:rFonts w:ascii="Arial" w:hAnsi="Arial" w:cs="Arial"/>
          <w:color w:val="000000"/>
          <w:sz w:val="16"/>
          <w:szCs w:val="16"/>
        </w:rPr>
        <w:t xml:space="preserve"> населением индивидуальных жилых </w:t>
      </w:r>
      <w:proofErr w:type="gramStart"/>
      <w:r w:rsidRPr="002B1987">
        <w:rPr>
          <w:rFonts w:ascii="Arial" w:hAnsi="Arial" w:cs="Arial"/>
          <w:color w:val="000000"/>
          <w:sz w:val="16"/>
          <w:szCs w:val="16"/>
        </w:rPr>
        <w:t>домах</w:t>
      </w:r>
      <w:proofErr w:type="gramEnd"/>
      <w:r w:rsidRPr="002B1987">
        <w:rPr>
          <w:rFonts w:ascii="Arial" w:hAnsi="Arial" w:cs="Arial"/>
          <w:color w:val="000000"/>
          <w:sz w:val="16"/>
          <w:szCs w:val="16"/>
        </w:rPr>
        <w:t xml:space="preserve">. К помещениям </w:t>
      </w:r>
      <w:r w:rsidR="0090383D">
        <w:rPr>
          <w:rFonts w:ascii="Arial" w:hAnsi="Arial" w:cs="Arial"/>
          <w:color w:val="000000"/>
          <w:sz w:val="16"/>
          <w:szCs w:val="16"/>
        </w:rPr>
        <w:br/>
      </w:r>
      <w:r w:rsidRPr="002B1987">
        <w:rPr>
          <w:rFonts w:ascii="Arial" w:hAnsi="Arial" w:cs="Arial"/>
          <w:color w:val="000000"/>
          <w:sz w:val="16"/>
          <w:szCs w:val="16"/>
        </w:rPr>
        <w:t xml:space="preserve">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w:t>
      </w:r>
      <w:r w:rsidR="0090383D">
        <w:rPr>
          <w:rFonts w:ascii="Arial" w:hAnsi="Arial" w:cs="Arial"/>
          <w:color w:val="000000"/>
          <w:sz w:val="16"/>
          <w:szCs w:val="16"/>
        </w:rPr>
        <w:br/>
      </w:r>
      <w:r w:rsidRPr="002B1987">
        <w:rPr>
          <w:rFonts w:ascii="Arial" w:hAnsi="Arial" w:cs="Arial"/>
          <w:color w:val="000000"/>
          <w:sz w:val="16"/>
          <w:szCs w:val="16"/>
        </w:rPr>
        <w:t>спортивные залы, приемные пункты бытового обслуживания и медицинского обслуживания.</w:t>
      </w:r>
    </w:p>
    <w:p w:rsidR="00C05505" w:rsidRPr="002B1987" w:rsidRDefault="00C05505" w:rsidP="00F1239F">
      <w:pPr>
        <w:ind w:firstLine="284"/>
        <w:jc w:val="both"/>
        <w:rPr>
          <w:color w:val="000000"/>
        </w:rPr>
      </w:pPr>
      <w:r w:rsidRPr="002B1987">
        <w:rPr>
          <w:rFonts w:ascii="Arial" w:hAnsi="Arial" w:cs="Arial"/>
          <w:color w:val="000000"/>
          <w:sz w:val="16"/>
          <w:szCs w:val="16"/>
        </w:rPr>
        <w:t>В общую площадь жилых помещений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w:t>
      </w:r>
    </w:p>
    <w:p w:rsidR="00C05505" w:rsidRPr="00E94CE7" w:rsidRDefault="00C05505" w:rsidP="00C05505">
      <w:pPr>
        <w:ind w:firstLine="284"/>
        <w:jc w:val="both"/>
        <w:rPr>
          <w:color w:val="000000" w:themeColor="text1"/>
        </w:rPr>
      </w:pPr>
      <w:r w:rsidRPr="00E94CE7">
        <w:rPr>
          <w:rFonts w:ascii="Arial" w:hAnsi="Arial" w:cs="Arial"/>
          <w:b/>
          <w:bCs/>
          <w:color w:val="000000" w:themeColor="text1"/>
          <w:sz w:val="16"/>
          <w:szCs w:val="16"/>
        </w:rPr>
        <w:t xml:space="preserve">Табл. </w:t>
      </w:r>
      <w:r w:rsidR="00F1678E">
        <w:rPr>
          <w:rFonts w:ascii="Arial" w:hAnsi="Arial" w:cs="Arial"/>
          <w:b/>
          <w:bCs/>
          <w:color w:val="000000" w:themeColor="text1"/>
          <w:sz w:val="16"/>
          <w:szCs w:val="16"/>
        </w:rPr>
        <w:t>18.</w:t>
      </w:r>
      <w:r w:rsidRPr="00E94CE7">
        <w:rPr>
          <w:rFonts w:ascii="Arial" w:hAnsi="Arial" w:cs="Arial"/>
          <w:b/>
          <w:bCs/>
          <w:color w:val="000000" w:themeColor="text1"/>
          <w:sz w:val="16"/>
          <w:szCs w:val="16"/>
        </w:rPr>
        <w:t>1</w:t>
      </w:r>
      <w:r w:rsidR="0065797A" w:rsidRPr="00E94CE7">
        <w:rPr>
          <w:rFonts w:ascii="Arial" w:hAnsi="Arial" w:cs="Arial"/>
          <w:b/>
          <w:bCs/>
          <w:color w:val="000000" w:themeColor="text1"/>
          <w:sz w:val="16"/>
          <w:szCs w:val="16"/>
        </w:rPr>
        <w:t>1</w:t>
      </w:r>
      <w:r w:rsidRPr="00E94CE7">
        <w:rPr>
          <w:rFonts w:ascii="Arial" w:hAnsi="Arial" w:cs="Arial"/>
          <w:b/>
          <w:bCs/>
          <w:color w:val="000000" w:themeColor="text1"/>
          <w:sz w:val="16"/>
          <w:szCs w:val="16"/>
        </w:rPr>
        <w:t>.</w:t>
      </w:r>
      <w:r w:rsidRPr="00E94CE7">
        <w:rPr>
          <w:rFonts w:ascii="Arial" w:hAnsi="Arial" w:cs="Arial"/>
          <w:color w:val="000000" w:themeColor="text1"/>
          <w:sz w:val="16"/>
          <w:szCs w:val="16"/>
        </w:rPr>
        <w:t xml:space="preserve"> В данные об общем </w:t>
      </w:r>
      <w:r w:rsidRPr="00E94CE7">
        <w:rPr>
          <w:rFonts w:ascii="Arial" w:hAnsi="Arial" w:cs="Arial"/>
          <w:b/>
          <w:bCs/>
          <w:color w:val="000000" w:themeColor="text1"/>
          <w:sz w:val="16"/>
          <w:szCs w:val="16"/>
        </w:rPr>
        <w:t>числе построенных квартир</w:t>
      </w:r>
      <w:r w:rsidRPr="00E94CE7">
        <w:rPr>
          <w:rFonts w:ascii="Arial" w:hAnsi="Arial" w:cs="Arial"/>
          <w:color w:val="000000" w:themeColor="text1"/>
          <w:sz w:val="16"/>
          <w:szCs w:val="16"/>
        </w:rPr>
        <w:t xml:space="preserve"> включены квартиры в законченных строительством жилых </w:t>
      </w:r>
      <w:r w:rsidR="001A351D" w:rsidRPr="00E94CE7">
        <w:rPr>
          <w:rFonts w:ascii="Arial" w:hAnsi="Arial" w:cs="Arial"/>
          <w:color w:val="000000" w:themeColor="text1"/>
          <w:sz w:val="16"/>
          <w:szCs w:val="16"/>
        </w:rPr>
        <w:br/>
      </w:r>
      <w:r w:rsidRPr="00E94CE7">
        <w:rPr>
          <w:rFonts w:ascii="Arial" w:hAnsi="Arial" w:cs="Arial"/>
          <w:color w:val="000000" w:themeColor="text1"/>
          <w:sz w:val="16"/>
          <w:szCs w:val="16"/>
        </w:rPr>
        <w:t xml:space="preserve">домах квартирного и гостиничного типов и общежитиях, квартиры в нежилых зданиях, а также в построенных населением </w:t>
      </w:r>
      <w:r w:rsidR="0090383D">
        <w:rPr>
          <w:rFonts w:ascii="Arial" w:hAnsi="Arial" w:cs="Arial"/>
          <w:color w:val="000000" w:themeColor="text1"/>
          <w:sz w:val="16"/>
          <w:szCs w:val="16"/>
        </w:rPr>
        <w:br/>
      </w:r>
      <w:r w:rsidRPr="00E94CE7">
        <w:rPr>
          <w:rFonts w:ascii="Arial" w:hAnsi="Arial" w:cs="Arial"/>
          <w:color w:val="000000" w:themeColor="text1"/>
          <w:sz w:val="16"/>
          <w:szCs w:val="16"/>
        </w:rPr>
        <w:t>индивидуальных жилых домах.</w:t>
      </w:r>
      <w:r w:rsidR="0065797A" w:rsidRPr="00E94CE7">
        <w:rPr>
          <w:rFonts w:ascii="Arial" w:hAnsi="Arial" w:cs="Arial"/>
          <w:color w:val="000000" w:themeColor="text1"/>
          <w:sz w:val="16"/>
          <w:szCs w:val="16"/>
        </w:rPr>
        <w:t xml:space="preserve"> Индивидуальные жилые дома, построенные населением и предназначенные для проживания </w:t>
      </w:r>
      <w:r w:rsidR="0090383D">
        <w:rPr>
          <w:rFonts w:ascii="Arial" w:hAnsi="Arial" w:cs="Arial"/>
          <w:color w:val="000000" w:themeColor="text1"/>
          <w:sz w:val="16"/>
          <w:szCs w:val="16"/>
        </w:rPr>
        <w:br/>
      </w:r>
      <w:r w:rsidR="0065797A" w:rsidRPr="00E94CE7">
        <w:rPr>
          <w:rFonts w:ascii="Arial" w:hAnsi="Arial" w:cs="Arial"/>
          <w:color w:val="000000" w:themeColor="text1"/>
          <w:sz w:val="16"/>
          <w:szCs w:val="16"/>
        </w:rPr>
        <w:t>одной семьи, отражаются как одна квартира.</w:t>
      </w:r>
    </w:p>
    <w:p w:rsidR="00C05505" w:rsidRPr="002B1987" w:rsidRDefault="00C05505" w:rsidP="00C05505">
      <w:pPr>
        <w:spacing w:before="120" w:after="120"/>
        <w:jc w:val="center"/>
        <w:rPr>
          <w:color w:val="000000"/>
          <w:lang w:val="en-US"/>
        </w:rPr>
      </w:pPr>
      <w:r w:rsidRPr="002B1987">
        <w:rPr>
          <w:rFonts w:ascii="Arial" w:hAnsi="Arial" w:cs="Arial"/>
          <w:b/>
          <w:i/>
          <w:color w:val="000000"/>
          <w:lang w:val="en-US"/>
        </w:rPr>
        <w:t>METHODOLOGICAL NOTES</w:t>
      </w:r>
    </w:p>
    <w:p w:rsidR="00B55D03" w:rsidRPr="0037347D" w:rsidRDefault="00B55D03" w:rsidP="00B55D03">
      <w:pPr>
        <w:ind w:firstLine="284"/>
        <w:jc w:val="both"/>
        <w:rPr>
          <w:color w:val="000000"/>
          <w:lang w:val="en-US"/>
        </w:rPr>
      </w:pPr>
      <w:proofErr w:type="gramStart"/>
      <w:r w:rsidRPr="0037347D">
        <w:rPr>
          <w:rFonts w:ascii="Arial" w:hAnsi="Arial" w:cs="Arial"/>
          <w:b/>
          <w:bCs/>
          <w:i/>
          <w:color w:val="000000"/>
          <w:sz w:val="16"/>
          <w:szCs w:val="16"/>
          <w:lang w:val="en-US"/>
        </w:rPr>
        <w:t xml:space="preserve">Tables </w:t>
      </w:r>
      <w:r w:rsidR="00F1678E">
        <w:rPr>
          <w:rFonts w:ascii="Arial" w:hAnsi="Arial" w:cs="Arial"/>
          <w:b/>
          <w:bCs/>
          <w:i/>
          <w:color w:val="000000"/>
          <w:sz w:val="16"/>
          <w:szCs w:val="16"/>
          <w:lang w:val="en-US"/>
        </w:rPr>
        <w:t>18.</w:t>
      </w:r>
      <w:r w:rsidRPr="0037347D">
        <w:rPr>
          <w:rFonts w:ascii="Arial" w:hAnsi="Arial" w:cs="Arial"/>
          <w:b/>
          <w:bCs/>
          <w:i/>
          <w:color w:val="000000"/>
          <w:sz w:val="16"/>
          <w:szCs w:val="16"/>
          <w:lang w:val="en-US"/>
        </w:rPr>
        <w:t>1</w:t>
      </w:r>
      <w:r w:rsidR="007B5331" w:rsidRPr="00F1678E">
        <w:rPr>
          <w:rFonts w:ascii="Arial" w:hAnsi="Arial" w:cs="Arial"/>
          <w:b/>
          <w:bCs/>
          <w:i/>
          <w:color w:val="000000"/>
          <w:sz w:val="16"/>
          <w:szCs w:val="16"/>
          <w:lang w:val="en-US"/>
        </w:rPr>
        <w:t xml:space="preserve"> </w:t>
      </w:r>
      <w:r w:rsidR="008032E1">
        <w:rPr>
          <w:rFonts w:ascii="Arial" w:hAnsi="Arial" w:cs="Arial"/>
          <w:b/>
          <w:bCs/>
          <w:i/>
          <w:color w:val="000000"/>
          <w:sz w:val="16"/>
          <w:szCs w:val="16"/>
          <w:lang w:val="en-US"/>
        </w:rPr>
        <w:t>–</w:t>
      </w:r>
      <w:r w:rsidR="007B5331" w:rsidRPr="00F1678E">
        <w:rPr>
          <w:rFonts w:ascii="Arial" w:hAnsi="Arial" w:cs="Arial"/>
          <w:b/>
          <w:bCs/>
          <w:i/>
          <w:color w:val="000000"/>
          <w:sz w:val="16"/>
          <w:szCs w:val="16"/>
          <w:lang w:val="en-US"/>
        </w:rPr>
        <w:t xml:space="preserve"> </w:t>
      </w:r>
      <w:r w:rsidR="00F1678E">
        <w:rPr>
          <w:rFonts w:ascii="Arial" w:hAnsi="Arial" w:cs="Arial"/>
          <w:b/>
          <w:bCs/>
          <w:i/>
          <w:color w:val="000000"/>
          <w:sz w:val="16"/>
          <w:szCs w:val="16"/>
          <w:lang w:val="en-US"/>
        </w:rPr>
        <w:t>18.</w:t>
      </w:r>
      <w:r w:rsidRPr="0037347D">
        <w:rPr>
          <w:rFonts w:ascii="Arial" w:hAnsi="Arial" w:cs="Arial"/>
          <w:b/>
          <w:bCs/>
          <w:i/>
          <w:color w:val="000000"/>
          <w:sz w:val="16"/>
          <w:szCs w:val="16"/>
          <w:lang w:val="en-US"/>
        </w:rPr>
        <w:t>2.</w:t>
      </w:r>
      <w:proofErr w:type="gramEnd"/>
      <w:r w:rsidRPr="0037347D">
        <w:rPr>
          <w:rFonts w:ascii="Arial" w:hAnsi="Arial" w:cs="Arial"/>
          <w:i/>
          <w:color w:val="000000"/>
          <w:sz w:val="16"/>
          <w:szCs w:val="16"/>
          <w:lang w:val="en-US"/>
        </w:rPr>
        <w:t xml:space="preserve"> </w:t>
      </w:r>
      <w:r w:rsidRPr="0037347D">
        <w:rPr>
          <w:rFonts w:ascii="Arial" w:hAnsi="Arial" w:cs="Arial"/>
          <w:b/>
          <w:i/>
          <w:color w:val="000000"/>
          <w:sz w:val="16"/>
          <w:szCs w:val="16"/>
          <w:lang w:val="en-US"/>
        </w:rPr>
        <w:t>Volume of works in construction activity</w:t>
      </w:r>
      <w:r w:rsidRPr="0037347D">
        <w:rPr>
          <w:rStyle w:val="hps"/>
          <w:rFonts w:ascii="Arial" w:hAnsi="Arial" w:cs="Arial"/>
          <w:b/>
          <w:i/>
          <w:color w:val="000000"/>
          <w:sz w:val="16"/>
          <w:szCs w:val="16"/>
          <w:lang w:val="en-US"/>
        </w:rPr>
        <w:t xml:space="preserve"> </w:t>
      </w:r>
      <w:r w:rsidRPr="0037347D">
        <w:rPr>
          <w:rStyle w:val="hps"/>
          <w:rFonts w:ascii="Arial" w:hAnsi="Arial" w:cs="Arial"/>
          <w:i/>
          <w:color w:val="000000"/>
          <w:sz w:val="16"/>
          <w:szCs w:val="16"/>
          <w:lang w:val="en-US"/>
        </w:rPr>
        <w:t xml:space="preserve">denotes construction activities carried out by organizations using their own resources based on agreements and (or) contracts concluded with customers, and also since 2015, own account construction </w:t>
      </w:r>
      <w:r w:rsidR="001A351D">
        <w:rPr>
          <w:rStyle w:val="hps"/>
          <w:rFonts w:ascii="Arial" w:hAnsi="Arial" w:cs="Arial"/>
          <w:i/>
          <w:color w:val="000000"/>
          <w:sz w:val="16"/>
          <w:szCs w:val="16"/>
          <w:lang w:val="en-US"/>
        </w:rPr>
        <w:br/>
      </w:r>
      <w:r w:rsidRPr="0037347D">
        <w:rPr>
          <w:rStyle w:val="hps"/>
          <w:rFonts w:ascii="Arial" w:hAnsi="Arial" w:cs="Arial"/>
          <w:i/>
          <w:color w:val="000000"/>
          <w:sz w:val="16"/>
          <w:szCs w:val="16"/>
          <w:lang w:val="en-US"/>
        </w:rPr>
        <w:t>performed by organizations and population</w:t>
      </w:r>
      <w:r w:rsidRPr="0037347D">
        <w:rPr>
          <w:rFonts w:ascii="Arial" w:hAnsi="Arial" w:cs="Arial"/>
          <w:i/>
          <w:color w:val="000000"/>
          <w:sz w:val="16"/>
          <w:szCs w:val="16"/>
          <w:lang w:val="en-US"/>
        </w:rPr>
        <w:t xml:space="preserve"> </w:t>
      </w:r>
    </w:p>
    <w:p w:rsidR="00B55D03" w:rsidRPr="0037347D" w:rsidRDefault="00B55D03" w:rsidP="00B55D03">
      <w:pPr>
        <w:ind w:firstLine="284"/>
        <w:jc w:val="both"/>
        <w:rPr>
          <w:color w:val="000000"/>
          <w:lang w:val="en-US"/>
        </w:rPr>
      </w:pPr>
      <w:r w:rsidRPr="0037347D">
        <w:rPr>
          <w:rFonts w:ascii="Arial" w:hAnsi="Arial" w:cs="Arial"/>
          <w:i/>
          <w:color w:val="000000"/>
          <w:sz w:val="16"/>
          <w:szCs w:val="16"/>
          <w:lang w:val="en-US"/>
        </w:rPr>
        <w:t>Value</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of these works</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includes</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construction of</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new objects,</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major and routine overhauls</w:t>
      </w:r>
      <w:r w:rsidRPr="0037347D">
        <w:rPr>
          <w:rFonts w:ascii="Arial" w:hAnsi="Arial" w:cs="Arial"/>
          <w:i/>
          <w:color w:val="000000"/>
          <w:sz w:val="16"/>
          <w:szCs w:val="16"/>
          <w:lang w:val="en"/>
        </w:rPr>
        <w:t xml:space="preserve">, reconstruction and </w:t>
      </w:r>
      <w:r w:rsidRPr="0037347D">
        <w:rPr>
          <w:rStyle w:val="hps"/>
          <w:rFonts w:ascii="Arial" w:hAnsi="Arial" w:cs="Arial"/>
          <w:i/>
          <w:color w:val="000000"/>
          <w:sz w:val="16"/>
          <w:szCs w:val="16"/>
          <w:lang w:val="en"/>
        </w:rPr>
        <w:t>modernization</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of residential and</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non-residential</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buildings and</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engineering structures</w:t>
      </w:r>
      <w:r w:rsidRPr="0037347D">
        <w:rPr>
          <w:rFonts w:ascii="Arial" w:hAnsi="Arial" w:cs="Arial"/>
          <w:i/>
          <w:color w:val="000000"/>
          <w:sz w:val="16"/>
          <w:szCs w:val="16"/>
          <w:lang w:val="en-US"/>
        </w:rPr>
        <w:t>.</w:t>
      </w:r>
    </w:p>
    <w:p w:rsidR="00B55D03" w:rsidRPr="0037347D" w:rsidRDefault="00B55D03" w:rsidP="00B55D03">
      <w:pPr>
        <w:ind w:firstLine="284"/>
        <w:jc w:val="both"/>
        <w:rPr>
          <w:color w:val="000000"/>
          <w:lang w:val="en-US"/>
        </w:rPr>
      </w:pPr>
      <w:r w:rsidRPr="001A351D">
        <w:rPr>
          <w:rFonts w:ascii="Arial" w:hAnsi="Arial" w:cs="Arial"/>
          <w:i/>
          <w:color w:val="000000"/>
          <w:spacing w:val="-2"/>
          <w:sz w:val="16"/>
          <w:szCs w:val="16"/>
          <w:lang w:val="en-US"/>
        </w:rPr>
        <w:t>Indicator “Volume of works in construction activity performed by full coverage of business entities is calculated as</w:t>
      </w:r>
      <w:r w:rsidRPr="001A351D">
        <w:rPr>
          <w:rFonts w:ascii="Arial" w:hAnsi="Arial" w:cs="Arial"/>
          <w:i/>
          <w:color w:val="000000"/>
          <w:spacing w:val="-2"/>
          <w:sz w:val="12"/>
          <w:szCs w:val="12"/>
          <w:lang w:val="en-US"/>
        </w:rPr>
        <w:t xml:space="preserve"> </w:t>
      </w:r>
      <w:r w:rsidRPr="001A351D">
        <w:rPr>
          <w:rFonts w:ascii="Arial" w:hAnsi="Arial" w:cs="Arial"/>
          <w:i/>
          <w:color w:val="000000"/>
          <w:spacing w:val="-2"/>
          <w:sz w:val="16"/>
          <w:szCs w:val="16"/>
          <w:lang w:val="en-US"/>
        </w:rPr>
        <w:t>a total for organizations</w:t>
      </w:r>
      <w:r w:rsidRPr="0037347D">
        <w:rPr>
          <w:rFonts w:ascii="Arial" w:hAnsi="Arial" w:cs="Arial"/>
          <w:i/>
          <w:color w:val="000000"/>
          <w:sz w:val="16"/>
          <w:szCs w:val="16"/>
          <w:lang w:val="en-US"/>
        </w:rPr>
        <w:t xml:space="preserve"> not belonging to small businesses, for small businesses and micro-enterprises and taking into account activities not observed by direct </w:t>
      </w:r>
      <w:r w:rsidR="001A351D">
        <w:rPr>
          <w:rFonts w:ascii="Arial" w:hAnsi="Arial" w:cs="Arial"/>
          <w:i/>
          <w:color w:val="000000"/>
          <w:sz w:val="16"/>
          <w:szCs w:val="16"/>
          <w:lang w:val="en-US"/>
        </w:rPr>
        <w:br/>
      </w:r>
      <w:r w:rsidRPr="0037347D">
        <w:rPr>
          <w:rFonts w:ascii="Arial" w:hAnsi="Arial" w:cs="Arial"/>
          <w:i/>
          <w:color w:val="000000"/>
          <w:sz w:val="16"/>
          <w:szCs w:val="16"/>
          <w:lang w:val="en-US"/>
        </w:rPr>
        <w:t xml:space="preserve">statistical methods. </w:t>
      </w:r>
    </w:p>
    <w:p w:rsidR="00B55D03" w:rsidRPr="0037347D" w:rsidRDefault="00B55D03" w:rsidP="00B55D03">
      <w:pPr>
        <w:ind w:firstLine="284"/>
        <w:jc w:val="both"/>
        <w:rPr>
          <w:color w:val="000000"/>
          <w:lang w:val="en-US"/>
        </w:rPr>
      </w:pPr>
      <w:r w:rsidRPr="0037347D">
        <w:rPr>
          <w:rFonts w:ascii="Arial" w:hAnsi="Arial" w:cs="Arial"/>
          <w:i/>
          <w:color w:val="000000"/>
          <w:sz w:val="16"/>
          <w:szCs w:val="16"/>
          <w:lang w:val="en-US"/>
        </w:rPr>
        <w:t>Indices of the physical volume of works are calculated at constant prices.</w:t>
      </w:r>
    </w:p>
    <w:p w:rsidR="00B55D03" w:rsidRPr="0037347D" w:rsidRDefault="00B55D03" w:rsidP="00B55D03">
      <w:pPr>
        <w:tabs>
          <w:tab w:val="left" w:pos="6379"/>
        </w:tabs>
        <w:ind w:firstLine="284"/>
        <w:jc w:val="both"/>
        <w:rPr>
          <w:rFonts w:ascii="Arial" w:hAnsi="Arial" w:cs="Arial"/>
          <w:bCs/>
          <w:i/>
          <w:color w:val="000000"/>
          <w:sz w:val="16"/>
          <w:szCs w:val="16"/>
          <w:lang w:val="en-US"/>
        </w:rPr>
      </w:pPr>
      <w:proofErr w:type="gramStart"/>
      <w:r w:rsidRPr="001F4D56">
        <w:rPr>
          <w:rFonts w:ascii="Arial" w:hAnsi="Arial" w:cs="Arial"/>
          <w:b/>
          <w:bCs/>
          <w:i/>
          <w:color w:val="000000"/>
          <w:sz w:val="16"/>
          <w:szCs w:val="16"/>
          <w:lang w:val="en-US"/>
        </w:rPr>
        <w:t xml:space="preserve">Tables </w:t>
      </w:r>
      <w:r w:rsidR="00F1678E" w:rsidRPr="001F4D56">
        <w:rPr>
          <w:rFonts w:ascii="Arial" w:hAnsi="Arial" w:cs="Arial"/>
          <w:b/>
          <w:bCs/>
          <w:i/>
          <w:sz w:val="16"/>
          <w:szCs w:val="16"/>
          <w:lang w:val="en-US"/>
        </w:rPr>
        <w:t>18.</w:t>
      </w:r>
      <w:r w:rsidR="0065797A" w:rsidRPr="001F4D56">
        <w:rPr>
          <w:rFonts w:ascii="Arial" w:hAnsi="Arial" w:cs="Arial"/>
          <w:b/>
          <w:bCs/>
          <w:i/>
          <w:sz w:val="16"/>
          <w:szCs w:val="16"/>
          <w:lang w:val="en-US"/>
        </w:rPr>
        <w:t xml:space="preserve">7, </w:t>
      </w:r>
      <w:r w:rsidR="00F1678E" w:rsidRPr="001F4D56">
        <w:rPr>
          <w:rFonts w:ascii="Arial" w:hAnsi="Arial" w:cs="Arial"/>
          <w:b/>
          <w:bCs/>
          <w:i/>
          <w:sz w:val="16"/>
          <w:szCs w:val="16"/>
          <w:lang w:val="en-US"/>
        </w:rPr>
        <w:t>18.</w:t>
      </w:r>
      <w:r w:rsidR="0065797A" w:rsidRPr="001F4D56">
        <w:rPr>
          <w:rFonts w:ascii="Arial" w:hAnsi="Arial" w:cs="Arial"/>
          <w:b/>
          <w:bCs/>
          <w:i/>
          <w:sz w:val="16"/>
          <w:szCs w:val="16"/>
          <w:lang w:val="en-US"/>
        </w:rPr>
        <w:t xml:space="preserve">14, </w:t>
      </w:r>
      <w:r w:rsidR="00F1678E" w:rsidRPr="001F4D56">
        <w:rPr>
          <w:rFonts w:ascii="Arial" w:hAnsi="Arial" w:cs="Arial"/>
          <w:b/>
          <w:bCs/>
          <w:i/>
          <w:sz w:val="16"/>
          <w:szCs w:val="16"/>
          <w:lang w:val="en-US"/>
        </w:rPr>
        <w:t>18.</w:t>
      </w:r>
      <w:r w:rsidR="0065797A" w:rsidRPr="001F4D56">
        <w:rPr>
          <w:rFonts w:ascii="Arial" w:hAnsi="Arial" w:cs="Arial"/>
          <w:b/>
          <w:bCs/>
          <w:i/>
          <w:sz w:val="16"/>
          <w:szCs w:val="16"/>
          <w:lang w:val="en-US"/>
        </w:rPr>
        <w:t>15</w:t>
      </w:r>
      <w:r w:rsidRPr="001F4D56">
        <w:rPr>
          <w:rFonts w:ascii="Arial" w:hAnsi="Arial" w:cs="Arial"/>
          <w:b/>
          <w:bCs/>
          <w:i/>
          <w:color w:val="000000"/>
          <w:sz w:val="16"/>
          <w:szCs w:val="16"/>
          <w:lang w:val="en-US"/>
        </w:rPr>
        <w:t>.</w:t>
      </w:r>
      <w:proofErr w:type="gramEnd"/>
      <w:r w:rsidRPr="0037347D">
        <w:rPr>
          <w:rFonts w:ascii="Arial" w:hAnsi="Arial" w:cs="Arial"/>
          <w:b/>
          <w:bCs/>
          <w:i/>
          <w:color w:val="000000"/>
          <w:sz w:val="16"/>
          <w:szCs w:val="16"/>
          <w:lang w:val="en-US"/>
        </w:rPr>
        <w:t xml:space="preserve"> Commissioning of capacities </w:t>
      </w:r>
      <w:r w:rsidRPr="0037347D">
        <w:rPr>
          <w:rFonts w:ascii="Arial" w:hAnsi="Arial" w:cs="Arial"/>
          <w:bCs/>
          <w:i/>
          <w:color w:val="000000"/>
          <w:sz w:val="16"/>
          <w:szCs w:val="16"/>
          <w:lang w:val="en-US"/>
        </w:rPr>
        <w:t xml:space="preserve">is an indicator of capacity (productivity, admission capacity, storage capacity, area, length, etc.) created as a result of investment in fixed assets. The commissioned facilities (capacities) are shown in dimensions, </w:t>
      </w:r>
      <w:r w:rsidR="001A351D">
        <w:rPr>
          <w:rFonts w:ascii="Arial" w:hAnsi="Arial" w:cs="Arial"/>
          <w:bCs/>
          <w:i/>
          <w:color w:val="000000"/>
          <w:sz w:val="16"/>
          <w:szCs w:val="16"/>
          <w:lang w:val="en-US"/>
        </w:rPr>
        <w:br/>
      </w:r>
      <w:r w:rsidRPr="0037347D">
        <w:rPr>
          <w:rFonts w:ascii="Arial" w:hAnsi="Arial" w:cs="Arial"/>
          <w:bCs/>
          <w:i/>
          <w:color w:val="000000"/>
          <w:sz w:val="16"/>
          <w:szCs w:val="16"/>
          <w:lang w:val="en-US"/>
        </w:rPr>
        <w:t xml:space="preserve">specified in the permits for commissioning facilities (capacities) into operation, drawn up in accordance with the current legislation </w:t>
      </w:r>
      <w:r w:rsidR="001A351D">
        <w:rPr>
          <w:rFonts w:ascii="Arial" w:hAnsi="Arial" w:cs="Arial"/>
          <w:bCs/>
          <w:i/>
          <w:color w:val="000000"/>
          <w:sz w:val="16"/>
          <w:szCs w:val="16"/>
          <w:lang w:val="en-US"/>
        </w:rPr>
        <w:br/>
      </w:r>
      <w:r w:rsidRPr="0037347D">
        <w:rPr>
          <w:rFonts w:ascii="Arial" w:hAnsi="Arial" w:cs="Arial"/>
          <w:bCs/>
          <w:i/>
          <w:color w:val="000000"/>
          <w:sz w:val="16"/>
          <w:szCs w:val="16"/>
          <w:lang w:val="en-US"/>
        </w:rPr>
        <w:t>of the Russian Federation on urban planning activities.</w:t>
      </w:r>
    </w:p>
    <w:p w:rsidR="00B55D03" w:rsidRPr="0037347D" w:rsidRDefault="00B55D03" w:rsidP="00B55D03">
      <w:pPr>
        <w:ind w:firstLine="284"/>
        <w:jc w:val="both"/>
        <w:rPr>
          <w:color w:val="000000"/>
          <w:lang w:val="en-US"/>
        </w:rPr>
      </w:pPr>
      <w:r w:rsidRPr="0037347D">
        <w:rPr>
          <w:rStyle w:val="hps"/>
          <w:rFonts w:ascii="Arial" w:hAnsi="Arial" w:cs="Arial"/>
          <w:i/>
          <w:color w:val="000000"/>
          <w:sz w:val="16"/>
          <w:szCs w:val="16"/>
          <w:lang w:val="en"/>
        </w:rPr>
        <w:t xml:space="preserve">Data on </w:t>
      </w:r>
      <w:r w:rsidRPr="0037347D">
        <w:rPr>
          <w:rStyle w:val="hps"/>
          <w:rFonts w:ascii="Arial" w:hAnsi="Arial" w:cs="Arial"/>
          <w:b/>
          <w:i/>
          <w:color w:val="000000"/>
          <w:sz w:val="16"/>
          <w:szCs w:val="16"/>
          <w:lang w:val="en"/>
        </w:rPr>
        <w:t>commissioned capacities and facilities</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include</w:t>
      </w:r>
      <w:r w:rsidRPr="0037347D">
        <w:rPr>
          <w:rFonts w:ascii="Arial" w:hAnsi="Arial" w:cs="Arial"/>
          <w:i/>
          <w:color w:val="000000"/>
          <w:sz w:val="16"/>
          <w:szCs w:val="16"/>
          <w:lang w:val="en"/>
        </w:rPr>
        <w:t xml:space="preserve"> </w:t>
      </w:r>
      <w:r w:rsidRPr="0037347D">
        <w:rPr>
          <w:rStyle w:val="hpsalt-edited"/>
          <w:rFonts w:ascii="Arial" w:hAnsi="Arial" w:cs="Arial"/>
          <w:i/>
          <w:color w:val="000000"/>
          <w:sz w:val="16"/>
          <w:szCs w:val="16"/>
          <w:lang w:val="en"/>
        </w:rPr>
        <w:t>commissioning</w:t>
      </w:r>
      <w:r w:rsidRPr="0037347D">
        <w:rPr>
          <w:rFonts w:ascii="Arial" w:hAnsi="Arial" w:cs="Arial"/>
          <w:i/>
          <w:color w:val="000000"/>
          <w:sz w:val="16"/>
          <w:szCs w:val="16"/>
          <w:lang w:val="en"/>
        </w:rPr>
        <w:t xml:space="preserve"> as a result of</w:t>
      </w:r>
      <w:r w:rsidRPr="0037347D">
        <w:rPr>
          <w:rStyle w:val="hpsalt-edited"/>
          <w:rFonts w:ascii="Arial" w:hAnsi="Arial" w:cs="Arial"/>
          <w:i/>
          <w:color w:val="000000"/>
          <w:sz w:val="16"/>
          <w:szCs w:val="16"/>
          <w:lang w:val="en"/>
        </w:rPr>
        <w:t xml:space="preserve"> construction</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and reconstruction</w:t>
      </w:r>
      <w:r w:rsidRPr="0037347D">
        <w:rPr>
          <w:rFonts w:ascii="Arial" w:hAnsi="Arial" w:cs="Arial"/>
          <w:i/>
          <w:color w:val="000000"/>
          <w:sz w:val="16"/>
          <w:szCs w:val="16"/>
          <w:lang w:val="en-US"/>
        </w:rPr>
        <w:t>.</w:t>
      </w:r>
    </w:p>
    <w:p w:rsidR="00B55D03" w:rsidRPr="0037347D" w:rsidRDefault="00B55D03" w:rsidP="00B55D03">
      <w:pPr>
        <w:ind w:firstLine="284"/>
        <w:jc w:val="both"/>
        <w:rPr>
          <w:rFonts w:ascii="Arial" w:hAnsi="Arial" w:cs="Arial"/>
          <w:i/>
          <w:color w:val="000000"/>
          <w:sz w:val="16"/>
          <w:szCs w:val="16"/>
          <w:lang w:val="en-US"/>
        </w:rPr>
      </w:pPr>
      <w:proofErr w:type="gramStart"/>
      <w:r w:rsidRPr="001F4D56">
        <w:rPr>
          <w:rFonts w:ascii="Arial" w:hAnsi="Arial" w:cs="Arial"/>
          <w:b/>
          <w:bCs/>
          <w:i/>
          <w:color w:val="000000"/>
          <w:sz w:val="16"/>
          <w:szCs w:val="16"/>
          <w:lang w:val="en-US"/>
        </w:rPr>
        <w:t xml:space="preserve">Tables </w:t>
      </w:r>
      <w:r w:rsidR="00F1678E" w:rsidRPr="001F4D56">
        <w:rPr>
          <w:rFonts w:ascii="Arial" w:hAnsi="Arial" w:cs="Arial"/>
          <w:b/>
          <w:bCs/>
          <w:i/>
          <w:sz w:val="16"/>
          <w:szCs w:val="16"/>
          <w:lang w:val="en-US"/>
        </w:rPr>
        <w:t>18.</w:t>
      </w:r>
      <w:r w:rsidR="0065797A" w:rsidRPr="001F4D56">
        <w:rPr>
          <w:rFonts w:ascii="Arial" w:hAnsi="Arial" w:cs="Arial"/>
          <w:b/>
          <w:bCs/>
          <w:i/>
          <w:sz w:val="16"/>
          <w:szCs w:val="16"/>
          <w:lang w:val="en-US"/>
        </w:rPr>
        <w:t>8</w:t>
      </w:r>
      <w:r w:rsidR="007B5331" w:rsidRPr="001F4D56">
        <w:rPr>
          <w:rFonts w:ascii="Arial" w:hAnsi="Arial" w:cs="Arial"/>
          <w:b/>
          <w:bCs/>
          <w:i/>
          <w:sz w:val="16"/>
          <w:szCs w:val="16"/>
          <w:lang w:val="en-US"/>
        </w:rPr>
        <w:t xml:space="preserve"> </w:t>
      </w:r>
      <w:r w:rsidR="0065797A" w:rsidRPr="001F4D56">
        <w:rPr>
          <w:rFonts w:ascii="Arial" w:hAnsi="Arial" w:cs="Arial"/>
          <w:b/>
          <w:bCs/>
          <w:i/>
          <w:sz w:val="16"/>
          <w:szCs w:val="16"/>
          <w:lang w:val="en-US"/>
        </w:rPr>
        <w:t>–</w:t>
      </w:r>
      <w:r w:rsidR="007B5331" w:rsidRPr="001F4D56">
        <w:rPr>
          <w:rFonts w:ascii="Arial" w:hAnsi="Arial" w:cs="Arial"/>
          <w:b/>
          <w:bCs/>
          <w:i/>
          <w:sz w:val="16"/>
          <w:szCs w:val="16"/>
          <w:lang w:val="en-US"/>
        </w:rPr>
        <w:t xml:space="preserve"> </w:t>
      </w:r>
      <w:r w:rsidR="00F1678E" w:rsidRPr="001F4D56">
        <w:rPr>
          <w:rFonts w:ascii="Arial" w:hAnsi="Arial" w:cs="Arial"/>
          <w:b/>
          <w:bCs/>
          <w:i/>
          <w:sz w:val="16"/>
          <w:szCs w:val="16"/>
          <w:lang w:val="en-US"/>
        </w:rPr>
        <w:t>18.</w:t>
      </w:r>
      <w:r w:rsidR="0065797A" w:rsidRPr="001F4D56">
        <w:rPr>
          <w:rFonts w:ascii="Arial" w:hAnsi="Arial" w:cs="Arial"/>
          <w:b/>
          <w:bCs/>
          <w:i/>
          <w:sz w:val="16"/>
          <w:szCs w:val="16"/>
          <w:lang w:val="en-US"/>
        </w:rPr>
        <w:t xml:space="preserve">11, </w:t>
      </w:r>
      <w:r w:rsidR="00F1678E" w:rsidRPr="001F4D56">
        <w:rPr>
          <w:rFonts w:ascii="Arial" w:hAnsi="Arial" w:cs="Arial"/>
          <w:b/>
          <w:bCs/>
          <w:i/>
          <w:sz w:val="16"/>
          <w:szCs w:val="16"/>
          <w:lang w:val="en-US"/>
        </w:rPr>
        <w:t>18.</w:t>
      </w:r>
      <w:r w:rsidR="0065797A" w:rsidRPr="001F4D56">
        <w:rPr>
          <w:rFonts w:ascii="Arial" w:hAnsi="Arial" w:cs="Arial"/>
          <w:b/>
          <w:bCs/>
          <w:i/>
          <w:sz w:val="16"/>
          <w:szCs w:val="16"/>
          <w:lang w:val="en-US"/>
        </w:rPr>
        <w:t>13</w:t>
      </w:r>
      <w:r w:rsidRPr="0037347D">
        <w:rPr>
          <w:rFonts w:ascii="Arial" w:hAnsi="Arial" w:cs="Arial"/>
          <w:b/>
          <w:bCs/>
          <w:i/>
          <w:color w:val="000000"/>
          <w:sz w:val="16"/>
          <w:szCs w:val="16"/>
          <w:lang w:val="en-US"/>
        </w:rPr>
        <w:t>.</w:t>
      </w:r>
      <w:proofErr w:type="gramEnd"/>
      <w:r w:rsidRPr="0037347D">
        <w:rPr>
          <w:rFonts w:ascii="Arial" w:hAnsi="Arial" w:cs="Arial"/>
          <w:b/>
          <w:bCs/>
          <w:i/>
          <w:color w:val="000000"/>
          <w:sz w:val="16"/>
          <w:szCs w:val="16"/>
          <w:lang w:val="en-US"/>
        </w:rPr>
        <w:t xml:space="preserve"> </w:t>
      </w:r>
      <w:r w:rsidRPr="0037347D">
        <w:rPr>
          <w:rFonts w:ascii="Arial" w:hAnsi="Arial" w:cs="Arial"/>
          <w:b/>
          <w:i/>
          <w:color w:val="000000"/>
          <w:sz w:val="16"/>
          <w:szCs w:val="16"/>
          <w:lang w:val="en-US"/>
        </w:rPr>
        <w:t xml:space="preserve">Total area of dwellings </w:t>
      </w:r>
      <w:r w:rsidRPr="0037347D">
        <w:rPr>
          <w:rFonts w:ascii="Arial" w:hAnsi="Arial" w:cs="Arial"/>
          <w:i/>
          <w:color w:val="000000"/>
          <w:sz w:val="16"/>
          <w:szCs w:val="16"/>
          <w:lang w:val="en-US"/>
        </w:rPr>
        <w:t xml:space="preserve">in commissioned residential and non-residential buildings, residential houses </w:t>
      </w:r>
      <w:r w:rsidR="001A351D">
        <w:rPr>
          <w:rFonts w:ascii="Arial" w:hAnsi="Arial" w:cs="Arial"/>
          <w:bCs/>
          <w:i/>
          <w:color w:val="000000"/>
          <w:sz w:val="16"/>
          <w:szCs w:val="16"/>
          <w:lang w:val="en-US"/>
        </w:rPr>
        <w:br/>
      </w:r>
      <w:r w:rsidRPr="0037347D">
        <w:rPr>
          <w:rFonts w:ascii="Arial" w:hAnsi="Arial" w:cs="Arial"/>
          <w:i/>
          <w:color w:val="000000"/>
          <w:sz w:val="16"/>
          <w:szCs w:val="16"/>
          <w:lang w:val="en-US"/>
        </w:rPr>
        <w:t>is defined as the sum of areas of all parts of dwellings, including the subsidiary premises, intended to meet citizen's daily living and other needs related to their living in dwellings, loggia, balconies, verandas, terraces, counted with the corresponding reduction factors, as well as dwellings and subsidiary premises in individual houses built by the population. The subsidiary premises include kitchens entrance-rooms, halls, inner corridors, bathrooms or showers, toilets, storerooms or built-in wardrobes. In nursing homes for the elderly and disabled people, veterans, specialized homes for lonely elderly people, orphanages, and the subsidiary premises include canteens, buffets, clubs, reading rooms, sports halls, centers for consumer services and medical care.</w:t>
      </w:r>
    </w:p>
    <w:p w:rsidR="00B55D03" w:rsidRPr="0037347D" w:rsidRDefault="00B55D03" w:rsidP="00B55D03">
      <w:pPr>
        <w:ind w:firstLine="284"/>
        <w:jc w:val="both"/>
        <w:rPr>
          <w:color w:val="000000"/>
          <w:lang w:val="en-US"/>
        </w:rPr>
      </w:pPr>
      <w:r w:rsidRPr="0037347D">
        <w:rPr>
          <w:rFonts w:ascii="Arial" w:hAnsi="Arial" w:cs="Arial"/>
          <w:i/>
          <w:color w:val="000000"/>
          <w:sz w:val="16"/>
          <w:szCs w:val="16"/>
          <w:lang w:val="en-US"/>
        </w:rPr>
        <w:t xml:space="preserve">The total area of dwellings does not include the area of lobbies, vestibules, staircases, elevator halls, common corridors, as well </w:t>
      </w:r>
      <w:r w:rsidR="001A351D">
        <w:rPr>
          <w:rFonts w:ascii="Arial" w:hAnsi="Arial" w:cs="Arial"/>
          <w:bCs/>
          <w:i/>
          <w:color w:val="000000"/>
          <w:sz w:val="16"/>
          <w:szCs w:val="16"/>
          <w:lang w:val="en-US"/>
        </w:rPr>
        <w:br/>
      </w:r>
      <w:r w:rsidRPr="0037347D">
        <w:rPr>
          <w:rFonts w:ascii="Arial" w:hAnsi="Arial" w:cs="Arial"/>
          <w:i/>
          <w:color w:val="000000"/>
          <w:sz w:val="16"/>
          <w:szCs w:val="16"/>
          <w:lang w:val="en-US"/>
        </w:rPr>
        <w:t>as the area in residential buildings intended for built-in and attached premises</w:t>
      </w:r>
      <w:r w:rsidRPr="0037347D">
        <w:rPr>
          <w:rFonts w:ascii="Arial" w:hAnsi="Arial" w:cs="Arial"/>
          <w:b/>
          <w:i/>
          <w:color w:val="000000"/>
          <w:sz w:val="16"/>
          <w:szCs w:val="16"/>
          <w:lang w:val="en-US"/>
        </w:rPr>
        <w:t>.</w:t>
      </w:r>
    </w:p>
    <w:p w:rsidR="00C05505" w:rsidRPr="00E94CE7" w:rsidRDefault="00E94CE7" w:rsidP="00F1239F">
      <w:pPr>
        <w:ind w:firstLine="284"/>
        <w:jc w:val="both"/>
        <w:rPr>
          <w:color w:val="000000" w:themeColor="text1"/>
          <w:lang w:val="en-US"/>
        </w:rPr>
      </w:pPr>
      <w:proofErr w:type="gramStart"/>
      <w:r w:rsidRPr="00E94CE7">
        <w:rPr>
          <w:rFonts w:ascii="Arial" w:hAnsi="Arial" w:cs="Arial"/>
          <w:b/>
          <w:bCs/>
          <w:i/>
          <w:color w:val="000000" w:themeColor="text1"/>
          <w:sz w:val="16"/>
          <w:szCs w:val="16"/>
          <w:lang w:val="en-US"/>
        </w:rPr>
        <w:t xml:space="preserve">Table </w:t>
      </w:r>
      <w:r w:rsidR="00F1678E">
        <w:rPr>
          <w:rFonts w:ascii="Arial" w:hAnsi="Arial" w:cs="Arial"/>
          <w:b/>
          <w:bCs/>
          <w:i/>
          <w:color w:val="000000" w:themeColor="text1"/>
          <w:sz w:val="16"/>
          <w:szCs w:val="16"/>
          <w:lang w:val="en-US"/>
        </w:rPr>
        <w:t>18.</w:t>
      </w:r>
      <w:r w:rsidRPr="00E94CE7">
        <w:rPr>
          <w:rFonts w:ascii="Arial" w:hAnsi="Arial" w:cs="Arial"/>
          <w:b/>
          <w:bCs/>
          <w:i/>
          <w:color w:val="000000" w:themeColor="text1"/>
          <w:sz w:val="16"/>
          <w:szCs w:val="16"/>
          <w:lang w:val="en-US"/>
        </w:rPr>
        <w:t>11.</w:t>
      </w:r>
      <w:proofErr w:type="gramEnd"/>
      <w:r w:rsidRPr="00E94CE7">
        <w:rPr>
          <w:rFonts w:ascii="Arial" w:hAnsi="Arial" w:cs="Arial"/>
          <w:i/>
          <w:color w:val="000000" w:themeColor="text1"/>
          <w:sz w:val="16"/>
          <w:szCs w:val="16"/>
          <w:lang w:val="en-US"/>
        </w:rPr>
        <w:t xml:space="preserve"> Data on the total number of constructed apartments include apartments in completed blocks of flats and hotel type </w:t>
      </w:r>
      <w:r w:rsidRPr="00E94CE7">
        <w:rPr>
          <w:rFonts w:ascii="Arial" w:hAnsi="Arial" w:cs="Arial"/>
          <w:bCs/>
          <w:i/>
          <w:color w:val="000000" w:themeColor="text1"/>
          <w:sz w:val="16"/>
          <w:szCs w:val="16"/>
          <w:lang w:val="en-US"/>
        </w:rPr>
        <w:br/>
      </w:r>
      <w:r w:rsidRPr="00E94CE7">
        <w:rPr>
          <w:rFonts w:ascii="Arial" w:hAnsi="Arial" w:cs="Arial"/>
          <w:i/>
          <w:color w:val="000000" w:themeColor="text1"/>
          <w:sz w:val="16"/>
          <w:szCs w:val="16"/>
          <w:lang w:val="en-US"/>
        </w:rPr>
        <w:t>buildings, hostels, apartments in non-residential buildings as well as in individual houses built by population.</w:t>
      </w:r>
      <w:r w:rsidRPr="00E94CE7">
        <w:rPr>
          <w:rFonts w:ascii="Arial" w:hAnsi="Arial" w:cs="Arial"/>
          <w:color w:val="000000" w:themeColor="text1"/>
          <w:sz w:val="16"/>
          <w:szCs w:val="16"/>
          <w:lang w:val="en-US"/>
        </w:rPr>
        <w:t xml:space="preserve"> </w:t>
      </w:r>
      <w:r w:rsidRPr="00E94CE7">
        <w:rPr>
          <w:rFonts w:ascii="Arial" w:hAnsi="Arial" w:cs="Arial"/>
          <w:i/>
          <w:iCs/>
          <w:color w:val="000000" w:themeColor="text1"/>
          <w:sz w:val="16"/>
          <w:szCs w:val="16"/>
          <w:lang w:val="en-US"/>
        </w:rPr>
        <w:t xml:space="preserve">Residential houses built </w:t>
      </w:r>
      <w:r w:rsidRPr="00E94CE7">
        <w:rPr>
          <w:rFonts w:ascii="Arial" w:hAnsi="Arial" w:cs="Arial"/>
          <w:i/>
          <w:iCs/>
          <w:color w:val="000000" w:themeColor="text1"/>
          <w:sz w:val="16"/>
          <w:szCs w:val="16"/>
          <w:lang w:val="en-US"/>
        </w:rPr>
        <w:br/>
        <w:t xml:space="preserve">by the population and intended for a single-family use are reported as one apartment. </w:t>
      </w:r>
    </w:p>
    <w:sectPr w:rsidR="00C05505" w:rsidRPr="00E94CE7" w:rsidSect="004F631F">
      <w:headerReference w:type="even" r:id="rId8"/>
      <w:headerReference w:type="default" r:id="rId9"/>
      <w:footerReference w:type="even" r:id="rId10"/>
      <w:footerReference w:type="default" r:id="rId11"/>
      <w:pgSz w:w="11906" w:h="16838"/>
      <w:pgMar w:top="1191" w:right="851" w:bottom="1758" w:left="1134" w:header="680" w:footer="1134" w:gutter="0"/>
      <w:pgNumType w:start="4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0C" w:rsidRDefault="000A170C">
      <w:r>
        <w:separator/>
      </w:r>
    </w:p>
  </w:endnote>
  <w:endnote w:type="continuationSeparator" w:id="0">
    <w:p w:rsidR="000A170C" w:rsidRDefault="000A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0" w:type="dxa"/>
        <w:right w:w="0" w:type="dxa"/>
      </w:tblCellMar>
      <w:tblLook w:val="0000" w:firstRow="0" w:lastRow="0" w:firstColumn="0" w:lastColumn="0" w:noHBand="0" w:noVBand="0"/>
    </w:tblPr>
    <w:tblGrid>
      <w:gridCol w:w="563"/>
      <w:gridCol w:w="4505"/>
      <w:gridCol w:w="4855"/>
    </w:tblGrid>
    <w:tr w:rsidR="000A170C">
      <w:trPr>
        <w:jc w:val="center"/>
      </w:trPr>
      <w:tc>
        <w:tcPr>
          <w:tcW w:w="563" w:type="dxa"/>
          <w:shd w:val="clear" w:color="auto" w:fill="auto"/>
        </w:tcPr>
        <w:p w:rsidR="000A170C" w:rsidRDefault="000A170C" w:rsidP="00D9256B">
          <w:pPr>
            <w:pStyle w:val="af"/>
            <w:spacing w:before="120"/>
            <w:rPr>
              <w:rFonts w:ascii="GaramondCTT" w:hAnsi="GaramondCTT" w:cs="GaramondCTT"/>
              <w:i/>
              <w:sz w:val="16"/>
            </w:rPr>
          </w:pPr>
          <w:r>
            <w:rPr>
              <w:rStyle w:val="a4"/>
            </w:rPr>
            <w:fldChar w:fldCharType="begin"/>
          </w:r>
          <w:r>
            <w:rPr>
              <w:rStyle w:val="a4"/>
            </w:rPr>
            <w:instrText xml:space="preserve"> PAGE </w:instrText>
          </w:r>
          <w:r>
            <w:rPr>
              <w:rStyle w:val="a4"/>
            </w:rPr>
            <w:fldChar w:fldCharType="separate"/>
          </w:r>
          <w:r w:rsidR="00871A1A">
            <w:rPr>
              <w:rStyle w:val="a4"/>
              <w:noProof/>
            </w:rPr>
            <w:t>428</w:t>
          </w:r>
          <w:r>
            <w:rPr>
              <w:rStyle w:val="a4"/>
            </w:rPr>
            <w:fldChar w:fldCharType="end"/>
          </w:r>
        </w:p>
      </w:tc>
      <w:tc>
        <w:tcPr>
          <w:tcW w:w="4505" w:type="dxa"/>
          <w:shd w:val="clear" w:color="auto" w:fill="auto"/>
        </w:tcPr>
        <w:p w:rsidR="000A170C" w:rsidRDefault="000A170C" w:rsidP="00D9256B">
          <w:pPr>
            <w:pStyle w:val="af"/>
            <w:pBdr>
              <w:top w:val="none" w:sz="0" w:space="0" w:color="000000"/>
              <w:left w:val="none" w:sz="0" w:space="0" w:color="000000"/>
              <w:bottom w:val="single" w:sz="6" w:space="1" w:color="000000"/>
              <w:right w:val="none" w:sz="0" w:space="0" w:color="000000"/>
            </w:pBdr>
            <w:snapToGrid w:val="0"/>
            <w:spacing w:before="20"/>
            <w:rPr>
              <w:rFonts w:ascii="GaramondCTT" w:hAnsi="GaramondCTT" w:cs="GaramondCTT"/>
              <w:i/>
              <w:sz w:val="16"/>
            </w:rPr>
          </w:pPr>
        </w:p>
      </w:tc>
      <w:tc>
        <w:tcPr>
          <w:tcW w:w="4855" w:type="dxa"/>
          <w:shd w:val="clear" w:color="auto" w:fill="auto"/>
        </w:tcPr>
        <w:p w:rsidR="000A170C" w:rsidRDefault="000A170C" w:rsidP="003817B5">
          <w:pPr>
            <w:pStyle w:val="af"/>
            <w:spacing w:before="120"/>
            <w:jc w:val="right"/>
          </w:pPr>
          <w:r>
            <w:rPr>
              <w:i/>
            </w:rPr>
            <w:t>Российский статистический ежегодник. 2022</w:t>
          </w:r>
        </w:p>
      </w:tc>
    </w:tr>
  </w:tbl>
  <w:p w:rsidR="000A170C" w:rsidRDefault="000A170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CellMar>
        <w:left w:w="0" w:type="dxa"/>
        <w:right w:w="0" w:type="dxa"/>
      </w:tblCellMar>
      <w:tblLook w:val="0000" w:firstRow="0" w:lastRow="0" w:firstColumn="0" w:lastColumn="0" w:noHBand="0" w:noVBand="0"/>
    </w:tblPr>
    <w:tblGrid>
      <w:gridCol w:w="4848"/>
      <w:gridCol w:w="4508"/>
      <w:gridCol w:w="567"/>
    </w:tblGrid>
    <w:tr w:rsidR="000A170C">
      <w:tc>
        <w:tcPr>
          <w:tcW w:w="4848" w:type="dxa"/>
          <w:shd w:val="clear" w:color="auto" w:fill="auto"/>
        </w:tcPr>
        <w:p w:rsidR="000A170C" w:rsidRPr="003817B5" w:rsidRDefault="000A170C" w:rsidP="00283D28">
          <w:pPr>
            <w:pStyle w:val="af"/>
            <w:spacing w:before="120"/>
          </w:pPr>
          <w:r>
            <w:rPr>
              <w:i/>
              <w:iCs/>
            </w:rPr>
            <w:t>Российский статистический ежегодник. 2022</w:t>
          </w:r>
        </w:p>
      </w:tc>
      <w:tc>
        <w:tcPr>
          <w:tcW w:w="4508" w:type="dxa"/>
          <w:shd w:val="clear" w:color="auto" w:fill="auto"/>
        </w:tcPr>
        <w:p w:rsidR="000A170C" w:rsidRDefault="000A170C">
          <w:pPr>
            <w:pStyle w:val="af"/>
            <w:pBdr>
              <w:top w:val="none" w:sz="0" w:space="0" w:color="000000"/>
              <w:left w:val="none" w:sz="0" w:space="0" w:color="000000"/>
              <w:bottom w:val="single" w:sz="6" w:space="1" w:color="000000"/>
              <w:right w:val="none" w:sz="0" w:space="0" w:color="000000"/>
            </w:pBdr>
            <w:snapToGrid w:val="0"/>
            <w:spacing w:before="20"/>
            <w:rPr>
              <w:rFonts w:ascii="GaramondCTT" w:hAnsi="GaramondCTT" w:cs="GaramondCTT"/>
              <w:i/>
              <w:iCs/>
              <w:sz w:val="16"/>
              <w:szCs w:val="16"/>
            </w:rPr>
          </w:pPr>
        </w:p>
      </w:tc>
      <w:tc>
        <w:tcPr>
          <w:tcW w:w="567" w:type="dxa"/>
          <w:shd w:val="clear" w:color="auto" w:fill="auto"/>
        </w:tcPr>
        <w:p w:rsidR="000A170C" w:rsidRDefault="000A170C">
          <w:pPr>
            <w:pStyle w:val="af"/>
            <w:spacing w:before="120"/>
            <w:jc w:val="right"/>
            <w:rPr>
              <w:rFonts w:ascii="Arial" w:hAnsi="Arial" w:cs="Arial"/>
              <w:i/>
              <w:iCs/>
              <w:sz w:val="16"/>
              <w:szCs w:val="16"/>
            </w:rPr>
          </w:pPr>
          <w:r>
            <w:rPr>
              <w:rStyle w:val="a4"/>
            </w:rPr>
            <w:fldChar w:fldCharType="begin"/>
          </w:r>
          <w:r>
            <w:rPr>
              <w:rStyle w:val="a4"/>
            </w:rPr>
            <w:instrText xml:space="preserve"> PAGE </w:instrText>
          </w:r>
          <w:r>
            <w:rPr>
              <w:rStyle w:val="a4"/>
            </w:rPr>
            <w:fldChar w:fldCharType="separate"/>
          </w:r>
          <w:r w:rsidR="00871A1A">
            <w:rPr>
              <w:rStyle w:val="a4"/>
              <w:noProof/>
            </w:rPr>
            <w:t>429</w:t>
          </w:r>
          <w:r>
            <w:rPr>
              <w:rStyle w:val="a4"/>
            </w:rPr>
            <w:fldChar w:fldCharType="end"/>
          </w:r>
        </w:p>
      </w:tc>
    </w:tr>
  </w:tbl>
  <w:p w:rsidR="000A170C" w:rsidRDefault="000A170C">
    <w:pPr>
      <w:pStyle w:val="af"/>
      <w:rPr>
        <w:rFonts w:ascii="Arial" w:hAnsi="Arial" w:cs="Arial"/>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0C" w:rsidRDefault="000A170C">
      <w:r>
        <w:separator/>
      </w:r>
    </w:p>
  </w:footnote>
  <w:footnote w:type="continuationSeparator" w:id="0">
    <w:p w:rsidR="000A170C" w:rsidRDefault="000A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0C" w:rsidRDefault="000A170C">
    <w:pPr>
      <w:pStyle w:val="ae"/>
      <w:pBdr>
        <w:top w:val="none" w:sz="0" w:space="0" w:color="000000"/>
        <w:left w:val="none" w:sz="0" w:space="0" w:color="000000"/>
        <w:bottom w:val="single" w:sz="6" w:space="1" w:color="000000"/>
        <w:right w:val="none" w:sz="0" w:space="0" w:color="000000"/>
      </w:pBdr>
      <w:jc w:val="center"/>
    </w:pPr>
    <w:r>
      <w:rPr>
        <w:sz w:val="14"/>
        <w:szCs w:val="14"/>
      </w:rPr>
      <w:t>1</w:t>
    </w:r>
    <w:r>
      <w:rPr>
        <w:sz w:val="14"/>
        <w:szCs w:val="14"/>
        <w:lang w:val="en-US"/>
      </w:rPr>
      <w:t>8</w:t>
    </w:r>
    <w:r>
      <w:rPr>
        <w:sz w:val="14"/>
        <w:szCs w:val="14"/>
      </w:rPr>
      <w:t>. СТРОИТЕЛЬСТВО</w:t>
    </w:r>
    <w:r>
      <w:rPr>
        <w:sz w:val="14"/>
        <w:szCs w:val="14"/>
        <w:lang w:val="en-US"/>
      </w:rPr>
      <w:t xml:space="preserve"> / </w:t>
    </w:r>
    <w:r>
      <w:rPr>
        <w:i/>
        <w:sz w:val="14"/>
        <w:szCs w:val="14"/>
      </w:rPr>
      <w:t>CONSTRUCTION</w:t>
    </w:r>
  </w:p>
  <w:p w:rsidR="000A170C" w:rsidRDefault="000A170C">
    <w:pPr>
      <w:pStyle w:val="ae"/>
      <w:rPr>
        <w:sz w:val="14"/>
        <w:szCs w:val="1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0C" w:rsidRDefault="000A170C">
    <w:pPr>
      <w:pStyle w:val="ae"/>
      <w:pBdr>
        <w:top w:val="none" w:sz="0" w:space="0" w:color="000000"/>
        <w:left w:val="none" w:sz="0" w:space="0" w:color="000000"/>
        <w:bottom w:val="single" w:sz="6" w:space="1" w:color="000000"/>
        <w:right w:val="none" w:sz="0" w:space="0" w:color="000000"/>
      </w:pBdr>
      <w:jc w:val="center"/>
    </w:pPr>
    <w:r>
      <w:rPr>
        <w:sz w:val="14"/>
        <w:szCs w:val="14"/>
      </w:rPr>
      <w:t>1</w:t>
    </w:r>
    <w:r>
      <w:rPr>
        <w:sz w:val="14"/>
        <w:szCs w:val="14"/>
        <w:lang w:val="en-US"/>
      </w:rPr>
      <w:t>8</w:t>
    </w:r>
    <w:r>
      <w:rPr>
        <w:sz w:val="14"/>
        <w:szCs w:val="14"/>
      </w:rPr>
      <w:t>. СТРОИТЕЛЬСТВО</w:t>
    </w:r>
    <w:r>
      <w:rPr>
        <w:sz w:val="14"/>
        <w:szCs w:val="14"/>
        <w:lang w:val="en-US"/>
      </w:rPr>
      <w:t xml:space="preserve"> / </w:t>
    </w:r>
    <w:r>
      <w:rPr>
        <w:i/>
        <w:sz w:val="14"/>
        <w:szCs w:val="14"/>
      </w:rPr>
      <w:t>CONSTRUCTION</w:t>
    </w:r>
  </w:p>
  <w:p w:rsidR="000A170C" w:rsidRDefault="000A170C">
    <w:pPr>
      <w:pStyle w:val="ae"/>
      <w:rPr>
        <w:sz w:val="14"/>
        <w:szCs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27"/>
    <w:rsid w:val="00002317"/>
    <w:rsid w:val="0001123F"/>
    <w:rsid w:val="000113EB"/>
    <w:rsid w:val="00012F4E"/>
    <w:rsid w:val="000156FD"/>
    <w:rsid w:val="000270FA"/>
    <w:rsid w:val="00052993"/>
    <w:rsid w:val="00070389"/>
    <w:rsid w:val="000A170C"/>
    <w:rsid w:val="000C094D"/>
    <w:rsid w:val="000D0A64"/>
    <w:rsid w:val="000D2B37"/>
    <w:rsid w:val="000D37F4"/>
    <w:rsid w:val="000F0A39"/>
    <w:rsid w:val="000F693E"/>
    <w:rsid w:val="00103D38"/>
    <w:rsid w:val="0014211D"/>
    <w:rsid w:val="00143C44"/>
    <w:rsid w:val="00145E26"/>
    <w:rsid w:val="001559A6"/>
    <w:rsid w:val="00156731"/>
    <w:rsid w:val="001861A2"/>
    <w:rsid w:val="00186B9C"/>
    <w:rsid w:val="00194934"/>
    <w:rsid w:val="001A351D"/>
    <w:rsid w:val="001B3218"/>
    <w:rsid w:val="001F1148"/>
    <w:rsid w:val="001F4D56"/>
    <w:rsid w:val="001F6D12"/>
    <w:rsid w:val="00202914"/>
    <w:rsid w:val="00205523"/>
    <w:rsid w:val="002734CB"/>
    <w:rsid w:val="002830E0"/>
    <w:rsid w:val="00283D28"/>
    <w:rsid w:val="002A02E8"/>
    <w:rsid w:val="002A4B3D"/>
    <w:rsid w:val="002B1987"/>
    <w:rsid w:val="002B473A"/>
    <w:rsid w:val="002B5B6A"/>
    <w:rsid w:val="002C366E"/>
    <w:rsid w:val="00300402"/>
    <w:rsid w:val="00306AA7"/>
    <w:rsid w:val="00322DF4"/>
    <w:rsid w:val="00324376"/>
    <w:rsid w:val="0032637A"/>
    <w:rsid w:val="003272BF"/>
    <w:rsid w:val="003424D9"/>
    <w:rsid w:val="00342897"/>
    <w:rsid w:val="0035137D"/>
    <w:rsid w:val="00352E98"/>
    <w:rsid w:val="00360A76"/>
    <w:rsid w:val="0037347D"/>
    <w:rsid w:val="003800EE"/>
    <w:rsid w:val="003817B5"/>
    <w:rsid w:val="00381ED1"/>
    <w:rsid w:val="003B690D"/>
    <w:rsid w:val="003E01AE"/>
    <w:rsid w:val="003E4825"/>
    <w:rsid w:val="00407C35"/>
    <w:rsid w:val="004100F5"/>
    <w:rsid w:val="00443058"/>
    <w:rsid w:val="00447DF5"/>
    <w:rsid w:val="00455B19"/>
    <w:rsid w:val="00461791"/>
    <w:rsid w:val="00466E69"/>
    <w:rsid w:val="004A08E8"/>
    <w:rsid w:val="004A16E6"/>
    <w:rsid w:val="004C04B2"/>
    <w:rsid w:val="004C3470"/>
    <w:rsid w:val="004C7BFC"/>
    <w:rsid w:val="004D4515"/>
    <w:rsid w:val="004D645A"/>
    <w:rsid w:val="004F19F9"/>
    <w:rsid w:val="004F631F"/>
    <w:rsid w:val="005028CA"/>
    <w:rsid w:val="005101F5"/>
    <w:rsid w:val="00523B07"/>
    <w:rsid w:val="005344EB"/>
    <w:rsid w:val="00551BD4"/>
    <w:rsid w:val="0058073E"/>
    <w:rsid w:val="005A51F3"/>
    <w:rsid w:val="005B0AA1"/>
    <w:rsid w:val="005B1B2F"/>
    <w:rsid w:val="005C4632"/>
    <w:rsid w:val="005D7F49"/>
    <w:rsid w:val="006059C9"/>
    <w:rsid w:val="00605F99"/>
    <w:rsid w:val="00637311"/>
    <w:rsid w:val="0064228A"/>
    <w:rsid w:val="0065057B"/>
    <w:rsid w:val="0065797A"/>
    <w:rsid w:val="006646B6"/>
    <w:rsid w:val="006674B4"/>
    <w:rsid w:val="00680610"/>
    <w:rsid w:val="006862CD"/>
    <w:rsid w:val="006A3EAC"/>
    <w:rsid w:val="006C2028"/>
    <w:rsid w:val="006C4173"/>
    <w:rsid w:val="006D6C48"/>
    <w:rsid w:val="007003AD"/>
    <w:rsid w:val="007066CA"/>
    <w:rsid w:val="00712333"/>
    <w:rsid w:val="00713962"/>
    <w:rsid w:val="00715ACA"/>
    <w:rsid w:val="00716034"/>
    <w:rsid w:val="00743DE3"/>
    <w:rsid w:val="0076233E"/>
    <w:rsid w:val="007756A8"/>
    <w:rsid w:val="007930DA"/>
    <w:rsid w:val="007B3726"/>
    <w:rsid w:val="007B5331"/>
    <w:rsid w:val="007B7D67"/>
    <w:rsid w:val="007D05F0"/>
    <w:rsid w:val="007E7793"/>
    <w:rsid w:val="007F300F"/>
    <w:rsid w:val="007F37B7"/>
    <w:rsid w:val="007F67AB"/>
    <w:rsid w:val="008032E1"/>
    <w:rsid w:val="00812EBC"/>
    <w:rsid w:val="0081759E"/>
    <w:rsid w:val="008221C4"/>
    <w:rsid w:val="00823DD7"/>
    <w:rsid w:val="00830B10"/>
    <w:rsid w:val="00835D2B"/>
    <w:rsid w:val="0085109F"/>
    <w:rsid w:val="00851C23"/>
    <w:rsid w:val="00855CF6"/>
    <w:rsid w:val="00865F8C"/>
    <w:rsid w:val="00871A1A"/>
    <w:rsid w:val="00882112"/>
    <w:rsid w:val="00882255"/>
    <w:rsid w:val="0088535A"/>
    <w:rsid w:val="00890F58"/>
    <w:rsid w:val="008A0723"/>
    <w:rsid w:val="008B5E74"/>
    <w:rsid w:val="008C1FFE"/>
    <w:rsid w:val="008C7584"/>
    <w:rsid w:val="008D3A0E"/>
    <w:rsid w:val="008D5BDE"/>
    <w:rsid w:val="008D5F1B"/>
    <w:rsid w:val="008E0F55"/>
    <w:rsid w:val="009018B1"/>
    <w:rsid w:val="0090383D"/>
    <w:rsid w:val="00903A6C"/>
    <w:rsid w:val="00911A2A"/>
    <w:rsid w:val="00950829"/>
    <w:rsid w:val="00954C65"/>
    <w:rsid w:val="0097443D"/>
    <w:rsid w:val="00981923"/>
    <w:rsid w:val="009966BA"/>
    <w:rsid w:val="00996ACA"/>
    <w:rsid w:val="009A136C"/>
    <w:rsid w:val="009B0082"/>
    <w:rsid w:val="009E46FE"/>
    <w:rsid w:val="009E50D4"/>
    <w:rsid w:val="009F622B"/>
    <w:rsid w:val="00A11901"/>
    <w:rsid w:val="00A211AA"/>
    <w:rsid w:val="00A42AA7"/>
    <w:rsid w:val="00A47738"/>
    <w:rsid w:val="00A54E3A"/>
    <w:rsid w:val="00A55543"/>
    <w:rsid w:val="00A578EF"/>
    <w:rsid w:val="00A60136"/>
    <w:rsid w:val="00A639DB"/>
    <w:rsid w:val="00A65E0A"/>
    <w:rsid w:val="00A66131"/>
    <w:rsid w:val="00A95D22"/>
    <w:rsid w:val="00AA043F"/>
    <w:rsid w:val="00AB32BC"/>
    <w:rsid w:val="00AB6859"/>
    <w:rsid w:val="00AB7C0F"/>
    <w:rsid w:val="00AC2D24"/>
    <w:rsid w:val="00AC7BA0"/>
    <w:rsid w:val="00AD1F88"/>
    <w:rsid w:val="00AD7AED"/>
    <w:rsid w:val="00AE2600"/>
    <w:rsid w:val="00AF7AAD"/>
    <w:rsid w:val="00B12A5D"/>
    <w:rsid w:val="00B12ADC"/>
    <w:rsid w:val="00B12B7A"/>
    <w:rsid w:val="00B151FD"/>
    <w:rsid w:val="00B169E8"/>
    <w:rsid w:val="00B20F89"/>
    <w:rsid w:val="00B3612C"/>
    <w:rsid w:val="00B37BAD"/>
    <w:rsid w:val="00B52B75"/>
    <w:rsid w:val="00B53185"/>
    <w:rsid w:val="00B552E5"/>
    <w:rsid w:val="00B55D03"/>
    <w:rsid w:val="00B56710"/>
    <w:rsid w:val="00B63674"/>
    <w:rsid w:val="00B6444F"/>
    <w:rsid w:val="00B678A5"/>
    <w:rsid w:val="00B67FE0"/>
    <w:rsid w:val="00B776F5"/>
    <w:rsid w:val="00B93CAF"/>
    <w:rsid w:val="00BA2B56"/>
    <w:rsid w:val="00BC3D11"/>
    <w:rsid w:val="00BD0949"/>
    <w:rsid w:val="00BD6EE3"/>
    <w:rsid w:val="00BD7285"/>
    <w:rsid w:val="00BE3E2B"/>
    <w:rsid w:val="00BF0575"/>
    <w:rsid w:val="00BF2C87"/>
    <w:rsid w:val="00BF47CC"/>
    <w:rsid w:val="00BF5E1D"/>
    <w:rsid w:val="00C0308F"/>
    <w:rsid w:val="00C05073"/>
    <w:rsid w:val="00C05505"/>
    <w:rsid w:val="00C2036C"/>
    <w:rsid w:val="00C213A6"/>
    <w:rsid w:val="00C27150"/>
    <w:rsid w:val="00C51488"/>
    <w:rsid w:val="00C54D07"/>
    <w:rsid w:val="00C705A4"/>
    <w:rsid w:val="00C961D3"/>
    <w:rsid w:val="00C9707E"/>
    <w:rsid w:val="00CA3D27"/>
    <w:rsid w:val="00CB13F8"/>
    <w:rsid w:val="00CB1D68"/>
    <w:rsid w:val="00CB3A2D"/>
    <w:rsid w:val="00CB76FC"/>
    <w:rsid w:val="00CC3225"/>
    <w:rsid w:val="00CC4A96"/>
    <w:rsid w:val="00CD580D"/>
    <w:rsid w:val="00CF4657"/>
    <w:rsid w:val="00CF500A"/>
    <w:rsid w:val="00D03ECE"/>
    <w:rsid w:val="00D32345"/>
    <w:rsid w:val="00D34BC6"/>
    <w:rsid w:val="00D440AC"/>
    <w:rsid w:val="00D51755"/>
    <w:rsid w:val="00D54BF5"/>
    <w:rsid w:val="00D60FEB"/>
    <w:rsid w:val="00D67136"/>
    <w:rsid w:val="00D754EF"/>
    <w:rsid w:val="00D91C65"/>
    <w:rsid w:val="00D9256B"/>
    <w:rsid w:val="00DB3A87"/>
    <w:rsid w:val="00DC5F8D"/>
    <w:rsid w:val="00E02D0F"/>
    <w:rsid w:val="00E2138A"/>
    <w:rsid w:val="00E32C73"/>
    <w:rsid w:val="00E35C02"/>
    <w:rsid w:val="00E43CBE"/>
    <w:rsid w:val="00E44A6C"/>
    <w:rsid w:val="00E4592B"/>
    <w:rsid w:val="00E51577"/>
    <w:rsid w:val="00E516F1"/>
    <w:rsid w:val="00E534C9"/>
    <w:rsid w:val="00E66535"/>
    <w:rsid w:val="00E77468"/>
    <w:rsid w:val="00E94CE7"/>
    <w:rsid w:val="00EA1D9E"/>
    <w:rsid w:val="00EA6A01"/>
    <w:rsid w:val="00ED163A"/>
    <w:rsid w:val="00EE115C"/>
    <w:rsid w:val="00EE482F"/>
    <w:rsid w:val="00EE4F81"/>
    <w:rsid w:val="00EF092B"/>
    <w:rsid w:val="00F1239F"/>
    <w:rsid w:val="00F14073"/>
    <w:rsid w:val="00F1678E"/>
    <w:rsid w:val="00F17D81"/>
    <w:rsid w:val="00F210DF"/>
    <w:rsid w:val="00F213FE"/>
    <w:rsid w:val="00F269B6"/>
    <w:rsid w:val="00F26FFD"/>
    <w:rsid w:val="00F3265B"/>
    <w:rsid w:val="00F350AD"/>
    <w:rsid w:val="00F501D5"/>
    <w:rsid w:val="00F55ED0"/>
    <w:rsid w:val="00F71E63"/>
    <w:rsid w:val="00F7216E"/>
    <w:rsid w:val="00F72F5D"/>
    <w:rsid w:val="00F802B8"/>
    <w:rsid w:val="00F92D68"/>
    <w:rsid w:val="00F96735"/>
    <w:rsid w:val="00FA142E"/>
    <w:rsid w:val="00FA6754"/>
    <w:rsid w:val="00FB0C51"/>
    <w:rsid w:val="00FB5900"/>
    <w:rsid w:val="00FC3331"/>
    <w:rsid w:val="00FE0189"/>
    <w:rsid w:val="00FE55A5"/>
    <w:rsid w:val="00FF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numPr>
        <w:numId w:val="1"/>
      </w:numPr>
      <w:spacing w:before="240"/>
      <w:outlineLvl w:val="0"/>
    </w:pPr>
    <w:rPr>
      <w:rFonts w:ascii="Arial" w:hAnsi="Arial" w:cs="Arial"/>
      <w:b/>
      <w:bCs/>
      <w:sz w:val="24"/>
      <w:szCs w:val="24"/>
      <w:u w:val="single"/>
    </w:rPr>
  </w:style>
  <w:style w:type="paragraph" w:styleId="2">
    <w:name w:val="heading 2"/>
    <w:basedOn w:val="a"/>
    <w:next w:val="a"/>
    <w:qFormat/>
    <w:pPr>
      <w:numPr>
        <w:ilvl w:val="1"/>
        <w:numId w:val="1"/>
      </w:numPr>
      <w:spacing w:before="120"/>
      <w:outlineLvl w:val="1"/>
    </w:pPr>
    <w:rPr>
      <w:rFonts w:ascii="Arial" w:hAnsi="Arial" w:cs="Arial"/>
      <w:b/>
      <w:bCs/>
      <w:sz w:val="24"/>
      <w:szCs w:val="24"/>
    </w:rPr>
  </w:style>
  <w:style w:type="paragraph" w:styleId="3">
    <w:name w:val="heading 3"/>
    <w:basedOn w:val="a"/>
    <w:next w:val="10"/>
    <w:qFormat/>
    <w:pPr>
      <w:numPr>
        <w:ilvl w:val="2"/>
        <w:numId w:val="1"/>
      </w:numPr>
      <w:ind w:left="354"/>
      <w:outlineLvl w:val="2"/>
    </w:pPr>
    <w:rPr>
      <w:b/>
      <w:bCs/>
      <w:sz w:val="24"/>
      <w:szCs w:val="24"/>
    </w:rPr>
  </w:style>
  <w:style w:type="paragraph" w:styleId="4">
    <w:name w:val="heading 4"/>
    <w:basedOn w:val="a"/>
    <w:next w:val="10"/>
    <w:qFormat/>
    <w:pPr>
      <w:numPr>
        <w:ilvl w:val="3"/>
        <w:numId w:val="1"/>
      </w:numPr>
      <w:ind w:left="354"/>
      <w:outlineLvl w:val="3"/>
    </w:pPr>
    <w:rPr>
      <w:sz w:val="24"/>
      <w:szCs w:val="24"/>
      <w:u w:val="single"/>
    </w:rPr>
  </w:style>
  <w:style w:type="paragraph" w:styleId="5">
    <w:name w:val="heading 5"/>
    <w:basedOn w:val="a"/>
    <w:next w:val="10"/>
    <w:qFormat/>
    <w:pPr>
      <w:numPr>
        <w:ilvl w:val="4"/>
        <w:numId w:val="1"/>
      </w:numPr>
      <w:ind w:left="708"/>
      <w:outlineLvl w:val="4"/>
    </w:pPr>
    <w:rPr>
      <w:b/>
      <w:bCs/>
    </w:rPr>
  </w:style>
  <w:style w:type="paragraph" w:styleId="6">
    <w:name w:val="heading 6"/>
    <w:basedOn w:val="a"/>
    <w:next w:val="10"/>
    <w:qFormat/>
    <w:pPr>
      <w:numPr>
        <w:ilvl w:val="5"/>
        <w:numId w:val="1"/>
      </w:numPr>
      <w:ind w:left="708"/>
      <w:outlineLvl w:val="5"/>
    </w:pPr>
    <w:rPr>
      <w:u w:val="single"/>
    </w:rPr>
  </w:style>
  <w:style w:type="paragraph" w:styleId="7">
    <w:name w:val="heading 7"/>
    <w:basedOn w:val="a"/>
    <w:next w:val="10"/>
    <w:qFormat/>
    <w:pPr>
      <w:numPr>
        <w:ilvl w:val="6"/>
        <w:numId w:val="1"/>
      </w:numPr>
      <w:ind w:left="708"/>
      <w:outlineLvl w:val="6"/>
    </w:pPr>
    <w:rPr>
      <w:i/>
      <w:iCs/>
    </w:rPr>
  </w:style>
  <w:style w:type="paragraph" w:styleId="8">
    <w:name w:val="heading 8"/>
    <w:basedOn w:val="a"/>
    <w:next w:val="10"/>
    <w:qFormat/>
    <w:pPr>
      <w:numPr>
        <w:ilvl w:val="7"/>
        <w:numId w:val="1"/>
      </w:numPr>
      <w:ind w:left="708"/>
      <w:outlineLvl w:val="7"/>
    </w:pPr>
    <w:rPr>
      <w:i/>
      <w:iCs/>
    </w:rPr>
  </w:style>
  <w:style w:type="paragraph" w:styleId="9">
    <w:name w:val="heading 9"/>
    <w:basedOn w:val="a"/>
    <w:next w:val="10"/>
    <w:qFormat/>
    <w:pPr>
      <w:numPr>
        <w:ilvl w:val="8"/>
        <w:numId w:val="1"/>
      </w:numPr>
      <w:ind w:left="708"/>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11">
    <w:name w:val="Основной шрифт абзаца1"/>
  </w:style>
  <w:style w:type="character" w:styleId="a3">
    <w:name w:val="line number"/>
    <w:basedOn w:val="11"/>
  </w:style>
  <w:style w:type="character" w:styleId="a4">
    <w:name w:val="page number"/>
    <w:basedOn w:val="11"/>
  </w:style>
  <w:style w:type="character" w:styleId="a5">
    <w:name w:val="Hyperlink"/>
    <w:rPr>
      <w:color w:val="0000FF"/>
      <w:u w:val="single"/>
    </w:rPr>
  </w:style>
  <w:style w:type="character" w:customStyle="1" w:styleId="FooterChar">
    <w:name w:val="Footer Char"/>
    <w:rPr>
      <w:lang w:val="ru-RU"/>
    </w:rPr>
  </w:style>
  <w:style w:type="character" w:customStyle="1" w:styleId="30">
    <w:name w:val="Знак Знак3"/>
  </w:style>
  <w:style w:type="character" w:customStyle="1" w:styleId="hps">
    <w:name w:val="hps"/>
    <w:basedOn w:val="11"/>
  </w:style>
  <w:style w:type="character" w:customStyle="1" w:styleId="hpsatn">
    <w:name w:val="hps atn"/>
    <w:basedOn w:val="11"/>
  </w:style>
  <w:style w:type="character" w:customStyle="1" w:styleId="shorttext">
    <w:name w:val="short_text"/>
    <w:basedOn w:val="11"/>
  </w:style>
  <w:style w:type="character" w:customStyle="1" w:styleId="hpsalt-edited">
    <w:name w:val="hps alt-edited"/>
    <w:basedOn w:val="11"/>
  </w:style>
  <w:style w:type="character" w:customStyle="1" w:styleId="atn">
    <w:name w:val="atn"/>
    <w:basedOn w:val="11"/>
  </w:style>
  <w:style w:type="character" w:customStyle="1" w:styleId="31">
    <w:name w:val="Знак Знак3"/>
    <w:rPr>
      <w:lang w:val="ru-RU"/>
    </w:rPr>
  </w:style>
  <w:style w:type="character" w:customStyle="1" w:styleId="BalloonTextChar">
    <w:name w:val="Balloon Text Char"/>
    <w:rPr>
      <w:sz w:val="18"/>
      <w:szCs w:val="18"/>
      <w:lang w:val="ru-RU"/>
    </w:rPr>
  </w:style>
  <w:style w:type="character" w:customStyle="1" w:styleId="CommentReference">
    <w:name w:val="Comment Reference"/>
    <w:rPr>
      <w:sz w:val="18"/>
      <w:szCs w:val="18"/>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customStyle="1" w:styleId="DocumentMapChar">
    <w:name w:val="Document Map Char"/>
    <w:rPr>
      <w:sz w:val="24"/>
      <w:szCs w:val="24"/>
      <w:lang w:val="ru-RU"/>
    </w:rPr>
  </w:style>
  <w:style w:type="paragraph" w:customStyle="1" w:styleId="a6">
    <w:name w:val="Заголовок"/>
    <w:basedOn w:val="a"/>
    <w:next w:val="a7"/>
    <w:pPr>
      <w:spacing w:after="120"/>
      <w:ind w:right="-290"/>
      <w:jc w:val="center"/>
    </w:pPr>
    <w:rPr>
      <w:b/>
      <w:bCs/>
      <w:sz w:val="24"/>
      <w:szCs w:val="24"/>
    </w:rPr>
  </w:style>
  <w:style w:type="paragraph" w:styleId="a7">
    <w:name w:val="Body Text"/>
    <w:basedOn w:val="a"/>
    <w:pPr>
      <w:spacing w:after="12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10">
    <w:name w:val="Обычный отступ1"/>
    <w:basedOn w:val="a"/>
    <w:pPr>
      <w:ind w:left="720"/>
    </w:pPr>
  </w:style>
  <w:style w:type="paragraph" w:customStyle="1" w:styleId="CommentText">
    <w:name w:val="Comment Text"/>
    <w:basedOn w:val="a"/>
  </w:style>
  <w:style w:type="paragraph" w:styleId="80">
    <w:name w:val="toc 8"/>
    <w:basedOn w:val="a"/>
    <w:next w:val="a"/>
    <w:pPr>
      <w:tabs>
        <w:tab w:val="left" w:leader="dot" w:pos="8646"/>
        <w:tab w:val="right" w:pos="9072"/>
      </w:tabs>
      <w:ind w:left="4961" w:right="850"/>
    </w:pPr>
  </w:style>
  <w:style w:type="paragraph" w:styleId="70">
    <w:name w:val="toc 7"/>
    <w:basedOn w:val="a"/>
    <w:next w:val="a"/>
    <w:pPr>
      <w:tabs>
        <w:tab w:val="left" w:leader="dot" w:pos="8646"/>
        <w:tab w:val="right" w:pos="9072"/>
      </w:tabs>
      <w:ind w:left="4253" w:right="850"/>
    </w:pPr>
  </w:style>
  <w:style w:type="paragraph" w:styleId="60">
    <w:name w:val="toc 6"/>
    <w:basedOn w:val="a"/>
    <w:next w:val="a"/>
    <w:pPr>
      <w:tabs>
        <w:tab w:val="left" w:leader="dot" w:pos="8646"/>
        <w:tab w:val="right" w:pos="9072"/>
      </w:tabs>
      <w:ind w:left="3544" w:right="850"/>
    </w:pPr>
  </w:style>
  <w:style w:type="paragraph" w:styleId="50">
    <w:name w:val="toc 5"/>
    <w:basedOn w:val="a"/>
    <w:next w:val="a"/>
    <w:pPr>
      <w:tabs>
        <w:tab w:val="left" w:leader="dot" w:pos="8646"/>
        <w:tab w:val="right" w:pos="9072"/>
      </w:tabs>
      <w:ind w:left="2835" w:right="850"/>
    </w:pPr>
  </w:style>
  <w:style w:type="paragraph" w:styleId="40">
    <w:name w:val="toc 4"/>
    <w:basedOn w:val="a"/>
    <w:next w:val="a"/>
    <w:pPr>
      <w:tabs>
        <w:tab w:val="left" w:leader="dot" w:pos="8646"/>
        <w:tab w:val="right" w:pos="9072"/>
      </w:tabs>
      <w:ind w:left="2126" w:right="850"/>
    </w:pPr>
  </w:style>
  <w:style w:type="paragraph" w:styleId="32">
    <w:name w:val="toc 3"/>
    <w:basedOn w:val="a"/>
    <w:next w:val="a"/>
    <w:pPr>
      <w:tabs>
        <w:tab w:val="left" w:leader="dot" w:pos="8646"/>
        <w:tab w:val="right" w:pos="9072"/>
      </w:tabs>
      <w:ind w:left="1418" w:right="850"/>
    </w:pPr>
  </w:style>
  <w:style w:type="paragraph" w:styleId="20">
    <w:name w:val="toc 2"/>
    <w:basedOn w:val="a"/>
    <w:next w:val="a"/>
    <w:pPr>
      <w:tabs>
        <w:tab w:val="left" w:leader="dot" w:pos="8646"/>
        <w:tab w:val="right" w:pos="9072"/>
      </w:tabs>
      <w:ind w:left="709" w:right="850"/>
    </w:pPr>
  </w:style>
  <w:style w:type="paragraph" w:styleId="13">
    <w:name w:val="toc 1"/>
    <w:basedOn w:val="a"/>
    <w:next w:val="a"/>
    <w:pPr>
      <w:tabs>
        <w:tab w:val="left" w:leader="dot" w:pos="8646"/>
        <w:tab w:val="right" w:pos="9072"/>
      </w:tabs>
      <w:ind w:right="850"/>
    </w:pPr>
  </w:style>
  <w:style w:type="paragraph" w:customStyle="1" w:styleId="71">
    <w:name w:val="Указатель 71"/>
    <w:basedOn w:val="a"/>
    <w:next w:val="a"/>
    <w:pPr>
      <w:ind w:left="1698"/>
    </w:pPr>
  </w:style>
  <w:style w:type="paragraph" w:customStyle="1" w:styleId="61">
    <w:name w:val="Указатель 61"/>
    <w:basedOn w:val="a"/>
    <w:next w:val="a"/>
    <w:pPr>
      <w:ind w:left="1415"/>
    </w:pPr>
  </w:style>
  <w:style w:type="paragraph" w:customStyle="1" w:styleId="51">
    <w:name w:val="Указатель 51"/>
    <w:basedOn w:val="a"/>
    <w:next w:val="a"/>
    <w:pPr>
      <w:ind w:left="1132"/>
    </w:pPr>
  </w:style>
  <w:style w:type="paragraph" w:customStyle="1" w:styleId="41">
    <w:name w:val="Указатель 41"/>
    <w:basedOn w:val="a"/>
    <w:next w:val="a"/>
    <w:pPr>
      <w:ind w:left="849"/>
    </w:pPr>
  </w:style>
  <w:style w:type="paragraph" w:styleId="33">
    <w:name w:val="index 3"/>
    <w:basedOn w:val="a"/>
    <w:next w:val="a"/>
    <w:pPr>
      <w:ind w:left="566"/>
    </w:pPr>
  </w:style>
  <w:style w:type="paragraph" w:styleId="21">
    <w:name w:val="index 2"/>
    <w:basedOn w:val="a"/>
    <w:next w:val="a"/>
    <w:pPr>
      <w:ind w:left="283"/>
    </w:pPr>
  </w:style>
  <w:style w:type="paragraph" w:styleId="14">
    <w:name w:val="index 1"/>
    <w:basedOn w:val="a"/>
    <w:next w:val="a"/>
  </w:style>
  <w:style w:type="paragraph" w:styleId="aa">
    <w:name w:val="footnote text"/>
    <w:basedOn w:val="a"/>
  </w:style>
  <w:style w:type="paragraph" w:customStyle="1" w:styleId="22">
    <w:name w:val="боковик2"/>
    <w:basedOn w:val="a"/>
    <w:pPr>
      <w:spacing w:before="48" w:after="48"/>
      <w:ind w:left="227"/>
    </w:pPr>
    <w:rPr>
      <w:rFonts w:ascii="JournalRub" w:hAnsi="JournalRub" w:cs="JournalRub"/>
    </w:rPr>
  </w:style>
  <w:style w:type="paragraph" w:customStyle="1" w:styleId="ab">
    <w:name w:val="боковик"/>
    <w:basedOn w:val="a"/>
    <w:pPr>
      <w:jc w:val="both"/>
    </w:pPr>
    <w:rPr>
      <w:rFonts w:ascii="Arial" w:hAnsi="Arial" w:cs="Arial"/>
      <w:sz w:val="16"/>
      <w:szCs w:val="16"/>
    </w:rPr>
  </w:style>
  <w:style w:type="paragraph" w:customStyle="1" w:styleId="15">
    <w:name w:val="боковик1"/>
    <w:basedOn w:val="a"/>
    <w:pPr>
      <w:ind w:left="227"/>
      <w:jc w:val="both"/>
    </w:pPr>
    <w:rPr>
      <w:rFonts w:ascii="Arial" w:hAnsi="Arial" w:cs="Arial"/>
      <w:sz w:val="16"/>
      <w:szCs w:val="16"/>
    </w:rPr>
  </w:style>
  <w:style w:type="paragraph" w:customStyle="1" w:styleId="ac">
    <w:name w:val="цифры"/>
    <w:basedOn w:val="ab"/>
    <w:pPr>
      <w:spacing w:before="76"/>
      <w:ind w:right="113"/>
      <w:jc w:val="left"/>
    </w:pPr>
    <w:rPr>
      <w:rFonts w:ascii="JournalRub" w:hAnsi="JournalRub" w:cs="JournalRub"/>
      <w:sz w:val="18"/>
      <w:szCs w:val="18"/>
    </w:rPr>
  </w:style>
  <w:style w:type="paragraph" w:customStyle="1" w:styleId="16">
    <w:name w:val="цифры1"/>
    <w:basedOn w:val="ac"/>
    <w:pPr>
      <w:jc w:val="right"/>
    </w:pPr>
    <w:rPr>
      <w:sz w:val="16"/>
      <w:szCs w:val="16"/>
    </w:rPr>
  </w:style>
  <w:style w:type="paragraph" w:customStyle="1" w:styleId="34">
    <w:name w:val="боковик3"/>
    <w:basedOn w:val="ab"/>
    <w:pPr>
      <w:spacing w:before="72"/>
      <w:jc w:val="center"/>
    </w:pPr>
    <w:rPr>
      <w:rFonts w:ascii="JournalRub" w:hAnsi="JournalRub" w:cs="JournalRub"/>
      <w:b/>
      <w:bCs/>
      <w:sz w:val="20"/>
      <w:szCs w:val="20"/>
    </w:rPr>
  </w:style>
  <w:style w:type="paragraph" w:customStyle="1" w:styleId="Cells">
    <w:name w:val="Cells"/>
    <w:basedOn w:val="a"/>
    <w:rPr>
      <w:rFonts w:ascii="Arial" w:hAnsi="Arial" w:cs="Arial"/>
      <w:sz w:val="16"/>
      <w:szCs w:val="16"/>
      <w:lang w:val="en-US"/>
    </w:rPr>
  </w:style>
  <w:style w:type="paragraph" w:customStyle="1" w:styleId="TableText">
    <w:name w:val="Table Text"/>
    <w:basedOn w:val="a"/>
    <w:rPr>
      <w:rFonts w:ascii="Tms Rmn" w:hAnsi="Tms Rmn" w:cs="Tms Rmn"/>
      <w:lang w:eastAsia="ru-RU"/>
    </w:rPr>
  </w:style>
  <w:style w:type="paragraph" w:customStyle="1" w:styleId="ad">
    <w:name w:val="текст конц. сноски"/>
    <w:basedOn w:val="a"/>
  </w:style>
  <w:style w:type="paragraph" w:customStyle="1" w:styleId="Tablename">
    <w:name w:val="Table name"/>
    <w:basedOn w:val="a"/>
    <w:pPr>
      <w:jc w:val="center"/>
    </w:pPr>
    <w:rPr>
      <w:rFonts w:ascii="Arial" w:hAnsi="Arial" w:cs="Arial"/>
      <w:b/>
      <w:bCs/>
      <w:sz w:val="22"/>
      <w:szCs w:val="22"/>
    </w:rPr>
  </w:style>
  <w:style w:type="paragraph" w:styleId="ae">
    <w:name w:val="header"/>
    <w:basedOn w:val="a"/>
    <w:pPr>
      <w:tabs>
        <w:tab w:val="center" w:pos="4819"/>
        <w:tab w:val="right" w:pos="9071"/>
      </w:tabs>
    </w:pPr>
  </w:style>
  <w:style w:type="paragraph" w:styleId="af">
    <w:name w:val="footer"/>
    <w:basedOn w:val="a"/>
    <w:pPr>
      <w:tabs>
        <w:tab w:val="center" w:pos="4153"/>
        <w:tab w:val="right" w:pos="8306"/>
      </w:tabs>
    </w:pPr>
  </w:style>
  <w:style w:type="paragraph" w:customStyle="1" w:styleId="210">
    <w:name w:val="Основной текст 21"/>
    <w:basedOn w:val="a"/>
    <w:pPr>
      <w:tabs>
        <w:tab w:val="left" w:pos="1263"/>
        <w:tab w:val="left" w:pos="2526"/>
        <w:tab w:val="left" w:pos="3789"/>
        <w:tab w:val="left" w:pos="5052"/>
        <w:tab w:val="left" w:pos="6315"/>
        <w:tab w:val="left" w:pos="7578"/>
        <w:tab w:val="left" w:pos="8841"/>
        <w:tab w:val="left" w:pos="10104"/>
        <w:tab w:val="left" w:pos="11367"/>
        <w:tab w:val="left" w:pos="12630"/>
      </w:tabs>
      <w:jc w:val="center"/>
    </w:pPr>
    <w:rPr>
      <w:rFonts w:ascii="Arial" w:hAnsi="Arial" w:cs="Arial"/>
      <w:b/>
      <w:bCs/>
      <w:sz w:val="18"/>
      <w:szCs w:val="18"/>
    </w:rPr>
  </w:style>
  <w:style w:type="paragraph" w:customStyle="1" w:styleId="af0">
    <w:name w:val="Îáû÷íûé"/>
    <w:pPr>
      <w:suppressAutoHyphens/>
    </w:pPr>
    <w:rPr>
      <w:lang w:eastAsia="zh-CN"/>
    </w:rPr>
  </w:style>
  <w:style w:type="paragraph" w:customStyle="1" w:styleId="310">
    <w:name w:val="Основной текст 31"/>
    <w:basedOn w:val="a"/>
    <w:pPr>
      <w:tabs>
        <w:tab w:val="left" w:pos="1263"/>
        <w:tab w:val="left" w:pos="2526"/>
        <w:tab w:val="left" w:pos="3789"/>
        <w:tab w:val="left" w:pos="5052"/>
        <w:tab w:val="left" w:pos="6315"/>
        <w:tab w:val="left" w:pos="7578"/>
        <w:tab w:val="left" w:pos="8841"/>
        <w:tab w:val="left" w:pos="10104"/>
        <w:tab w:val="left" w:pos="11367"/>
        <w:tab w:val="left" w:pos="12630"/>
      </w:tabs>
      <w:jc w:val="center"/>
    </w:pPr>
    <w:rPr>
      <w:rFonts w:ascii="Arial" w:hAnsi="Arial" w:cs="Arial"/>
      <w:b/>
      <w:bCs/>
      <w:sz w:val="16"/>
      <w:szCs w:val="16"/>
    </w:rPr>
  </w:style>
  <w:style w:type="paragraph" w:styleId="af1">
    <w:name w:val="Body Text Indent"/>
    <w:basedOn w:val="a"/>
    <w:pPr>
      <w:spacing w:line="240" w:lineRule="exact"/>
      <w:ind w:left="113" w:firstLine="284"/>
      <w:jc w:val="both"/>
    </w:pPr>
    <w:rPr>
      <w:rFonts w:ascii="Arial" w:hAnsi="Arial" w:cs="Arial"/>
      <w:sz w:val="16"/>
      <w:szCs w:val="16"/>
    </w:rPr>
  </w:style>
  <w:style w:type="paragraph" w:customStyle="1" w:styleId="211">
    <w:name w:val="Основной текст с отступом 21"/>
    <w:basedOn w:val="a"/>
    <w:pPr>
      <w:spacing w:line="200" w:lineRule="exact"/>
      <w:ind w:firstLine="284"/>
      <w:jc w:val="both"/>
    </w:pPr>
    <w:rPr>
      <w:rFonts w:ascii="Arial" w:hAnsi="Arial" w:cs="Arial"/>
      <w:sz w:val="16"/>
      <w:szCs w:val="16"/>
    </w:rPr>
  </w:style>
  <w:style w:type="paragraph" w:customStyle="1" w:styleId="17">
    <w:name w:val="Название объекта1"/>
    <w:basedOn w:val="a"/>
    <w:next w:val="a"/>
    <w:pPr>
      <w:spacing w:after="180"/>
      <w:ind w:left="284" w:hanging="284"/>
      <w:jc w:val="center"/>
    </w:pPr>
    <w:rPr>
      <w:rFonts w:ascii="Arial" w:hAnsi="Arial" w:cs="Arial"/>
      <w:b/>
      <w:bCs/>
      <w:sz w:val="18"/>
      <w:szCs w:val="18"/>
    </w:rPr>
  </w:style>
  <w:style w:type="paragraph" w:customStyle="1" w:styleId="01-golovka">
    <w:name w:val="01-golovka"/>
    <w:basedOn w:val="a"/>
    <w:pPr>
      <w:spacing w:before="80" w:after="80"/>
      <w:jc w:val="center"/>
    </w:pPr>
    <w:rPr>
      <w:rFonts w:ascii="PragmaticaC" w:hAnsi="PragmaticaC" w:cs="PragmaticaC"/>
      <w:sz w:val="14"/>
      <w:szCs w:val="14"/>
    </w:rPr>
  </w:style>
  <w:style w:type="paragraph" w:customStyle="1" w:styleId="18">
    <w:name w:val="Обычный (веб)1"/>
    <w:basedOn w:val="a"/>
    <w:pPr>
      <w:spacing w:before="100" w:after="100"/>
    </w:pPr>
    <w:rPr>
      <w:rFonts w:ascii="Arial Unicode MS" w:hAnsi="Arial Unicode MS" w:cs="Arial Unicode MS"/>
      <w:sz w:val="24"/>
      <w:szCs w:val="24"/>
    </w:rPr>
  </w:style>
  <w:style w:type="paragraph" w:customStyle="1" w:styleId="311">
    <w:name w:val="Основной текст с отступом 31"/>
    <w:basedOn w:val="a"/>
    <w:pPr>
      <w:spacing w:before="360"/>
      <w:ind w:firstLine="284"/>
      <w:jc w:val="center"/>
    </w:pPr>
    <w:rPr>
      <w:rFonts w:ascii="Arial" w:hAnsi="Arial" w:cs="Arial"/>
      <w:b/>
      <w:bCs/>
    </w:rPr>
  </w:style>
  <w:style w:type="paragraph" w:customStyle="1" w:styleId="xl68">
    <w:name w:val="xl68"/>
    <w:basedOn w:val="a"/>
    <w:pPr>
      <w:spacing w:before="100" w:after="100"/>
      <w:jc w:val="center"/>
    </w:pPr>
    <w:rPr>
      <w:rFonts w:ascii="Arial CYR" w:hAnsi="Arial CYR" w:cs="Arial CYR"/>
      <w:b/>
      <w:bCs/>
      <w:color w:val="000000"/>
      <w:sz w:val="14"/>
      <w:szCs w:val="14"/>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sz w:val="16"/>
      <w:szCs w:val="16"/>
    </w:rPr>
  </w:style>
  <w:style w:type="paragraph" w:customStyle="1" w:styleId="19">
    <w:name w:val="Текст выноски1"/>
    <w:basedOn w:val="a"/>
    <w:rPr>
      <w:sz w:val="18"/>
      <w:szCs w:val="18"/>
    </w:rPr>
  </w:style>
  <w:style w:type="paragraph" w:customStyle="1" w:styleId="CommentSubject">
    <w:name w:val="Comment Subject"/>
    <w:basedOn w:val="CommentText"/>
    <w:next w:val="CommentText"/>
    <w:rPr>
      <w:b/>
      <w:bCs/>
    </w:rPr>
  </w:style>
  <w:style w:type="paragraph" w:customStyle="1" w:styleId="1a">
    <w:name w:val="Схема документа1"/>
    <w:basedOn w:val="a"/>
    <w:rPr>
      <w:sz w:val="24"/>
      <w:szCs w:val="24"/>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Верхний колонтитул слева"/>
    <w:basedOn w:val="a"/>
    <w:pPr>
      <w:suppressLineNumbers/>
      <w:tabs>
        <w:tab w:val="center" w:pos="4960"/>
        <w:tab w:val="right" w:pos="9921"/>
      </w:tabs>
    </w:pPr>
  </w:style>
  <w:style w:type="paragraph" w:styleId="af5">
    <w:name w:val="Balloon Text"/>
    <w:basedOn w:val="a"/>
    <w:link w:val="af6"/>
    <w:uiPriority w:val="99"/>
    <w:semiHidden/>
    <w:unhideWhenUsed/>
    <w:rsid w:val="00CA3D27"/>
    <w:rPr>
      <w:rFonts w:ascii="Tahoma" w:hAnsi="Tahoma" w:cs="Tahoma"/>
      <w:sz w:val="16"/>
      <w:szCs w:val="16"/>
    </w:rPr>
  </w:style>
  <w:style w:type="character" w:customStyle="1" w:styleId="af6">
    <w:name w:val="Текст выноски Знак"/>
    <w:link w:val="af5"/>
    <w:uiPriority w:val="99"/>
    <w:semiHidden/>
    <w:rsid w:val="00CA3D27"/>
    <w:rPr>
      <w:rFonts w:ascii="Tahoma"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numPr>
        <w:numId w:val="1"/>
      </w:numPr>
      <w:spacing w:before="240"/>
      <w:outlineLvl w:val="0"/>
    </w:pPr>
    <w:rPr>
      <w:rFonts w:ascii="Arial" w:hAnsi="Arial" w:cs="Arial"/>
      <w:b/>
      <w:bCs/>
      <w:sz w:val="24"/>
      <w:szCs w:val="24"/>
      <w:u w:val="single"/>
    </w:rPr>
  </w:style>
  <w:style w:type="paragraph" w:styleId="2">
    <w:name w:val="heading 2"/>
    <w:basedOn w:val="a"/>
    <w:next w:val="a"/>
    <w:qFormat/>
    <w:pPr>
      <w:numPr>
        <w:ilvl w:val="1"/>
        <w:numId w:val="1"/>
      </w:numPr>
      <w:spacing w:before="120"/>
      <w:outlineLvl w:val="1"/>
    </w:pPr>
    <w:rPr>
      <w:rFonts w:ascii="Arial" w:hAnsi="Arial" w:cs="Arial"/>
      <w:b/>
      <w:bCs/>
      <w:sz w:val="24"/>
      <w:szCs w:val="24"/>
    </w:rPr>
  </w:style>
  <w:style w:type="paragraph" w:styleId="3">
    <w:name w:val="heading 3"/>
    <w:basedOn w:val="a"/>
    <w:next w:val="10"/>
    <w:qFormat/>
    <w:pPr>
      <w:numPr>
        <w:ilvl w:val="2"/>
        <w:numId w:val="1"/>
      </w:numPr>
      <w:ind w:left="354"/>
      <w:outlineLvl w:val="2"/>
    </w:pPr>
    <w:rPr>
      <w:b/>
      <w:bCs/>
      <w:sz w:val="24"/>
      <w:szCs w:val="24"/>
    </w:rPr>
  </w:style>
  <w:style w:type="paragraph" w:styleId="4">
    <w:name w:val="heading 4"/>
    <w:basedOn w:val="a"/>
    <w:next w:val="10"/>
    <w:qFormat/>
    <w:pPr>
      <w:numPr>
        <w:ilvl w:val="3"/>
        <w:numId w:val="1"/>
      </w:numPr>
      <w:ind w:left="354"/>
      <w:outlineLvl w:val="3"/>
    </w:pPr>
    <w:rPr>
      <w:sz w:val="24"/>
      <w:szCs w:val="24"/>
      <w:u w:val="single"/>
    </w:rPr>
  </w:style>
  <w:style w:type="paragraph" w:styleId="5">
    <w:name w:val="heading 5"/>
    <w:basedOn w:val="a"/>
    <w:next w:val="10"/>
    <w:qFormat/>
    <w:pPr>
      <w:numPr>
        <w:ilvl w:val="4"/>
        <w:numId w:val="1"/>
      </w:numPr>
      <w:ind w:left="708"/>
      <w:outlineLvl w:val="4"/>
    </w:pPr>
    <w:rPr>
      <w:b/>
      <w:bCs/>
    </w:rPr>
  </w:style>
  <w:style w:type="paragraph" w:styleId="6">
    <w:name w:val="heading 6"/>
    <w:basedOn w:val="a"/>
    <w:next w:val="10"/>
    <w:qFormat/>
    <w:pPr>
      <w:numPr>
        <w:ilvl w:val="5"/>
        <w:numId w:val="1"/>
      </w:numPr>
      <w:ind w:left="708"/>
      <w:outlineLvl w:val="5"/>
    </w:pPr>
    <w:rPr>
      <w:u w:val="single"/>
    </w:rPr>
  </w:style>
  <w:style w:type="paragraph" w:styleId="7">
    <w:name w:val="heading 7"/>
    <w:basedOn w:val="a"/>
    <w:next w:val="10"/>
    <w:qFormat/>
    <w:pPr>
      <w:numPr>
        <w:ilvl w:val="6"/>
        <w:numId w:val="1"/>
      </w:numPr>
      <w:ind w:left="708"/>
      <w:outlineLvl w:val="6"/>
    </w:pPr>
    <w:rPr>
      <w:i/>
      <w:iCs/>
    </w:rPr>
  </w:style>
  <w:style w:type="paragraph" w:styleId="8">
    <w:name w:val="heading 8"/>
    <w:basedOn w:val="a"/>
    <w:next w:val="10"/>
    <w:qFormat/>
    <w:pPr>
      <w:numPr>
        <w:ilvl w:val="7"/>
        <w:numId w:val="1"/>
      </w:numPr>
      <w:ind w:left="708"/>
      <w:outlineLvl w:val="7"/>
    </w:pPr>
    <w:rPr>
      <w:i/>
      <w:iCs/>
    </w:rPr>
  </w:style>
  <w:style w:type="paragraph" w:styleId="9">
    <w:name w:val="heading 9"/>
    <w:basedOn w:val="a"/>
    <w:next w:val="10"/>
    <w:qFormat/>
    <w:pPr>
      <w:numPr>
        <w:ilvl w:val="8"/>
        <w:numId w:val="1"/>
      </w:numPr>
      <w:ind w:left="708"/>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11">
    <w:name w:val="Основной шрифт абзаца1"/>
  </w:style>
  <w:style w:type="character" w:styleId="a3">
    <w:name w:val="line number"/>
    <w:basedOn w:val="11"/>
  </w:style>
  <w:style w:type="character" w:styleId="a4">
    <w:name w:val="page number"/>
    <w:basedOn w:val="11"/>
  </w:style>
  <w:style w:type="character" w:styleId="a5">
    <w:name w:val="Hyperlink"/>
    <w:rPr>
      <w:color w:val="0000FF"/>
      <w:u w:val="single"/>
    </w:rPr>
  </w:style>
  <w:style w:type="character" w:customStyle="1" w:styleId="FooterChar">
    <w:name w:val="Footer Char"/>
    <w:rPr>
      <w:lang w:val="ru-RU"/>
    </w:rPr>
  </w:style>
  <w:style w:type="character" w:customStyle="1" w:styleId="30">
    <w:name w:val="Знак Знак3"/>
  </w:style>
  <w:style w:type="character" w:customStyle="1" w:styleId="hps">
    <w:name w:val="hps"/>
    <w:basedOn w:val="11"/>
  </w:style>
  <w:style w:type="character" w:customStyle="1" w:styleId="hpsatn">
    <w:name w:val="hps atn"/>
    <w:basedOn w:val="11"/>
  </w:style>
  <w:style w:type="character" w:customStyle="1" w:styleId="shorttext">
    <w:name w:val="short_text"/>
    <w:basedOn w:val="11"/>
  </w:style>
  <w:style w:type="character" w:customStyle="1" w:styleId="hpsalt-edited">
    <w:name w:val="hps alt-edited"/>
    <w:basedOn w:val="11"/>
  </w:style>
  <w:style w:type="character" w:customStyle="1" w:styleId="atn">
    <w:name w:val="atn"/>
    <w:basedOn w:val="11"/>
  </w:style>
  <w:style w:type="character" w:customStyle="1" w:styleId="31">
    <w:name w:val="Знак Знак3"/>
    <w:rPr>
      <w:lang w:val="ru-RU"/>
    </w:rPr>
  </w:style>
  <w:style w:type="character" w:customStyle="1" w:styleId="BalloonTextChar">
    <w:name w:val="Balloon Text Char"/>
    <w:rPr>
      <w:sz w:val="18"/>
      <w:szCs w:val="18"/>
      <w:lang w:val="ru-RU"/>
    </w:rPr>
  </w:style>
  <w:style w:type="character" w:customStyle="1" w:styleId="CommentReference">
    <w:name w:val="Comment Reference"/>
    <w:rPr>
      <w:sz w:val="18"/>
      <w:szCs w:val="18"/>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customStyle="1" w:styleId="DocumentMapChar">
    <w:name w:val="Document Map Char"/>
    <w:rPr>
      <w:sz w:val="24"/>
      <w:szCs w:val="24"/>
      <w:lang w:val="ru-RU"/>
    </w:rPr>
  </w:style>
  <w:style w:type="paragraph" w:customStyle="1" w:styleId="a6">
    <w:name w:val="Заголовок"/>
    <w:basedOn w:val="a"/>
    <w:next w:val="a7"/>
    <w:pPr>
      <w:spacing w:after="120"/>
      <w:ind w:right="-290"/>
      <w:jc w:val="center"/>
    </w:pPr>
    <w:rPr>
      <w:b/>
      <w:bCs/>
      <w:sz w:val="24"/>
      <w:szCs w:val="24"/>
    </w:rPr>
  </w:style>
  <w:style w:type="paragraph" w:styleId="a7">
    <w:name w:val="Body Text"/>
    <w:basedOn w:val="a"/>
    <w:pPr>
      <w:spacing w:after="12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10">
    <w:name w:val="Обычный отступ1"/>
    <w:basedOn w:val="a"/>
    <w:pPr>
      <w:ind w:left="720"/>
    </w:pPr>
  </w:style>
  <w:style w:type="paragraph" w:customStyle="1" w:styleId="CommentText">
    <w:name w:val="Comment Text"/>
    <w:basedOn w:val="a"/>
  </w:style>
  <w:style w:type="paragraph" w:styleId="80">
    <w:name w:val="toc 8"/>
    <w:basedOn w:val="a"/>
    <w:next w:val="a"/>
    <w:pPr>
      <w:tabs>
        <w:tab w:val="left" w:leader="dot" w:pos="8646"/>
        <w:tab w:val="right" w:pos="9072"/>
      </w:tabs>
      <w:ind w:left="4961" w:right="850"/>
    </w:pPr>
  </w:style>
  <w:style w:type="paragraph" w:styleId="70">
    <w:name w:val="toc 7"/>
    <w:basedOn w:val="a"/>
    <w:next w:val="a"/>
    <w:pPr>
      <w:tabs>
        <w:tab w:val="left" w:leader="dot" w:pos="8646"/>
        <w:tab w:val="right" w:pos="9072"/>
      </w:tabs>
      <w:ind w:left="4253" w:right="850"/>
    </w:pPr>
  </w:style>
  <w:style w:type="paragraph" w:styleId="60">
    <w:name w:val="toc 6"/>
    <w:basedOn w:val="a"/>
    <w:next w:val="a"/>
    <w:pPr>
      <w:tabs>
        <w:tab w:val="left" w:leader="dot" w:pos="8646"/>
        <w:tab w:val="right" w:pos="9072"/>
      </w:tabs>
      <w:ind w:left="3544" w:right="850"/>
    </w:pPr>
  </w:style>
  <w:style w:type="paragraph" w:styleId="50">
    <w:name w:val="toc 5"/>
    <w:basedOn w:val="a"/>
    <w:next w:val="a"/>
    <w:pPr>
      <w:tabs>
        <w:tab w:val="left" w:leader="dot" w:pos="8646"/>
        <w:tab w:val="right" w:pos="9072"/>
      </w:tabs>
      <w:ind w:left="2835" w:right="850"/>
    </w:pPr>
  </w:style>
  <w:style w:type="paragraph" w:styleId="40">
    <w:name w:val="toc 4"/>
    <w:basedOn w:val="a"/>
    <w:next w:val="a"/>
    <w:pPr>
      <w:tabs>
        <w:tab w:val="left" w:leader="dot" w:pos="8646"/>
        <w:tab w:val="right" w:pos="9072"/>
      </w:tabs>
      <w:ind w:left="2126" w:right="850"/>
    </w:pPr>
  </w:style>
  <w:style w:type="paragraph" w:styleId="32">
    <w:name w:val="toc 3"/>
    <w:basedOn w:val="a"/>
    <w:next w:val="a"/>
    <w:pPr>
      <w:tabs>
        <w:tab w:val="left" w:leader="dot" w:pos="8646"/>
        <w:tab w:val="right" w:pos="9072"/>
      </w:tabs>
      <w:ind w:left="1418" w:right="850"/>
    </w:pPr>
  </w:style>
  <w:style w:type="paragraph" w:styleId="20">
    <w:name w:val="toc 2"/>
    <w:basedOn w:val="a"/>
    <w:next w:val="a"/>
    <w:pPr>
      <w:tabs>
        <w:tab w:val="left" w:leader="dot" w:pos="8646"/>
        <w:tab w:val="right" w:pos="9072"/>
      </w:tabs>
      <w:ind w:left="709" w:right="850"/>
    </w:pPr>
  </w:style>
  <w:style w:type="paragraph" w:styleId="13">
    <w:name w:val="toc 1"/>
    <w:basedOn w:val="a"/>
    <w:next w:val="a"/>
    <w:pPr>
      <w:tabs>
        <w:tab w:val="left" w:leader="dot" w:pos="8646"/>
        <w:tab w:val="right" w:pos="9072"/>
      </w:tabs>
      <w:ind w:right="850"/>
    </w:pPr>
  </w:style>
  <w:style w:type="paragraph" w:customStyle="1" w:styleId="71">
    <w:name w:val="Указатель 71"/>
    <w:basedOn w:val="a"/>
    <w:next w:val="a"/>
    <w:pPr>
      <w:ind w:left="1698"/>
    </w:pPr>
  </w:style>
  <w:style w:type="paragraph" w:customStyle="1" w:styleId="61">
    <w:name w:val="Указатель 61"/>
    <w:basedOn w:val="a"/>
    <w:next w:val="a"/>
    <w:pPr>
      <w:ind w:left="1415"/>
    </w:pPr>
  </w:style>
  <w:style w:type="paragraph" w:customStyle="1" w:styleId="51">
    <w:name w:val="Указатель 51"/>
    <w:basedOn w:val="a"/>
    <w:next w:val="a"/>
    <w:pPr>
      <w:ind w:left="1132"/>
    </w:pPr>
  </w:style>
  <w:style w:type="paragraph" w:customStyle="1" w:styleId="41">
    <w:name w:val="Указатель 41"/>
    <w:basedOn w:val="a"/>
    <w:next w:val="a"/>
    <w:pPr>
      <w:ind w:left="849"/>
    </w:pPr>
  </w:style>
  <w:style w:type="paragraph" w:styleId="33">
    <w:name w:val="index 3"/>
    <w:basedOn w:val="a"/>
    <w:next w:val="a"/>
    <w:pPr>
      <w:ind w:left="566"/>
    </w:pPr>
  </w:style>
  <w:style w:type="paragraph" w:styleId="21">
    <w:name w:val="index 2"/>
    <w:basedOn w:val="a"/>
    <w:next w:val="a"/>
    <w:pPr>
      <w:ind w:left="283"/>
    </w:pPr>
  </w:style>
  <w:style w:type="paragraph" w:styleId="14">
    <w:name w:val="index 1"/>
    <w:basedOn w:val="a"/>
    <w:next w:val="a"/>
  </w:style>
  <w:style w:type="paragraph" w:styleId="aa">
    <w:name w:val="footnote text"/>
    <w:basedOn w:val="a"/>
  </w:style>
  <w:style w:type="paragraph" w:customStyle="1" w:styleId="22">
    <w:name w:val="боковик2"/>
    <w:basedOn w:val="a"/>
    <w:pPr>
      <w:spacing w:before="48" w:after="48"/>
      <w:ind w:left="227"/>
    </w:pPr>
    <w:rPr>
      <w:rFonts w:ascii="JournalRub" w:hAnsi="JournalRub" w:cs="JournalRub"/>
    </w:rPr>
  </w:style>
  <w:style w:type="paragraph" w:customStyle="1" w:styleId="ab">
    <w:name w:val="боковик"/>
    <w:basedOn w:val="a"/>
    <w:pPr>
      <w:jc w:val="both"/>
    </w:pPr>
    <w:rPr>
      <w:rFonts w:ascii="Arial" w:hAnsi="Arial" w:cs="Arial"/>
      <w:sz w:val="16"/>
      <w:szCs w:val="16"/>
    </w:rPr>
  </w:style>
  <w:style w:type="paragraph" w:customStyle="1" w:styleId="15">
    <w:name w:val="боковик1"/>
    <w:basedOn w:val="a"/>
    <w:pPr>
      <w:ind w:left="227"/>
      <w:jc w:val="both"/>
    </w:pPr>
    <w:rPr>
      <w:rFonts w:ascii="Arial" w:hAnsi="Arial" w:cs="Arial"/>
      <w:sz w:val="16"/>
      <w:szCs w:val="16"/>
    </w:rPr>
  </w:style>
  <w:style w:type="paragraph" w:customStyle="1" w:styleId="ac">
    <w:name w:val="цифры"/>
    <w:basedOn w:val="ab"/>
    <w:pPr>
      <w:spacing w:before="76"/>
      <w:ind w:right="113"/>
      <w:jc w:val="left"/>
    </w:pPr>
    <w:rPr>
      <w:rFonts w:ascii="JournalRub" w:hAnsi="JournalRub" w:cs="JournalRub"/>
      <w:sz w:val="18"/>
      <w:szCs w:val="18"/>
    </w:rPr>
  </w:style>
  <w:style w:type="paragraph" w:customStyle="1" w:styleId="16">
    <w:name w:val="цифры1"/>
    <w:basedOn w:val="ac"/>
    <w:pPr>
      <w:jc w:val="right"/>
    </w:pPr>
    <w:rPr>
      <w:sz w:val="16"/>
      <w:szCs w:val="16"/>
    </w:rPr>
  </w:style>
  <w:style w:type="paragraph" w:customStyle="1" w:styleId="34">
    <w:name w:val="боковик3"/>
    <w:basedOn w:val="ab"/>
    <w:pPr>
      <w:spacing w:before="72"/>
      <w:jc w:val="center"/>
    </w:pPr>
    <w:rPr>
      <w:rFonts w:ascii="JournalRub" w:hAnsi="JournalRub" w:cs="JournalRub"/>
      <w:b/>
      <w:bCs/>
      <w:sz w:val="20"/>
      <w:szCs w:val="20"/>
    </w:rPr>
  </w:style>
  <w:style w:type="paragraph" w:customStyle="1" w:styleId="Cells">
    <w:name w:val="Cells"/>
    <w:basedOn w:val="a"/>
    <w:rPr>
      <w:rFonts w:ascii="Arial" w:hAnsi="Arial" w:cs="Arial"/>
      <w:sz w:val="16"/>
      <w:szCs w:val="16"/>
      <w:lang w:val="en-US"/>
    </w:rPr>
  </w:style>
  <w:style w:type="paragraph" w:customStyle="1" w:styleId="TableText">
    <w:name w:val="Table Text"/>
    <w:basedOn w:val="a"/>
    <w:rPr>
      <w:rFonts w:ascii="Tms Rmn" w:hAnsi="Tms Rmn" w:cs="Tms Rmn"/>
      <w:lang w:eastAsia="ru-RU"/>
    </w:rPr>
  </w:style>
  <w:style w:type="paragraph" w:customStyle="1" w:styleId="ad">
    <w:name w:val="текст конц. сноски"/>
    <w:basedOn w:val="a"/>
  </w:style>
  <w:style w:type="paragraph" w:customStyle="1" w:styleId="Tablename">
    <w:name w:val="Table name"/>
    <w:basedOn w:val="a"/>
    <w:pPr>
      <w:jc w:val="center"/>
    </w:pPr>
    <w:rPr>
      <w:rFonts w:ascii="Arial" w:hAnsi="Arial" w:cs="Arial"/>
      <w:b/>
      <w:bCs/>
      <w:sz w:val="22"/>
      <w:szCs w:val="22"/>
    </w:rPr>
  </w:style>
  <w:style w:type="paragraph" w:styleId="ae">
    <w:name w:val="header"/>
    <w:basedOn w:val="a"/>
    <w:pPr>
      <w:tabs>
        <w:tab w:val="center" w:pos="4819"/>
        <w:tab w:val="right" w:pos="9071"/>
      </w:tabs>
    </w:pPr>
  </w:style>
  <w:style w:type="paragraph" w:styleId="af">
    <w:name w:val="footer"/>
    <w:basedOn w:val="a"/>
    <w:pPr>
      <w:tabs>
        <w:tab w:val="center" w:pos="4153"/>
        <w:tab w:val="right" w:pos="8306"/>
      </w:tabs>
    </w:pPr>
  </w:style>
  <w:style w:type="paragraph" w:customStyle="1" w:styleId="210">
    <w:name w:val="Основной текст 21"/>
    <w:basedOn w:val="a"/>
    <w:pPr>
      <w:tabs>
        <w:tab w:val="left" w:pos="1263"/>
        <w:tab w:val="left" w:pos="2526"/>
        <w:tab w:val="left" w:pos="3789"/>
        <w:tab w:val="left" w:pos="5052"/>
        <w:tab w:val="left" w:pos="6315"/>
        <w:tab w:val="left" w:pos="7578"/>
        <w:tab w:val="left" w:pos="8841"/>
        <w:tab w:val="left" w:pos="10104"/>
        <w:tab w:val="left" w:pos="11367"/>
        <w:tab w:val="left" w:pos="12630"/>
      </w:tabs>
      <w:jc w:val="center"/>
    </w:pPr>
    <w:rPr>
      <w:rFonts w:ascii="Arial" w:hAnsi="Arial" w:cs="Arial"/>
      <w:b/>
      <w:bCs/>
      <w:sz w:val="18"/>
      <w:szCs w:val="18"/>
    </w:rPr>
  </w:style>
  <w:style w:type="paragraph" w:customStyle="1" w:styleId="af0">
    <w:name w:val="Îáû÷íûé"/>
    <w:pPr>
      <w:suppressAutoHyphens/>
    </w:pPr>
    <w:rPr>
      <w:lang w:eastAsia="zh-CN"/>
    </w:rPr>
  </w:style>
  <w:style w:type="paragraph" w:customStyle="1" w:styleId="310">
    <w:name w:val="Основной текст 31"/>
    <w:basedOn w:val="a"/>
    <w:pPr>
      <w:tabs>
        <w:tab w:val="left" w:pos="1263"/>
        <w:tab w:val="left" w:pos="2526"/>
        <w:tab w:val="left" w:pos="3789"/>
        <w:tab w:val="left" w:pos="5052"/>
        <w:tab w:val="left" w:pos="6315"/>
        <w:tab w:val="left" w:pos="7578"/>
        <w:tab w:val="left" w:pos="8841"/>
        <w:tab w:val="left" w:pos="10104"/>
        <w:tab w:val="left" w:pos="11367"/>
        <w:tab w:val="left" w:pos="12630"/>
      </w:tabs>
      <w:jc w:val="center"/>
    </w:pPr>
    <w:rPr>
      <w:rFonts w:ascii="Arial" w:hAnsi="Arial" w:cs="Arial"/>
      <w:b/>
      <w:bCs/>
      <w:sz w:val="16"/>
      <w:szCs w:val="16"/>
    </w:rPr>
  </w:style>
  <w:style w:type="paragraph" w:styleId="af1">
    <w:name w:val="Body Text Indent"/>
    <w:basedOn w:val="a"/>
    <w:pPr>
      <w:spacing w:line="240" w:lineRule="exact"/>
      <w:ind w:left="113" w:firstLine="284"/>
      <w:jc w:val="both"/>
    </w:pPr>
    <w:rPr>
      <w:rFonts w:ascii="Arial" w:hAnsi="Arial" w:cs="Arial"/>
      <w:sz w:val="16"/>
      <w:szCs w:val="16"/>
    </w:rPr>
  </w:style>
  <w:style w:type="paragraph" w:customStyle="1" w:styleId="211">
    <w:name w:val="Основной текст с отступом 21"/>
    <w:basedOn w:val="a"/>
    <w:pPr>
      <w:spacing w:line="200" w:lineRule="exact"/>
      <w:ind w:firstLine="284"/>
      <w:jc w:val="both"/>
    </w:pPr>
    <w:rPr>
      <w:rFonts w:ascii="Arial" w:hAnsi="Arial" w:cs="Arial"/>
      <w:sz w:val="16"/>
      <w:szCs w:val="16"/>
    </w:rPr>
  </w:style>
  <w:style w:type="paragraph" w:customStyle="1" w:styleId="17">
    <w:name w:val="Название объекта1"/>
    <w:basedOn w:val="a"/>
    <w:next w:val="a"/>
    <w:pPr>
      <w:spacing w:after="180"/>
      <w:ind w:left="284" w:hanging="284"/>
      <w:jc w:val="center"/>
    </w:pPr>
    <w:rPr>
      <w:rFonts w:ascii="Arial" w:hAnsi="Arial" w:cs="Arial"/>
      <w:b/>
      <w:bCs/>
      <w:sz w:val="18"/>
      <w:szCs w:val="18"/>
    </w:rPr>
  </w:style>
  <w:style w:type="paragraph" w:customStyle="1" w:styleId="01-golovka">
    <w:name w:val="01-golovka"/>
    <w:basedOn w:val="a"/>
    <w:pPr>
      <w:spacing w:before="80" w:after="80"/>
      <w:jc w:val="center"/>
    </w:pPr>
    <w:rPr>
      <w:rFonts w:ascii="PragmaticaC" w:hAnsi="PragmaticaC" w:cs="PragmaticaC"/>
      <w:sz w:val="14"/>
      <w:szCs w:val="14"/>
    </w:rPr>
  </w:style>
  <w:style w:type="paragraph" w:customStyle="1" w:styleId="18">
    <w:name w:val="Обычный (веб)1"/>
    <w:basedOn w:val="a"/>
    <w:pPr>
      <w:spacing w:before="100" w:after="100"/>
    </w:pPr>
    <w:rPr>
      <w:rFonts w:ascii="Arial Unicode MS" w:hAnsi="Arial Unicode MS" w:cs="Arial Unicode MS"/>
      <w:sz w:val="24"/>
      <w:szCs w:val="24"/>
    </w:rPr>
  </w:style>
  <w:style w:type="paragraph" w:customStyle="1" w:styleId="311">
    <w:name w:val="Основной текст с отступом 31"/>
    <w:basedOn w:val="a"/>
    <w:pPr>
      <w:spacing w:before="360"/>
      <w:ind w:firstLine="284"/>
      <w:jc w:val="center"/>
    </w:pPr>
    <w:rPr>
      <w:rFonts w:ascii="Arial" w:hAnsi="Arial" w:cs="Arial"/>
      <w:b/>
      <w:bCs/>
    </w:rPr>
  </w:style>
  <w:style w:type="paragraph" w:customStyle="1" w:styleId="xl68">
    <w:name w:val="xl68"/>
    <w:basedOn w:val="a"/>
    <w:pPr>
      <w:spacing w:before="100" w:after="100"/>
      <w:jc w:val="center"/>
    </w:pPr>
    <w:rPr>
      <w:rFonts w:ascii="Arial CYR" w:hAnsi="Arial CYR" w:cs="Arial CYR"/>
      <w:b/>
      <w:bCs/>
      <w:color w:val="000000"/>
      <w:sz w:val="14"/>
      <w:szCs w:val="14"/>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sz w:val="16"/>
      <w:szCs w:val="16"/>
    </w:rPr>
  </w:style>
  <w:style w:type="paragraph" w:customStyle="1" w:styleId="19">
    <w:name w:val="Текст выноски1"/>
    <w:basedOn w:val="a"/>
    <w:rPr>
      <w:sz w:val="18"/>
      <w:szCs w:val="18"/>
    </w:rPr>
  </w:style>
  <w:style w:type="paragraph" w:customStyle="1" w:styleId="CommentSubject">
    <w:name w:val="Comment Subject"/>
    <w:basedOn w:val="CommentText"/>
    <w:next w:val="CommentText"/>
    <w:rPr>
      <w:b/>
      <w:bCs/>
    </w:rPr>
  </w:style>
  <w:style w:type="paragraph" w:customStyle="1" w:styleId="1a">
    <w:name w:val="Схема документа1"/>
    <w:basedOn w:val="a"/>
    <w:rPr>
      <w:sz w:val="24"/>
      <w:szCs w:val="24"/>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Верхний колонтитул слева"/>
    <w:basedOn w:val="a"/>
    <w:pPr>
      <w:suppressLineNumbers/>
      <w:tabs>
        <w:tab w:val="center" w:pos="4960"/>
        <w:tab w:val="right" w:pos="9921"/>
      </w:tabs>
    </w:pPr>
  </w:style>
  <w:style w:type="paragraph" w:styleId="af5">
    <w:name w:val="Balloon Text"/>
    <w:basedOn w:val="a"/>
    <w:link w:val="af6"/>
    <w:uiPriority w:val="99"/>
    <w:semiHidden/>
    <w:unhideWhenUsed/>
    <w:rsid w:val="00CA3D27"/>
    <w:rPr>
      <w:rFonts w:ascii="Tahoma" w:hAnsi="Tahoma" w:cs="Tahoma"/>
      <w:sz w:val="16"/>
      <w:szCs w:val="16"/>
    </w:rPr>
  </w:style>
  <w:style w:type="character" w:customStyle="1" w:styleId="af6">
    <w:name w:val="Текст выноски Знак"/>
    <w:link w:val="af5"/>
    <w:uiPriority w:val="99"/>
    <w:semiHidden/>
    <w:rsid w:val="00CA3D27"/>
    <w:rPr>
      <w:rFonts w:ascii="Tahoma"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13</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GOSCOMSTAT</dc:creator>
  <cp:lastModifiedBy>Новикова Ольга Евгеньевна</cp:lastModifiedBy>
  <cp:revision>3</cp:revision>
  <cp:lastPrinted>2019-12-25T14:27:00Z</cp:lastPrinted>
  <dcterms:created xsi:type="dcterms:W3CDTF">2023-03-20T07:12:00Z</dcterms:created>
  <dcterms:modified xsi:type="dcterms:W3CDTF">2023-03-20T07:13:00Z</dcterms:modified>
</cp:coreProperties>
</file>