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41" w:rsidRDefault="00692DAB">
      <w:pPr>
        <w:pBdr>
          <w:bottom w:val="single" w:sz="12" w:space="1" w:color="auto"/>
        </w:pBdr>
        <w:spacing w:after="240" w:line="240" w:lineRule="exact"/>
        <w:ind w:firstLine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516541">
        <w:rPr>
          <w:rFonts w:ascii="Arial" w:hAnsi="Arial"/>
          <w:b/>
          <w:sz w:val="24"/>
        </w:rPr>
        <w:t>. ФИНАНСОВОЕ ПОЛОЖЕНИЕ</w:t>
      </w:r>
      <w:r w:rsidR="00EB25D4">
        <w:rPr>
          <w:rFonts w:ascii="Arial" w:hAnsi="Arial"/>
          <w:b/>
          <w:sz w:val="24"/>
        </w:rPr>
        <w:t xml:space="preserve"> </w:t>
      </w:r>
      <w:r w:rsidR="000A6A46">
        <w:rPr>
          <w:rFonts w:ascii="Arial" w:hAnsi="Arial"/>
          <w:b/>
          <w:sz w:val="24"/>
        </w:rPr>
        <w:t xml:space="preserve">СЕЛЬСКОХОЗЯЙСТВЕННЫХ ОРГАНИЗАЦИЙ </w:t>
      </w:r>
      <w:r w:rsidR="00EB25D4">
        <w:rPr>
          <w:rFonts w:ascii="Arial" w:hAnsi="Arial"/>
          <w:b/>
          <w:sz w:val="24"/>
        </w:rPr>
        <w:t>И</w:t>
      </w:r>
      <w:r w:rsidR="00516541">
        <w:rPr>
          <w:rFonts w:ascii="Arial" w:hAnsi="Arial"/>
          <w:b/>
          <w:sz w:val="24"/>
        </w:rPr>
        <w:t xml:space="preserve"> ЦЕНЫ </w:t>
      </w:r>
    </w:p>
    <w:p w:rsidR="00CE51FE" w:rsidRPr="00CE51FE" w:rsidRDefault="00CE51FE" w:rsidP="00CE51FE">
      <w:pPr>
        <w:pStyle w:val="ad"/>
        <w:spacing w:line="200" w:lineRule="exact"/>
        <w:rPr>
          <w:rFonts w:cs="Arial"/>
          <w:szCs w:val="16"/>
        </w:rPr>
      </w:pPr>
      <w:proofErr w:type="gramStart"/>
      <w:r w:rsidRPr="00CE51FE">
        <w:rPr>
          <w:bCs/>
        </w:rPr>
        <w:t xml:space="preserve">В разделе приведены данные, характеризующие финансовые результаты </w:t>
      </w:r>
      <w:r w:rsidRPr="00CE51FE">
        <w:rPr>
          <w:bCs/>
        </w:rPr>
        <w:br/>
      </w:r>
      <w:r w:rsidRPr="00CE51FE">
        <w:rPr>
          <w:bCs/>
          <w:spacing w:val="-4"/>
        </w:rPr>
        <w:t>организаций, осуществляющих деятельность в сельском хозяйстве, охоте и предоставлении</w:t>
      </w:r>
      <w:r w:rsidRPr="00CE51FE">
        <w:rPr>
          <w:bCs/>
        </w:rPr>
        <w:t xml:space="preserve"> услуг в этих областях, средние цены производителей сельскохозяйственной продукции и цены приобретения ими товаров и услуг, потребительские цены на отдельные виды продовольственных товаров и их индексы, а также </w:t>
      </w:r>
      <w:r w:rsidRPr="00CE51FE">
        <w:rPr>
          <w:rFonts w:cs="Arial"/>
          <w:szCs w:val="16"/>
        </w:rPr>
        <w:t xml:space="preserve">в разделе приведены группировки сельскохозяйственных организаций по среднегодовой численности занятых </w:t>
      </w:r>
      <w:r w:rsidRPr="00CE51FE">
        <w:rPr>
          <w:rFonts w:cs="Arial"/>
          <w:szCs w:val="16"/>
        </w:rPr>
        <w:br/>
        <w:t>в сельскохозяйственном производстве, размеру посевной площади</w:t>
      </w:r>
      <w:proofErr w:type="gramEnd"/>
      <w:r w:rsidRPr="00CE51FE">
        <w:rPr>
          <w:rFonts w:cs="Arial"/>
          <w:szCs w:val="16"/>
        </w:rPr>
        <w:t xml:space="preserve"> зерновых культур, поголовью крупного рогатого скота, поголовью коров в 2020 г.</w:t>
      </w:r>
    </w:p>
    <w:p w:rsidR="00EB25D4" w:rsidRPr="00A114B1" w:rsidRDefault="00EB25D4" w:rsidP="007C48B8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DF7D63">
        <w:rPr>
          <w:rFonts w:ascii="Arial" w:hAnsi="Arial"/>
          <w:b/>
          <w:spacing w:val="-2"/>
          <w:sz w:val="16"/>
        </w:rPr>
        <w:t xml:space="preserve">Рентабельность </w:t>
      </w:r>
      <w:r w:rsidR="00A114B1" w:rsidRPr="00DF7D63">
        <w:rPr>
          <w:rFonts w:ascii="Arial" w:hAnsi="Arial"/>
          <w:b/>
          <w:spacing w:val="-2"/>
          <w:sz w:val="16"/>
        </w:rPr>
        <w:t>проданных товаров, продукции (работ и услуг)</w:t>
      </w:r>
      <w:r w:rsidR="00A114B1" w:rsidRPr="00DF7D63">
        <w:rPr>
          <w:rFonts w:ascii="Arial" w:hAnsi="Arial"/>
          <w:spacing w:val="-2"/>
          <w:sz w:val="16"/>
        </w:rPr>
        <w:t xml:space="preserve"> рассчитывается </w:t>
      </w:r>
      <w:r w:rsidR="00A114B1">
        <w:rPr>
          <w:rFonts w:ascii="Arial" w:hAnsi="Arial"/>
          <w:sz w:val="16"/>
        </w:rPr>
        <w:t xml:space="preserve">как соотношение между величиной сальдированного финансового результата (прибыль минус убыток) от проданных товаров, продукции (работ, услуг) и себестоимостью </w:t>
      </w:r>
      <w:r w:rsidR="00DF7D63">
        <w:rPr>
          <w:rFonts w:ascii="Arial" w:hAnsi="Arial"/>
          <w:sz w:val="16"/>
        </w:rPr>
        <w:br/>
      </w:r>
      <w:r w:rsidR="00A114B1">
        <w:rPr>
          <w:rFonts w:ascii="Arial" w:hAnsi="Arial"/>
          <w:sz w:val="16"/>
        </w:rPr>
        <w:t xml:space="preserve">проданных товаров, продукции (работ, услуг) с учетом коммерческих и управленческих расходов. В том случае, если сальдированный финансовый результат (прибыль </w:t>
      </w:r>
      <w:r w:rsidR="00DF7D63">
        <w:rPr>
          <w:rFonts w:ascii="Arial" w:hAnsi="Arial"/>
          <w:sz w:val="16"/>
        </w:rPr>
        <w:br/>
      </w:r>
      <w:r w:rsidR="00A114B1">
        <w:rPr>
          <w:rFonts w:ascii="Arial" w:hAnsi="Arial"/>
          <w:sz w:val="16"/>
        </w:rPr>
        <w:t>минус убыток) от проданных товаров, продукции (работ, услуг) отрицательный – имеет место убыточность.</w:t>
      </w:r>
      <w:r w:rsidR="00D51E69">
        <w:rPr>
          <w:rFonts w:ascii="Arial" w:hAnsi="Arial"/>
          <w:sz w:val="16"/>
        </w:rPr>
        <w:t xml:space="preserve"> Показатель формир</w:t>
      </w:r>
      <w:r w:rsidR="00D51E69" w:rsidRPr="00164A6D">
        <w:rPr>
          <w:rFonts w:ascii="Arial" w:hAnsi="Arial"/>
          <w:sz w:val="16"/>
        </w:rPr>
        <w:t>у</w:t>
      </w:r>
      <w:r w:rsidR="00F94445" w:rsidRPr="00164A6D">
        <w:rPr>
          <w:rFonts w:ascii="Arial" w:hAnsi="Arial"/>
          <w:sz w:val="16"/>
        </w:rPr>
        <w:t>ется</w:t>
      </w:r>
      <w:r w:rsidR="00D51E69" w:rsidRPr="00F94445">
        <w:rPr>
          <w:rFonts w:ascii="Arial" w:hAnsi="Arial"/>
          <w:color w:val="FF0000"/>
          <w:sz w:val="16"/>
        </w:rPr>
        <w:t xml:space="preserve"> </w:t>
      </w:r>
      <w:r w:rsidR="00D51E69">
        <w:rPr>
          <w:rFonts w:ascii="Arial" w:hAnsi="Arial"/>
          <w:sz w:val="16"/>
        </w:rPr>
        <w:t xml:space="preserve">по данным бухгалтерской отчетности </w:t>
      </w:r>
      <w:r w:rsidR="00DF7D63">
        <w:rPr>
          <w:rFonts w:ascii="Arial" w:hAnsi="Arial"/>
          <w:sz w:val="16"/>
        </w:rPr>
        <w:br/>
      </w:r>
      <w:r w:rsidR="00D51E69">
        <w:rPr>
          <w:rFonts w:ascii="Arial" w:hAnsi="Arial"/>
          <w:sz w:val="16"/>
        </w:rPr>
        <w:t>организаций.</w:t>
      </w:r>
    </w:p>
    <w:p w:rsidR="00516541" w:rsidRDefault="00516541" w:rsidP="007C48B8">
      <w:pPr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Дебиторская задолженность</w:t>
      </w:r>
      <w:r w:rsidR="00DF7D63">
        <w:rPr>
          <w:rFonts w:ascii="Arial" w:hAnsi="Arial"/>
          <w:sz w:val="16"/>
        </w:rPr>
        <w:t> – </w:t>
      </w:r>
      <w:r>
        <w:rPr>
          <w:rFonts w:ascii="Arial" w:hAnsi="Arial"/>
          <w:sz w:val="16"/>
        </w:rPr>
        <w:t xml:space="preserve">задолженность по расчетам с покупателями </w:t>
      </w:r>
      <w:r w:rsidR="000C44C9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и заказчиками за товары, работы и услуги, в том числе задолженность, обеспеченная векселями полученными; задолженность по расчетам с дочерними и зависимыми </w:t>
      </w:r>
      <w:r w:rsidR="000C44C9">
        <w:rPr>
          <w:rFonts w:ascii="Arial" w:hAnsi="Arial"/>
          <w:sz w:val="16"/>
        </w:rPr>
        <w:br/>
      </w:r>
      <w:r w:rsidRPr="00DF7D63">
        <w:rPr>
          <w:rFonts w:ascii="Arial" w:hAnsi="Arial"/>
          <w:spacing w:val="-2"/>
          <w:sz w:val="16"/>
        </w:rPr>
        <w:t>обществами; суммы уплаченных другим организациям авансов по предстоящим расчетам</w:t>
      </w:r>
      <w:r>
        <w:rPr>
          <w:rFonts w:ascii="Arial" w:hAnsi="Arial"/>
          <w:sz w:val="16"/>
        </w:rPr>
        <w:t xml:space="preserve"> в соответствии с заключенными договорами; </w:t>
      </w:r>
      <w:proofErr w:type="gramStart"/>
      <w:r>
        <w:rPr>
          <w:rFonts w:ascii="Arial" w:hAnsi="Arial"/>
          <w:sz w:val="16"/>
        </w:rPr>
        <w:t>задолженность по расчетам с прочими дебиторами, включающ</w:t>
      </w:r>
      <w:r w:rsidR="00BB13E2">
        <w:rPr>
          <w:rFonts w:ascii="Arial" w:hAnsi="Arial"/>
          <w:sz w:val="16"/>
        </w:rPr>
        <w:t>ая</w:t>
      </w:r>
      <w:r>
        <w:rPr>
          <w:rFonts w:ascii="Arial" w:hAnsi="Arial"/>
          <w:sz w:val="16"/>
        </w:rPr>
        <w:t xml:space="preserve"> в себя задолженность финансовых и налоговых органов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(в том числе по переплате по налогам, сборам и прочим платежам в бюджет);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задолженность работников организации по предоставленным им ссудам и займам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за счет средств этой организации или кредита (ссуды на индивидуальное</w:t>
      </w:r>
      <w:proofErr w:type="gramEnd"/>
      <w:r>
        <w:rPr>
          <w:rFonts w:ascii="Arial" w:hAnsi="Arial"/>
          <w:sz w:val="16"/>
        </w:rPr>
        <w:t xml:space="preserve">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</w:t>
      </w:r>
      <w:r w:rsidRPr="00DF7D63">
        <w:rPr>
          <w:rFonts w:ascii="Arial" w:hAnsi="Arial"/>
          <w:spacing w:val="-2"/>
          <w:sz w:val="16"/>
        </w:rPr>
        <w:t>обзаведение домашним хозяйством и др.); задолженность подотчетных лиц; поставщиков</w:t>
      </w:r>
      <w:r>
        <w:rPr>
          <w:rFonts w:ascii="Arial" w:hAnsi="Arial"/>
          <w:sz w:val="16"/>
        </w:rPr>
        <w:t xml:space="preserve"> по недостачам товарно-материальных ценностей, обнаруженным при приемке; </w:t>
      </w:r>
      <w:r w:rsidR="00DF7D63">
        <w:rPr>
          <w:rFonts w:ascii="Arial" w:hAnsi="Arial"/>
          <w:sz w:val="16"/>
        </w:rPr>
        <w:br/>
      </w:r>
      <w:proofErr w:type="gramStart"/>
      <w:r w:rsidRPr="00DF7D63">
        <w:rPr>
          <w:rFonts w:ascii="Arial" w:hAnsi="Arial"/>
          <w:spacing w:val="-2"/>
          <w:sz w:val="16"/>
        </w:rPr>
        <w:t>задолженность по государственным заказам, федеральным программам за поставленные</w:t>
      </w:r>
      <w:r>
        <w:rPr>
          <w:rFonts w:ascii="Arial" w:hAnsi="Arial"/>
          <w:sz w:val="16"/>
        </w:rPr>
        <w:t xml:space="preserve"> товары, работы и услуги, а также штрафы, пени и неустойки, признанные должником или по которым получены решения суда (арбитражного суда) или другого органа, </w:t>
      </w:r>
      <w:r w:rsidR="00DF7D63">
        <w:rPr>
          <w:rFonts w:ascii="Arial" w:hAnsi="Arial"/>
          <w:sz w:val="16"/>
        </w:rPr>
        <w:br/>
      </w:r>
      <w:r w:rsidRPr="00DF7D63">
        <w:rPr>
          <w:rFonts w:ascii="Arial" w:hAnsi="Arial"/>
          <w:spacing w:val="-4"/>
          <w:sz w:val="16"/>
        </w:rPr>
        <w:t>имеющего в соответствии с законодательством Российской Федерации право на принятие</w:t>
      </w:r>
      <w:r>
        <w:rPr>
          <w:rFonts w:ascii="Arial" w:hAnsi="Arial"/>
          <w:sz w:val="16"/>
        </w:rPr>
        <w:t xml:space="preserve"> решения об их взыскании, отнесенные на фи</w:t>
      </w:r>
      <w:r w:rsidR="00D51E69">
        <w:rPr>
          <w:rFonts w:ascii="Arial" w:hAnsi="Arial"/>
          <w:sz w:val="16"/>
        </w:rPr>
        <w:t xml:space="preserve">нансовые результаты организации </w:t>
      </w:r>
      <w:r w:rsidR="00DF7D63">
        <w:rPr>
          <w:rFonts w:ascii="Arial" w:hAnsi="Arial"/>
          <w:sz w:val="16"/>
        </w:rPr>
        <w:br/>
      </w:r>
      <w:r w:rsidR="00ED00FC">
        <w:rPr>
          <w:rFonts w:ascii="Arial" w:hAnsi="Arial"/>
          <w:sz w:val="16"/>
        </w:rPr>
        <w:t>(</w:t>
      </w:r>
      <w:r w:rsidR="00D51E69">
        <w:rPr>
          <w:rFonts w:ascii="Arial" w:hAnsi="Arial"/>
          <w:sz w:val="16"/>
        </w:rPr>
        <w:t>по данным оперативной статистики</w:t>
      </w:r>
      <w:r w:rsidR="00ED00FC">
        <w:rPr>
          <w:rFonts w:ascii="Arial" w:hAnsi="Arial"/>
          <w:sz w:val="16"/>
        </w:rPr>
        <w:t>)</w:t>
      </w:r>
      <w:r w:rsidR="00D51E69">
        <w:rPr>
          <w:rFonts w:ascii="Arial" w:hAnsi="Arial"/>
          <w:sz w:val="16"/>
        </w:rPr>
        <w:t>.</w:t>
      </w:r>
      <w:proofErr w:type="gramEnd"/>
    </w:p>
    <w:p w:rsidR="00516541" w:rsidRDefault="00516541" w:rsidP="007C48B8">
      <w:pPr>
        <w:spacing w:line="200" w:lineRule="exact"/>
        <w:ind w:firstLine="284"/>
        <w:jc w:val="both"/>
        <w:rPr>
          <w:rFonts w:ascii="Arial" w:hAnsi="Arial"/>
          <w:b/>
          <w:spacing w:val="-2"/>
          <w:sz w:val="16"/>
        </w:rPr>
      </w:pPr>
      <w:proofErr w:type="gramStart"/>
      <w:r>
        <w:rPr>
          <w:rFonts w:ascii="Arial" w:hAnsi="Arial"/>
          <w:b/>
          <w:sz w:val="16"/>
        </w:rPr>
        <w:t>Кредиторская задолженность</w:t>
      </w:r>
      <w:r w:rsidR="00DF7D63">
        <w:rPr>
          <w:rFonts w:ascii="Arial" w:hAnsi="Arial"/>
          <w:b/>
          <w:sz w:val="16"/>
        </w:rPr>
        <w:t> </w:t>
      </w:r>
      <w:r w:rsidR="00DF7D63">
        <w:rPr>
          <w:rFonts w:ascii="Arial" w:hAnsi="Arial"/>
          <w:sz w:val="16"/>
        </w:rPr>
        <w:t>– </w:t>
      </w:r>
      <w:r>
        <w:rPr>
          <w:rFonts w:ascii="Arial" w:hAnsi="Arial"/>
          <w:sz w:val="16"/>
        </w:rPr>
        <w:t xml:space="preserve">задолженность по расчетам с поставщиками </w:t>
      </w:r>
      <w:r w:rsidR="000C44C9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и подрядчиками за поступившие материальные ценности, выполненные работы </w:t>
      </w:r>
      <w:r w:rsidR="000C44C9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начисленные, но не выплаченные суммы оплаты труда;</w:t>
      </w:r>
      <w:proofErr w:type="gramEnd"/>
      <w:r>
        <w:rPr>
          <w:rFonts w:ascii="Arial" w:hAnsi="Arial"/>
          <w:sz w:val="16"/>
        </w:rPr>
        <w:t xml:space="preserve"> задолженность по отчислениям </w:t>
      </w:r>
      <w:r w:rsidR="000C44C9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 xml:space="preserve">на </w:t>
      </w:r>
      <w:r>
        <w:rPr>
          <w:rFonts w:ascii="Arial" w:hAnsi="Arial"/>
          <w:spacing w:val="-2"/>
          <w:sz w:val="16"/>
        </w:rPr>
        <w:t xml:space="preserve">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</w:t>
      </w:r>
      <w:r>
        <w:rPr>
          <w:rFonts w:ascii="Arial" w:hAnsi="Arial"/>
          <w:spacing w:val="-2"/>
          <w:sz w:val="16"/>
        </w:rPr>
        <w:lastRenderedPageBreak/>
        <w:t xml:space="preserve">и внебюджетные фонды; задолженность организации по платежам по обязательному </w:t>
      </w:r>
      <w:r w:rsidR="000C44C9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и добровольному страхованию имущества и работников организации и другим видам страхования, в которых организация является страхователем; </w:t>
      </w:r>
      <w:proofErr w:type="gramStart"/>
      <w:r>
        <w:rPr>
          <w:rFonts w:ascii="Arial" w:hAnsi="Arial"/>
          <w:spacing w:val="-2"/>
          <w:sz w:val="16"/>
        </w:rPr>
        <w:t xml:space="preserve">авансы полученные, </w:t>
      </w:r>
      <w:r w:rsidR="00DF7D63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включающие сумму полученных авансов от сторонних организаций по предстоящим </w:t>
      </w:r>
      <w:r w:rsidR="00DF7D63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расчетам по заключенным договорам, а также штрафы, пени и неустойки, признанные </w:t>
      </w:r>
      <w:r w:rsidR="00DF7D63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</w:t>
      </w:r>
      <w:r w:rsidR="00DF7D63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на принятие решения об их взыскании и отнесенные на финансовые результаты </w:t>
      </w:r>
      <w:r w:rsidR="00DF7D63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>орга</w:t>
      </w:r>
      <w:r w:rsidR="00ED00FC">
        <w:rPr>
          <w:rFonts w:ascii="Arial" w:hAnsi="Arial"/>
          <w:spacing w:val="-2"/>
          <w:sz w:val="16"/>
        </w:rPr>
        <w:t>низации (по данным оперативной статистики).</w:t>
      </w:r>
      <w:proofErr w:type="gramEnd"/>
    </w:p>
    <w:p w:rsidR="00516541" w:rsidRDefault="00516541" w:rsidP="007C48B8">
      <w:pPr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Просроченная задолженность</w:t>
      </w:r>
      <w:r w:rsidR="00DF7D63">
        <w:rPr>
          <w:rFonts w:ascii="Arial" w:hAnsi="Arial"/>
          <w:sz w:val="16"/>
        </w:rPr>
        <w:t> – </w:t>
      </w:r>
      <w:r>
        <w:rPr>
          <w:rFonts w:ascii="Arial" w:hAnsi="Arial"/>
          <w:sz w:val="16"/>
        </w:rPr>
        <w:t xml:space="preserve">задолженность, не погашенная в сроки,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установ</w:t>
      </w:r>
      <w:r w:rsidR="00ED00FC">
        <w:rPr>
          <w:rFonts w:ascii="Arial" w:hAnsi="Arial"/>
          <w:sz w:val="16"/>
        </w:rPr>
        <w:t>ленные договором</w:t>
      </w:r>
      <w:r w:rsidR="00D51E69">
        <w:rPr>
          <w:rFonts w:ascii="Arial" w:hAnsi="Arial"/>
          <w:sz w:val="16"/>
        </w:rPr>
        <w:t xml:space="preserve"> </w:t>
      </w:r>
      <w:r w:rsidR="00ED00FC">
        <w:rPr>
          <w:rFonts w:ascii="Arial" w:hAnsi="Arial"/>
          <w:sz w:val="16"/>
        </w:rPr>
        <w:t>(</w:t>
      </w:r>
      <w:r w:rsidR="00D51E69">
        <w:rPr>
          <w:rFonts w:ascii="Arial" w:hAnsi="Arial"/>
          <w:sz w:val="16"/>
        </w:rPr>
        <w:t>по данным оперативной статистики</w:t>
      </w:r>
      <w:r w:rsidR="00ED00FC">
        <w:rPr>
          <w:rFonts w:ascii="Arial" w:hAnsi="Arial"/>
          <w:sz w:val="16"/>
        </w:rPr>
        <w:t>).</w:t>
      </w:r>
    </w:p>
    <w:p w:rsidR="00516541" w:rsidRDefault="00516541" w:rsidP="007C48B8">
      <w:pPr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Система показателей статистики цен</w:t>
      </w:r>
      <w:r>
        <w:rPr>
          <w:rFonts w:ascii="Arial" w:hAnsi="Arial"/>
          <w:sz w:val="16"/>
        </w:rPr>
        <w:t xml:space="preserve"> представляет собой совокупность </w:t>
      </w:r>
      <w:r w:rsidR="00DF7D63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взаимосвязанных и взаимодополняющих показателей, характеризующих как уровни цен, так и их изменение.</w:t>
      </w:r>
    </w:p>
    <w:p w:rsidR="0091636A" w:rsidRPr="0091636A" w:rsidRDefault="0091636A" w:rsidP="007C48B8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91636A">
        <w:rPr>
          <w:rFonts w:ascii="Arial" w:hAnsi="Arial"/>
          <w:b/>
          <w:sz w:val="16"/>
        </w:rPr>
        <w:t xml:space="preserve">Система индексов цен, </w:t>
      </w:r>
      <w:r w:rsidRPr="0091636A">
        <w:rPr>
          <w:rFonts w:ascii="Arial" w:hAnsi="Arial"/>
          <w:sz w:val="16"/>
        </w:rPr>
        <w:t xml:space="preserve">рассчитываемых органами </w:t>
      </w:r>
      <w:r w:rsidR="00591C1A">
        <w:rPr>
          <w:rFonts w:ascii="Arial" w:hAnsi="Arial"/>
          <w:sz w:val="16"/>
        </w:rPr>
        <w:t xml:space="preserve">государственной </w:t>
      </w:r>
      <w:r w:rsidRPr="0091636A">
        <w:rPr>
          <w:rFonts w:ascii="Arial" w:hAnsi="Arial"/>
          <w:sz w:val="16"/>
        </w:rPr>
        <w:t xml:space="preserve">статистики, </w:t>
      </w:r>
      <w:r w:rsidRPr="00DF7D63">
        <w:rPr>
          <w:rFonts w:ascii="Arial" w:hAnsi="Arial"/>
          <w:spacing w:val="-2"/>
          <w:sz w:val="16"/>
        </w:rPr>
        <w:t>включа</w:t>
      </w:r>
      <w:r w:rsidR="00325FA6" w:rsidRPr="00DF7D63">
        <w:rPr>
          <w:rFonts w:ascii="Arial" w:hAnsi="Arial"/>
          <w:spacing w:val="-2"/>
          <w:sz w:val="16"/>
        </w:rPr>
        <w:t>е</w:t>
      </w:r>
      <w:r w:rsidRPr="00DF7D63">
        <w:rPr>
          <w:rFonts w:ascii="Arial" w:hAnsi="Arial"/>
          <w:spacing w:val="-2"/>
          <w:sz w:val="16"/>
        </w:rPr>
        <w:t>т в себя индексы цен в производственном секторе и на потребительском рынке.</w:t>
      </w:r>
      <w:r w:rsidRPr="0091636A">
        <w:rPr>
          <w:rFonts w:ascii="Arial" w:hAnsi="Arial"/>
          <w:sz w:val="16"/>
        </w:rPr>
        <w:t xml:space="preserve"> Эти индексы рассчитываются по данным наблюдения за ценами </w:t>
      </w:r>
      <w:r w:rsidR="00325FA6">
        <w:rPr>
          <w:rFonts w:ascii="Arial" w:hAnsi="Arial"/>
          <w:sz w:val="16"/>
        </w:rPr>
        <w:t xml:space="preserve">на </w:t>
      </w:r>
      <w:r w:rsidRPr="0091636A">
        <w:rPr>
          <w:rFonts w:ascii="Arial" w:hAnsi="Arial"/>
          <w:sz w:val="16"/>
        </w:rPr>
        <w:t>товар</w:t>
      </w:r>
      <w:r w:rsidR="00325FA6">
        <w:rPr>
          <w:rFonts w:ascii="Arial" w:hAnsi="Arial"/>
          <w:sz w:val="16"/>
        </w:rPr>
        <w:t>ы</w:t>
      </w:r>
      <w:r w:rsidRPr="0091636A">
        <w:rPr>
          <w:rFonts w:ascii="Arial" w:hAnsi="Arial"/>
          <w:sz w:val="16"/>
        </w:rPr>
        <w:t xml:space="preserve"> (услуг</w:t>
      </w:r>
      <w:r w:rsidR="00325FA6">
        <w:rPr>
          <w:rFonts w:ascii="Arial" w:hAnsi="Arial"/>
          <w:sz w:val="16"/>
        </w:rPr>
        <w:t>и</w:t>
      </w:r>
      <w:r w:rsidRPr="0091636A">
        <w:rPr>
          <w:rFonts w:ascii="Arial" w:hAnsi="Arial"/>
          <w:sz w:val="16"/>
        </w:rPr>
        <w:t xml:space="preserve">) </w:t>
      </w:r>
      <w:r w:rsidR="00DF7D63">
        <w:rPr>
          <w:rFonts w:ascii="Arial" w:hAnsi="Arial"/>
          <w:sz w:val="16"/>
        </w:rPr>
        <w:t>–</w:t>
      </w:r>
      <w:r w:rsidRPr="0091636A">
        <w:rPr>
          <w:rFonts w:ascii="Arial" w:hAnsi="Arial"/>
          <w:sz w:val="16"/>
        </w:rPr>
        <w:t xml:space="preserve"> представител</w:t>
      </w:r>
      <w:r w:rsidR="00325FA6">
        <w:rPr>
          <w:rFonts w:ascii="Arial" w:hAnsi="Arial"/>
          <w:sz w:val="16"/>
        </w:rPr>
        <w:t>и</w:t>
      </w:r>
      <w:r w:rsidRPr="0091636A">
        <w:rPr>
          <w:rFonts w:ascii="Arial" w:hAnsi="Arial"/>
          <w:sz w:val="16"/>
        </w:rPr>
        <w:t xml:space="preserve"> по выборочному кругу организаций всех типов и форм собственности.</w:t>
      </w:r>
      <w:r w:rsidRPr="0091636A">
        <w:rPr>
          <w:rFonts w:ascii="Arial" w:hAnsi="Arial"/>
          <w:b/>
          <w:sz w:val="16"/>
        </w:rPr>
        <w:t xml:space="preserve"> </w:t>
      </w:r>
    </w:p>
    <w:p w:rsidR="00516541" w:rsidRDefault="00516541" w:rsidP="007C48B8">
      <w:pPr>
        <w:pStyle w:val="ad"/>
        <w:spacing w:line="200" w:lineRule="exact"/>
      </w:pPr>
      <w:r w:rsidRPr="0091636A">
        <w:rPr>
          <w:b/>
        </w:rPr>
        <w:t>Индексы цен производителей сельскохозяйственн</w:t>
      </w:r>
      <w:r w:rsidR="00377C88" w:rsidRPr="0091636A">
        <w:rPr>
          <w:b/>
        </w:rPr>
        <w:t>ой продукции</w:t>
      </w:r>
      <w:r w:rsidRPr="00377C88">
        <w:rPr>
          <w:color w:val="FF0000"/>
        </w:rPr>
        <w:t xml:space="preserve"> </w:t>
      </w:r>
      <w:r>
        <w:t xml:space="preserve">исчисляются на основании регистрации в отобранных для наблюдения сельскохозяйственных </w:t>
      </w:r>
      <w:r w:rsidR="00DF7D63">
        <w:br/>
      </w:r>
      <w:r w:rsidRPr="00DF7D63">
        <w:rPr>
          <w:spacing w:val="-2"/>
        </w:rPr>
        <w:t xml:space="preserve">организациях цен на основные виды товаров-представителей, реализуемых </w:t>
      </w:r>
      <w:r w:rsidR="00DF7D63">
        <w:rPr>
          <w:spacing w:val="-2"/>
        </w:rPr>
        <w:br/>
      </w:r>
      <w:r w:rsidRPr="00DF7D63">
        <w:rPr>
          <w:spacing w:val="-2"/>
        </w:rPr>
        <w:t>заготовительным,</w:t>
      </w:r>
      <w:r>
        <w:t xml:space="preserve"> перерабатывающим организациям, на рынке, через собственную </w:t>
      </w:r>
      <w:r w:rsidR="00DF7D63">
        <w:br/>
      </w:r>
      <w:r>
        <w:t xml:space="preserve">торговую сеть, населению непосредственно с транспортных средств, на ярмарках, </w:t>
      </w:r>
      <w:r w:rsidR="00DF7D63">
        <w:br/>
      </w:r>
      <w:r w:rsidRPr="00DF7D63">
        <w:rPr>
          <w:spacing w:val="-2"/>
        </w:rPr>
        <w:t>биржах, аукционах, организациям, коммерческим структурам и т.п. Цены производителей</w:t>
      </w:r>
      <w:r>
        <w:t xml:space="preserve">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</w:t>
      </w:r>
    </w:p>
    <w:p w:rsidR="00516541" w:rsidRPr="007C48B8" w:rsidRDefault="004577B8" w:rsidP="007C48B8">
      <w:pPr>
        <w:pStyle w:val="ad"/>
        <w:spacing w:line="200" w:lineRule="exact"/>
      </w:pPr>
      <w:proofErr w:type="gramStart"/>
      <w:r w:rsidRPr="004577B8">
        <w:rPr>
          <w:b/>
        </w:rPr>
        <w:t>Индексы цен на промышленные товары и услуги, приобретенные сельскох</w:t>
      </w:r>
      <w:r w:rsidRPr="004577B8">
        <w:rPr>
          <w:b/>
        </w:rPr>
        <w:t>о</w:t>
      </w:r>
      <w:r w:rsidRPr="004577B8">
        <w:rPr>
          <w:b/>
        </w:rPr>
        <w:t>зяйственными организациями</w:t>
      </w:r>
      <w:r w:rsidRPr="007C48B8">
        <w:rPr>
          <w:b/>
        </w:rPr>
        <w:t xml:space="preserve">, </w:t>
      </w:r>
      <w:r w:rsidRPr="007C48B8">
        <w:t xml:space="preserve">рассчитываются по сопоставимому кругу товаров </w:t>
      </w:r>
      <w:r w:rsidR="001B13D5">
        <w:br/>
      </w:r>
      <w:r w:rsidRPr="007C48B8">
        <w:t>и услуг в отчетном и базисном периодах.</w:t>
      </w:r>
      <w:proofErr w:type="gramEnd"/>
      <w:r w:rsidRPr="007C48B8">
        <w:t xml:space="preserve"> В качестве весов используются данные </w:t>
      </w:r>
      <w:r w:rsidR="001B13D5">
        <w:br/>
      </w:r>
      <w:r w:rsidRPr="007C48B8">
        <w:t>о количестве приобретенных товаров и услуг за предыдущий год.</w:t>
      </w:r>
    </w:p>
    <w:p w:rsidR="004577B8" w:rsidRPr="007C48B8" w:rsidRDefault="004577B8" w:rsidP="007C48B8">
      <w:pPr>
        <w:pStyle w:val="ad"/>
        <w:spacing w:line="200" w:lineRule="exact"/>
      </w:pPr>
      <w:r w:rsidRPr="007C48B8">
        <w:t xml:space="preserve">Средняя цена приобретения включает, помимо цены производства, налог </w:t>
      </w:r>
      <w:r w:rsidR="000C44C9">
        <w:br/>
      </w:r>
      <w:r w:rsidRPr="007C48B8">
        <w:t>на добавленную стоимость, акциз, транспортные, сбытовые, посреднические и другие расходы.</w:t>
      </w:r>
    </w:p>
    <w:p w:rsidR="00231CEF" w:rsidRPr="008144B5" w:rsidRDefault="0091636A" w:rsidP="007C48B8">
      <w:pPr>
        <w:pStyle w:val="ad"/>
        <w:spacing w:line="200" w:lineRule="exact"/>
      </w:pPr>
      <w:r w:rsidRPr="007C48B8">
        <w:rPr>
          <w:b/>
        </w:rPr>
        <w:t xml:space="preserve">Средние потребительские цены и </w:t>
      </w:r>
      <w:r w:rsidRPr="00C16C3A">
        <w:rPr>
          <w:b/>
        </w:rPr>
        <w:t xml:space="preserve">индексы </w:t>
      </w:r>
      <w:r w:rsidR="00C16C3A" w:rsidRPr="00C16C3A">
        <w:rPr>
          <w:b/>
        </w:rPr>
        <w:t xml:space="preserve">потребительских </w:t>
      </w:r>
      <w:r w:rsidRPr="007C48B8">
        <w:rPr>
          <w:b/>
        </w:rPr>
        <w:t xml:space="preserve">цен </w:t>
      </w:r>
      <w:r w:rsidRPr="007C48B8">
        <w:t xml:space="preserve">на товары рассчитываются </w:t>
      </w:r>
      <w:r w:rsidRPr="00DF7D63">
        <w:rPr>
          <w:spacing w:val="-4"/>
        </w:rPr>
        <w:t xml:space="preserve">на </w:t>
      </w:r>
      <w:r w:rsidR="00626221" w:rsidRPr="00DF7D63">
        <w:rPr>
          <w:spacing w:val="-4"/>
        </w:rPr>
        <w:t xml:space="preserve">основе выборочного наблюдения за </w:t>
      </w:r>
      <w:r w:rsidRPr="00DF7D63">
        <w:rPr>
          <w:spacing w:val="-4"/>
        </w:rPr>
        <w:t>потребительски</w:t>
      </w:r>
      <w:r w:rsidR="00626221" w:rsidRPr="00DF7D63">
        <w:rPr>
          <w:spacing w:val="-4"/>
        </w:rPr>
        <w:t>ми</w:t>
      </w:r>
      <w:r w:rsidRPr="00DF7D63">
        <w:rPr>
          <w:spacing w:val="-4"/>
        </w:rPr>
        <w:t xml:space="preserve"> цен</w:t>
      </w:r>
      <w:r w:rsidR="00626221" w:rsidRPr="00DF7D63">
        <w:rPr>
          <w:spacing w:val="-4"/>
        </w:rPr>
        <w:t>ами</w:t>
      </w:r>
      <w:r w:rsidRPr="00DF7D63">
        <w:rPr>
          <w:spacing w:val="-4"/>
        </w:rPr>
        <w:t xml:space="preserve">, </w:t>
      </w:r>
      <w:r w:rsidR="00C16C3A">
        <w:rPr>
          <w:spacing w:val="-4"/>
        </w:rPr>
        <w:br/>
        <w:t>к</w:t>
      </w:r>
      <w:r w:rsidRPr="00DF7D63">
        <w:rPr>
          <w:spacing w:val="-4"/>
        </w:rPr>
        <w:t>отор</w:t>
      </w:r>
      <w:r w:rsidR="00626221" w:rsidRPr="00DF7D63">
        <w:rPr>
          <w:spacing w:val="-4"/>
        </w:rPr>
        <w:t>ое</w:t>
      </w:r>
      <w:r w:rsidRPr="00DF7D63">
        <w:rPr>
          <w:spacing w:val="-4"/>
        </w:rPr>
        <w:t xml:space="preserve"> осуществляется</w:t>
      </w:r>
      <w:r w:rsidRPr="008144B5">
        <w:t xml:space="preserve"> </w:t>
      </w:r>
      <w:r w:rsidR="00626221" w:rsidRPr="008144B5">
        <w:t xml:space="preserve">во </w:t>
      </w:r>
      <w:r w:rsidRPr="008144B5">
        <w:t>всех субъект</w:t>
      </w:r>
      <w:r w:rsidR="0080430A" w:rsidRPr="008144B5">
        <w:t>ах Р</w:t>
      </w:r>
      <w:r w:rsidRPr="008144B5">
        <w:t>оссийской Фе</w:t>
      </w:r>
      <w:r w:rsidR="00231CEF" w:rsidRPr="008144B5">
        <w:t xml:space="preserve">дерации </w:t>
      </w:r>
      <w:r w:rsidR="0080430A" w:rsidRPr="008144B5">
        <w:t xml:space="preserve">(в </w:t>
      </w:r>
      <w:r w:rsidR="00231CEF" w:rsidRPr="008144B5">
        <w:t xml:space="preserve">центрах субъектов </w:t>
      </w:r>
      <w:r w:rsidR="00C16C3A">
        <w:br/>
        <w:t>Р</w:t>
      </w:r>
      <w:r w:rsidR="00231CEF" w:rsidRPr="008144B5">
        <w:t>оссийской Федерации и выборочно в районных центрах)</w:t>
      </w:r>
      <w:r w:rsidR="000C44C9">
        <w:t>.</w:t>
      </w:r>
      <w:r w:rsidR="00231CEF" w:rsidRPr="008144B5">
        <w:t xml:space="preserve"> </w:t>
      </w:r>
    </w:p>
    <w:p w:rsidR="0091636A" w:rsidRPr="007C48B8" w:rsidRDefault="0091636A" w:rsidP="007C48B8">
      <w:pPr>
        <w:pStyle w:val="ad"/>
        <w:spacing w:line="200" w:lineRule="exact"/>
      </w:pPr>
      <w:r w:rsidRPr="00DF7D63">
        <w:rPr>
          <w:spacing w:val="-2"/>
        </w:rPr>
        <w:t xml:space="preserve">Регистрации подлежит фактическая цена товара, имеющегося в свободной </w:t>
      </w:r>
      <w:r w:rsidR="004A08A7" w:rsidRPr="00DF7D63">
        <w:rPr>
          <w:spacing w:val="-2"/>
        </w:rPr>
        <w:t>продаже</w:t>
      </w:r>
      <w:r w:rsidRPr="007C48B8">
        <w:t xml:space="preserve"> на потребительском рынке (без учета товаров, реализуемых на льготных условиях </w:t>
      </w:r>
      <w:r w:rsidR="00DF7D63">
        <w:br/>
      </w:r>
      <w:r w:rsidRPr="007C48B8">
        <w:t xml:space="preserve">для отдельных категорий граждан). </w:t>
      </w:r>
    </w:p>
    <w:p w:rsidR="0091636A" w:rsidRPr="007C48B8" w:rsidRDefault="0091636A" w:rsidP="007C48B8">
      <w:pPr>
        <w:pStyle w:val="ad"/>
        <w:spacing w:line="200" w:lineRule="exact"/>
      </w:pPr>
      <w:r w:rsidRPr="007C48B8">
        <w:t xml:space="preserve">Потребительская цена является конечной ценой потребления, включает НДС, </w:t>
      </w:r>
      <w:r w:rsidR="001B13D5">
        <w:br/>
      </w:r>
      <w:r w:rsidRPr="007C48B8">
        <w:t xml:space="preserve">акциз и другие </w:t>
      </w:r>
      <w:r w:rsidR="00626221">
        <w:t>виды налогов.</w:t>
      </w:r>
    </w:p>
    <w:p w:rsidR="007C48B8" w:rsidRDefault="0091636A" w:rsidP="007C48B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1636A">
        <w:rPr>
          <w:rFonts w:ascii="Arial" w:hAnsi="Arial" w:cs="Arial"/>
          <w:sz w:val="16"/>
          <w:szCs w:val="16"/>
        </w:rPr>
        <w:t xml:space="preserve">Индексы потребительских цен на отдельные товары измеряют отношение цен </w:t>
      </w:r>
      <w:r w:rsidR="001B13D5">
        <w:rPr>
          <w:rFonts w:ascii="Arial" w:hAnsi="Arial" w:cs="Arial"/>
          <w:sz w:val="16"/>
          <w:szCs w:val="16"/>
        </w:rPr>
        <w:br/>
      </w:r>
      <w:r w:rsidRPr="0091636A">
        <w:rPr>
          <w:rFonts w:ascii="Arial" w:hAnsi="Arial" w:cs="Arial"/>
          <w:sz w:val="16"/>
          <w:szCs w:val="16"/>
        </w:rPr>
        <w:t xml:space="preserve">на них в отчетном периоде к ценам </w:t>
      </w:r>
      <w:r w:rsidR="00F77E40">
        <w:rPr>
          <w:rFonts w:ascii="Arial" w:hAnsi="Arial" w:cs="Arial"/>
          <w:sz w:val="16"/>
          <w:szCs w:val="16"/>
        </w:rPr>
        <w:t xml:space="preserve">в </w:t>
      </w:r>
      <w:r w:rsidRPr="0091636A">
        <w:rPr>
          <w:rFonts w:ascii="Arial" w:hAnsi="Arial" w:cs="Arial"/>
          <w:sz w:val="16"/>
          <w:szCs w:val="16"/>
        </w:rPr>
        <w:t>предыдуще</w:t>
      </w:r>
      <w:r w:rsidR="00F77E40">
        <w:rPr>
          <w:rFonts w:ascii="Arial" w:hAnsi="Arial" w:cs="Arial"/>
          <w:sz w:val="16"/>
          <w:szCs w:val="16"/>
        </w:rPr>
        <w:t>м</w:t>
      </w:r>
      <w:r w:rsidRPr="0091636A">
        <w:rPr>
          <w:rFonts w:ascii="Arial" w:hAnsi="Arial" w:cs="Arial"/>
          <w:sz w:val="16"/>
          <w:szCs w:val="16"/>
        </w:rPr>
        <w:t xml:space="preserve"> (базисно</w:t>
      </w:r>
      <w:r w:rsidR="00F77E40">
        <w:rPr>
          <w:rFonts w:ascii="Arial" w:hAnsi="Arial" w:cs="Arial"/>
          <w:sz w:val="16"/>
          <w:szCs w:val="16"/>
        </w:rPr>
        <w:t>м</w:t>
      </w:r>
      <w:r w:rsidRPr="0091636A">
        <w:rPr>
          <w:rFonts w:ascii="Arial" w:hAnsi="Arial" w:cs="Arial"/>
          <w:sz w:val="16"/>
          <w:szCs w:val="16"/>
        </w:rPr>
        <w:t>) период</w:t>
      </w:r>
      <w:r w:rsidR="00F77E40">
        <w:rPr>
          <w:rFonts w:ascii="Arial" w:hAnsi="Arial" w:cs="Arial"/>
          <w:sz w:val="16"/>
          <w:szCs w:val="16"/>
        </w:rPr>
        <w:t>е</w:t>
      </w:r>
      <w:r w:rsidRPr="0091636A">
        <w:rPr>
          <w:rFonts w:ascii="Arial" w:hAnsi="Arial" w:cs="Arial"/>
          <w:sz w:val="16"/>
          <w:szCs w:val="16"/>
        </w:rPr>
        <w:t>.</w:t>
      </w:r>
    </w:p>
    <w:p w:rsidR="00265976" w:rsidRDefault="00265976" w:rsidP="009D3466">
      <w:pPr>
        <w:spacing w:after="120"/>
        <w:jc w:val="center"/>
        <w:rPr>
          <w:rFonts w:ascii="Arial" w:hAnsi="Arial"/>
          <w:sz w:val="12"/>
          <w:szCs w:val="12"/>
        </w:rPr>
      </w:pPr>
      <w:bookmarkStart w:id="0" w:name="_GoBack"/>
      <w:bookmarkEnd w:id="0"/>
    </w:p>
    <w:sectPr w:rsidR="00265976" w:rsidSect="00E3220F">
      <w:headerReference w:type="even" r:id="rId9"/>
      <w:footerReference w:type="even" r:id="rId10"/>
      <w:headerReference w:type="first" r:id="rId11"/>
      <w:pgSz w:w="11907" w:h="16840" w:code="9"/>
      <w:pgMar w:top="3657" w:right="2637" w:bottom="3657" w:left="2637" w:header="3033" w:footer="3204" w:gutter="0"/>
      <w:pgNumType w:start="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E" w:rsidRDefault="0097245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endnote>
  <w:endnote w:type="continuationSeparator" w:id="0">
    <w:p w:rsidR="0097245E" w:rsidRDefault="0097245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4"/>
      <w:gridCol w:w="6199"/>
    </w:tblGrid>
    <w:tr w:rsidR="0097245E">
      <w:trPr>
        <w:jc w:val="center"/>
      </w:trPr>
      <w:tc>
        <w:tcPr>
          <w:tcW w:w="397" w:type="dxa"/>
        </w:tcPr>
        <w:p w:rsidR="0097245E" w:rsidRDefault="0097245E" w:rsidP="00AF6233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Style w:val="ae"/>
              <w:rFonts w:ascii="Times New Roman" w:hAnsi="Times New Roman"/>
              <w:sz w:val="20"/>
            </w:rPr>
            <w:fldChar w:fldCharType="begin"/>
          </w:r>
          <w:r>
            <w:rPr>
              <w:rStyle w:val="ae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e"/>
              <w:rFonts w:ascii="Times New Roman" w:hAnsi="Times New Roman"/>
              <w:sz w:val="20"/>
            </w:rPr>
            <w:fldChar w:fldCharType="separate"/>
          </w:r>
          <w:r w:rsidR="009D3466">
            <w:rPr>
              <w:rStyle w:val="ae"/>
              <w:rFonts w:ascii="Times New Roman" w:hAnsi="Times New Roman"/>
              <w:noProof/>
              <w:sz w:val="20"/>
            </w:rPr>
            <w:t>90</w:t>
          </w:r>
          <w:r>
            <w:rPr>
              <w:rStyle w:val="ae"/>
              <w:rFonts w:ascii="Times New Roman" w:hAnsi="Times New Roman"/>
              <w:sz w:val="20"/>
            </w:rPr>
            <w:fldChar w:fldCharType="end"/>
          </w:r>
        </w:p>
      </w:tc>
      <w:tc>
        <w:tcPr>
          <w:tcW w:w="5670" w:type="dxa"/>
          <w:vAlign w:val="center"/>
        </w:tcPr>
        <w:p w:rsidR="0097245E" w:rsidRPr="00391002" w:rsidRDefault="0097245E" w:rsidP="00391002">
          <w:pPr>
            <w:pStyle w:val="a8"/>
            <w:spacing w:before="40"/>
            <w:ind w:right="57"/>
            <w:jc w:val="right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b/>
              <w:i/>
              <w:color w:val="000000"/>
              <w:sz w:val="12"/>
              <w:szCs w:val="12"/>
            </w:rPr>
            <w:t>СЕЛЬСКОЕ ХОЗЯЙСТВО В РОССИИ. 202</w:t>
          </w:r>
          <w:r>
            <w:rPr>
              <w:rFonts w:ascii="Times New Roman" w:hAnsi="Times New Roman"/>
              <w:b/>
              <w:i/>
              <w:color w:val="000000"/>
              <w:sz w:val="12"/>
              <w:szCs w:val="12"/>
              <w:lang w:val="en-US"/>
            </w:rPr>
            <w:t>3</w:t>
          </w:r>
        </w:p>
      </w:tc>
    </w:tr>
  </w:tbl>
  <w:p w:rsidR="0097245E" w:rsidRPr="007B4AA1" w:rsidRDefault="0097245E">
    <w:pPr>
      <w:pStyle w:val="a8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E" w:rsidRDefault="0097245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footnote>
  <w:footnote w:type="continuationSeparator" w:id="0">
    <w:p w:rsidR="0097245E" w:rsidRDefault="0097245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E" w:rsidRDefault="0097245E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 xml:space="preserve">6. ФИНАНСОВОЕ ПОЛОЖЕНИЕ </w:t>
    </w:r>
    <w:proofErr w:type="gramStart"/>
    <w:r>
      <w:rPr>
        <w:sz w:val="14"/>
        <w:lang w:val="en-US"/>
      </w:rPr>
      <w:t>C</w:t>
    </w:r>
    <w:proofErr w:type="gramEnd"/>
    <w:r>
      <w:rPr>
        <w:sz w:val="14"/>
      </w:rPr>
      <w:t xml:space="preserve">ЕЛЬСКОХОЗЯЙСТВЕННЫХ ОРГАНИЗАЦИЙ И ЦЕНЫ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E" w:rsidRDefault="0097245E">
    <w:pP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82387"/>
    <w:multiLevelType w:val="hybridMultilevel"/>
    <w:tmpl w:val="434AEC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E31270C"/>
    <w:multiLevelType w:val="hybridMultilevel"/>
    <w:tmpl w:val="1F5A08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DF2D9B"/>
    <w:multiLevelType w:val="hybridMultilevel"/>
    <w:tmpl w:val="2B780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C"/>
    <w:rsid w:val="00000356"/>
    <w:rsid w:val="00001F5D"/>
    <w:rsid w:val="000100AE"/>
    <w:rsid w:val="000144DB"/>
    <w:rsid w:val="00016D00"/>
    <w:rsid w:val="00020565"/>
    <w:rsid w:val="000207FC"/>
    <w:rsid w:val="00021722"/>
    <w:rsid w:val="00026202"/>
    <w:rsid w:val="000405D9"/>
    <w:rsid w:val="000450EF"/>
    <w:rsid w:val="00066693"/>
    <w:rsid w:val="000728C3"/>
    <w:rsid w:val="000741A6"/>
    <w:rsid w:val="00075683"/>
    <w:rsid w:val="000767B5"/>
    <w:rsid w:val="00084371"/>
    <w:rsid w:val="000902BE"/>
    <w:rsid w:val="000949F8"/>
    <w:rsid w:val="000A2315"/>
    <w:rsid w:val="000A6A46"/>
    <w:rsid w:val="000B1E01"/>
    <w:rsid w:val="000C30E6"/>
    <w:rsid w:val="000C3BED"/>
    <w:rsid w:val="000C44C9"/>
    <w:rsid w:val="000D156A"/>
    <w:rsid w:val="000D2CC3"/>
    <w:rsid w:val="000D61CF"/>
    <w:rsid w:val="000D7B0C"/>
    <w:rsid w:val="000E10E2"/>
    <w:rsid w:val="000E73C3"/>
    <w:rsid w:val="000F346B"/>
    <w:rsid w:val="000F3BA9"/>
    <w:rsid w:val="000F6CFD"/>
    <w:rsid w:val="00105916"/>
    <w:rsid w:val="00106AF5"/>
    <w:rsid w:val="001103D7"/>
    <w:rsid w:val="0011695A"/>
    <w:rsid w:val="00124A66"/>
    <w:rsid w:val="00132638"/>
    <w:rsid w:val="001507F9"/>
    <w:rsid w:val="00160658"/>
    <w:rsid w:val="0016289C"/>
    <w:rsid w:val="0016464A"/>
    <w:rsid w:val="001646D5"/>
    <w:rsid w:val="00164A6D"/>
    <w:rsid w:val="00164DD8"/>
    <w:rsid w:val="001661A7"/>
    <w:rsid w:val="001675E8"/>
    <w:rsid w:val="00175199"/>
    <w:rsid w:val="001777DF"/>
    <w:rsid w:val="0018294E"/>
    <w:rsid w:val="00185FC9"/>
    <w:rsid w:val="0018771B"/>
    <w:rsid w:val="00193BB1"/>
    <w:rsid w:val="001A11EB"/>
    <w:rsid w:val="001B13D5"/>
    <w:rsid w:val="001B58A0"/>
    <w:rsid w:val="001B5C33"/>
    <w:rsid w:val="001D276B"/>
    <w:rsid w:val="001D4D43"/>
    <w:rsid w:val="001E5597"/>
    <w:rsid w:val="001F1DBE"/>
    <w:rsid w:val="001F2DBE"/>
    <w:rsid w:val="0020199F"/>
    <w:rsid w:val="002042ED"/>
    <w:rsid w:val="0020520B"/>
    <w:rsid w:val="00214D7A"/>
    <w:rsid w:val="0022582C"/>
    <w:rsid w:val="002311DA"/>
    <w:rsid w:val="00231CEF"/>
    <w:rsid w:val="00232CA7"/>
    <w:rsid w:val="00234360"/>
    <w:rsid w:val="002470BB"/>
    <w:rsid w:val="002478A4"/>
    <w:rsid w:val="00255EA7"/>
    <w:rsid w:val="00262C38"/>
    <w:rsid w:val="002638E0"/>
    <w:rsid w:val="00264EFA"/>
    <w:rsid w:val="00265976"/>
    <w:rsid w:val="00272015"/>
    <w:rsid w:val="002733E6"/>
    <w:rsid w:val="002742BF"/>
    <w:rsid w:val="0027495D"/>
    <w:rsid w:val="0028362E"/>
    <w:rsid w:val="00290D2F"/>
    <w:rsid w:val="0029342D"/>
    <w:rsid w:val="002A4967"/>
    <w:rsid w:val="002A5E3D"/>
    <w:rsid w:val="002B06EF"/>
    <w:rsid w:val="002B58BE"/>
    <w:rsid w:val="002C152E"/>
    <w:rsid w:val="002C454B"/>
    <w:rsid w:val="002C4FA7"/>
    <w:rsid w:val="002D036E"/>
    <w:rsid w:val="002D121F"/>
    <w:rsid w:val="002D1818"/>
    <w:rsid w:val="002D3895"/>
    <w:rsid w:val="002D7EBE"/>
    <w:rsid w:val="002E278E"/>
    <w:rsid w:val="002E746E"/>
    <w:rsid w:val="002E7B1F"/>
    <w:rsid w:val="002F2715"/>
    <w:rsid w:val="002F3732"/>
    <w:rsid w:val="00300CF8"/>
    <w:rsid w:val="00302AAD"/>
    <w:rsid w:val="00310F79"/>
    <w:rsid w:val="0031170D"/>
    <w:rsid w:val="003160D7"/>
    <w:rsid w:val="00316A0A"/>
    <w:rsid w:val="00317CB4"/>
    <w:rsid w:val="00323AC1"/>
    <w:rsid w:val="003253B6"/>
    <w:rsid w:val="0032578A"/>
    <w:rsid w:val="00325FA6"/>
    <w:rsid w:val="00326741"/>
    <w:rsid w:val="003303E7"/>
    <w:rsid w:val="0033225F"/>
    <w:rsid w:val="00333A83"/>
    <w:rsid w:val="00340627"/>
    <w:rsid w:val="003416B5"/>
    <w:rsid w:val="003455F2"/>
    <w:rsid w:val="003464FA"/>
    <w:rsid w:val="003546D8"/>
    <w:rsid w:val="00356C56"/>
    <w:rsid w:val="00357F2F"/>
    <w:rsid w:val="003724F4"/>
    <w:rsid w:val="00375948"/>
    <w:rsid w:val="0037670C"/>
    <w:rsid w:val="00377C88"/>
    <w:rsid w:val="00380372"/>
    <w:rsid w:val="00385DB3"/>
    <w:rsid w:val="003877B0"/>
    <w:rsid w:val="00391002"/>
    <w:rsid w:val="003930FC"/>
    <w:rsid w:val="003A0536"/>
    <w:rsid w:val="003A3C0A"/>
    <w:rsid w:val="003A5AD5"/>
    <w:rsid w:val="003A602F"/>
    <w:rsid w:val="003B35A4"/>
    <w:rsid w:val="003B45E3"/>
    <w:rsid w:val="003B7265"/>
    <w:rsid w:val="003C183E"/>
    <w:rsid w:val="003C4FB8"/>
    <w:rsid w:val="003C6C74"/>
    <w:rsid w:val="003D35EF"/>
    <w:rsid w:val="003E1156"/>
    <w:rsid w:val="003E4422"/>
    <w:rsid w:val="003F497B"/>
    <w:rsid w:val="003F5D9B"/>
    <w:rsid w:val="003F7D3B"/>
    <w:rsid w:val="0040689C"/>
    <w:rsid w:val="00417263"/>
    <w:rsid w:val="00421261"/>
    <w:rsid w:val="00424D59"/>
    <w:rsid w:val="00430232"/>
    <w:rsid w:val="00450BC5"/>
    <w:rsid w:val="0045278B"/>
    <w:rsid w:val="004577B8"/>
    <w:rsid w:val="00465537"/>
    <w:rsid w:val="00465A30"/>
    <w:rsid w:val="00472784"/>
    <w:rsid w:val="0047475E"/>
    <w:rsid w:val="00475F32"/>
    <w:rsid w:val="00482A29"/>
    <w:rsid w:val="0049030F"/>
    <w:rsid w:val="004969F8"/>
    <w:rsid w:val="00497AFE"/>
    <w:rsid w:val="004A08A7"/>
    <w:rsid w:val="004A10B7"/>
    <w:rsid w:val="004A1DBC"/>
    <w:rsid w:val="004A4DFC"/>
    <w:rsid w:val="004A599C"/>
    <w:rsid w:val="004B7FC5"/>
    <w:rsid w:val="004E31EE"/>
    <w:rsid w:val="004F2EC9"/>
    <w:rsid w:val="005012AD"/>
    <w:rsid w:val="00502874"/>
    <w:rsid w:val="00504D50"/>
    <w:rsid w:val="0050578E"/>
    <w:rsid w:val="00506C42"/>
    <w:rsid w:val="00506E01"/>
    <w:rsid w:val="00513F10"/>
    <w:rsid w:val="00514044"/>
    <w:rsid w:val="00516541"/>
    <w:rsid w:val="005217DE"/>
    <w:rsid w:val="005258F3"/>
    <w:rsid w:val="0053193C"/>
    <w:rsid w:val="00532A58"/>
    <w:rsid w:val="00532FB6"/>
    <w:rsid w:val="005360DD"/>
    <w:rsid w:val="00547D71"/>
    <w:rsid w:val="005544FC"/>
    <w:rsid w:val="005806EC"/>
    <w:rsid w:val="00580E90"/>
    <w:rsid w:val="00584E36"/>
    <w:rsid w:val="00591998"/>
    <w:rsid w:val="00591C1A"/>
    <w:rsid w:val="005A5F53"/>
    <w:rsid w:val="005C31B7"/>
    <w:rsid w:val="005C40F1"/>
    <w:rsid w:val="005C7C79"/>
    <w:rsid w:val="005D322F"/>
    <w:rsid w:val="005E04D3"/>
    <w:rsid w:val="005E6408"/>
    <w:rsid w:val="006050D9"/>
    <w:rsid w:val="00613735"/>
    <w:rsid w:val="006140C8"/>
    <w:rsid w:val="006205D5"/>
    <w:rsid w:val="00626221"/>
    <w:rsid w:val="00636674"/>
    <w:rsid w:val="0063768C"/>
    <w:rsid w:val="006546E8"/>
    <w:rsid w:val="006742F1"/>
    <w:rsid w:val="00681D57"/>
    <w:rsid w:val="0068315C"/>
    <w:rsid w:val="006831E8"/>
    <w:rsid w:val="0068400F"/>
    <w:rsid w:val="00692DAB"/>
    <w:rsid w:val="006A2067"/>
    <w:rsid w:val="006A3CB7"/>
    <w:rsid w:val="006B0D30"/>
    <w:rsid w:val="006B387C"/>
    <w:rsid w:val="006B4213"/>
    <w:rsid w:val="006B525A"/>
    <w:rsid w:val="006B56C3"/>
    <w:rsid w:val="006D371F"/>
    <w:rsid w:val="006D7042"/>
    <w:rsid w:val="006D77EB"/>
    <w:rsid w:val="006E05F9"/>
    <w:rsid w:val="006E08C6"/>
    <w:rsid w:val="006E0EF6"/>
    <w:rsid w:val="006F1B86"/>
    <w:rsid w:val="006F2539"/>
    <w:rsid w:val="007025C7"/>
    <w:rsid w:val="00703551"/>
    <w:rsid w:val="007053F0"/>
    <w:rsid w:val="00710CB5"/>
    <w:rsid w:val="0071198E"/>
    <w:rsid w:val="00716BA7"/>
    <w:rsid w:val="00724A06"/>
    <w:rsid w:val="007365FD"/>
    <w:rsid w:val="00736884"/>
    <w:rsid w:val="00743B6B"/>
    <w:rsid w:val="00755AA0"/>
    <w:rsid w:val="00765722"/>
    <w:rsid w:val="0076799B"/>
    <w:rsid w:val="00774494"/>
    <w:rsid w:val="007749B4"/>
    <w:rsid w:val="00791CE2"/>
    <w:rsid w:val="007A55C5"/>
    <w:rsid w:val="007B4AA1"/>
    <w:rsid w:val="007B5CF1"/>
    <w:rsid w:val="007C48B8"/>
    <w:rsid w:val="007D121B"/>
    <w:rsid w:val="007D1399"/>
    <w:rsid w:val="0080430A"/>
    <w:rsid w:val="008043EC"/>
    <w:rsid w:val="00804E84"/>
    <w:rsid w:val="008144B5"/>
    <w:rsid w:val="00816FDF"/>
    <w:rsid w:val="00820B36"/>
    <w:rsid w:val="0082735C"/>
    <w:rsid w:val="008466EE"/>
    <w:rsid w:val="00850E3C"/>
    <w:rsid w:val="00851DAF"/>
    <w:rsid w:val="00852FD5"/>
    <w:rsid w:val="008571D6"/>
    <w:rsid w:val="00863F02"/>
    <w:rsid w:val="00870826"/>
    <w:rsid w:val="00877B2D"/>
    <w:rsid w:val="00890ED4"/>
    <w:rsid w:val="008915D1"/>
    <w:rsid w:val="00892980"/>
    <w:rsid w:val="00895B95"/>
    <w:rsid w:val="008B442E"/>
    <w:rsid w:val="008C3E59"/>
    <w:rsid w:val="008D01E7"/>
    <w:rsid w:val="008D021A"/>
    <w:rsid w:val="008D0B32"/>
    <w:rsid w:val="008D1B29"/>
    <w:rsid w:val="008D5868"/>
    <w:rsid w:val="008D6D7E"/>
    <w:rsid w:val="008D6EDF"/>
    <w:rsid w:val="008F0F76"/>
    <w:rsid w:val="008F13A3"/>
    <w:rsid w:val="008F1F57"/>
    <w:rsid w:val="008F580E"/>
    <w:rsid w:val="008F5B71"/>
    <w:rsid w:val="008F6525"/>
    <w:rsid w:val="008F71E3"/>
    <w:rsid w:val="008F7E41"/>
    <w:rsid w:val="0090333B"/>
    <w:rsid w:val="0090426C"/>
    <w:rsid w:val="00916078"/>
    <w:rsid w:val="0091636A"/>
    <w:rsid w:val="00916423"/>
    <w:rsid w:val="0091719D"/>
    <w:rsid w:val="00917B64"/>
    <w:rsid w:val="00921049"/>
    <w:rsid w:val="00931F09"/>
    <w:rsid w:val="00932CF8"/>
    <w:rsid w:val="00934B8B"/>
    <w:rsid w:val="00935C12"/>
    <w:rsid w:val="00935DB4"/>
    <w:rsid w:val="0093785A"/>
    <w:rsid w:val="0094139A"/>
    <w:rsid w:val="009515EB"/>
    <w:rsid w:val="00962D3F"/>
    <w:rsid w:val="0096321E"/>
    <w:rsid w:val="0096348A"/>
    <w:rsid w:val="00965767"/>
    <w:rsid w:val="00965DBC"/>
    <w:rsid w:val="0097245E"/>
    <w:rsid w:val="009730A1"/>
    <w:rsid w:val="00983A50"/>
    <w:rsid w:val="009849E5"/>
    <w:rsid w:val="009854D6"/>
    <w:rsid w:val="0099407B"/>
    <w:rsid w:val="00996212"/>
    <w:rsid w:val="009A3B4C"/>
    <w:rsid w:val="009B4B18"/>
    <w:rsid w:val="009D3466"/>
    <w:rsid w:val="009F4DC8"/>
    <w:rsid w:val="00A0532E"/>
    <w:rsid w:val="00A063AB"/>
    <w:rsid w:val="00A06CD2"/>
    <w:rsid w:val="00A114B1"/>
    <w:rsid w:val="00A12F11"/>
    <w:rsid w:val="00A15585"/>
    <w:rsid w:val="00A22B1A"/>
    <w:rsid w:val="00A241FB"/>
    <w:rsid w:val="00A35C27"/>
    <w:rsid w:val="00A50351"/>
    <w:rsid w:val="00A51E8B"/>
    <w:rsid w:val="00A560B0"/>
    <w:rsid w:val="00A57F05"/>
    <w:rsid w:val="00A61926"/>
    <w:rsid w:val="00A61E4F"/>
    <w:rsid w:val="00A644A1"/>
    <w:rsid w:val="00A66123"/>
    <w:rsid w:val="00A67EAA"/>
    <w:rsid w:val="00A80507"/>
    <w:rsid w:val="00A96692"/>
    <w:rsid w:val="00AA0A47"/>
    <w:rsid w:val="00AA0C23"/>
    <w:rsid w:val="00AA4C8B"/>
    <w:rsid w:val="00AB3033"/>
    <w:rsid w:val="00AB3130"/>
    <w:rsid w:val="00AC334C"/>
    <w:rsid w:val="00AC4D84"/>
    <w:rsid w:val="00AC63A6"/>
    <w:rsid w:val="00AE5726"/>
    <w:rsid w:val="00AE5A9B"/>
    <w:rsid w:val="00AF0688"/>
    <w:rsid w:val="00AF6233"/>
    <w:rsid w:val="00B1038F"/>
    <w:rsid w:val="00B10E5C"/>
    <w:rsid w:val="00B12282"/>
    <w:rsid w:val="00B13138"/>
    <w:rsid w:val="00B23E7B"/>
    <w:rsid w:val="00B26C3C"/>
    <w:rsid w:val="00B3288A"/>
    <w:rsid w:val="00B455D6"/>
    <w:rsid w:val="00B55A06"/>
    <w:rsid w:val="00B56177"/>
    <w:rsid w:val="00B65C81"/>
    <w:rsid w:val="00B73789"/>
    <w:rsid w:val="00B85F55"/>
    <w:rsid w:val="00B874A8"/>
    <w:rsid w:val="00B964AA"/>
    <w:rsid w:val="00BA20DB"/>
    <w:rsid w:val="00BA280A"/>
    <w:rsid w:val="00BA5794"/>
    <w:rsid w:val="00BB13E2"/>
    <w:rsid w:val="00BB6F48"/>
    <w:rsid w:val="00BC1A43"/>
    <w:rsid w:val="00BC1CD0"/>
    <w:rsid w:val="00BC6D80"/>
    <w:rsid w:val="00BD16A3"/>
    <w:rsid w:val="00BD1E8B"/>
    <w:rsid w:val="00BE2EA0"/>
    <w:rsid w:val="00BF24DF"/>
    <w:rsid w:val="00BF501F"/>
    <w:rsid w:val="00C03DC6"/>
    <w:rsid w:val="00C07325"/>
    <w:rsid w:val="00C108A4"/>
    <w:rsid w:val="00C14E61"/>
    <w:rsid w:val="00C1598A"/>
    <w:rsid w:val="00C16C3A"/>
    <w:rsid w:val="00C20125"/>
    <w:rsid w:val="00C26F1A"/>
    <w:rsid w:val="00C34D6E"/>
    <w:rsid w:val="00C357EB"/>
    <w:rsid w:val="00C415E8"/>
    <w:rsid w:val="00C51400"/>
    <w:rsid w:val="00C52D88"/>
    <w:rsid w:val="00C55825"/>
    <w:rsid w:val="00C56EF4"/>
    <w:rsid w:val="00C62CB7"/>
    <w:rsid w:val="00C66A71"/>
    <w:rsid w:val="00C71F63"/>
    <w:rsid w:val="00C734BC"/>
    <w:rsid w:val="00C7354C"/>
    <w:rsid w:val="00C80D36"/>
    <w:rsid w:val="00C93D8F"/>
    <w:rsid w:val="00CB2035"/>
    <w:rsid w:val="00CB385A"/>
    <w:rsid w:val="00CB5ED4"/>
    <w:rsid w:val="00CD1436"/>
    <w:rsid w:val="00CD6788"/>
    <w:rsid w:val="00CE116E"/>
    <w:rsid w:val="00CE2586"/>
    <w:rsid w:val="00CE29CA"/>
    <w:rsid w:val="00CE344B"/>
    <w:rsid w:val="00CE3F64"/>
    <w:rsid w:val="00CE51FE"/>
    <w:rsid w:val="00CE530B"/>
    <w:rsid w:val="00CF6F88"/>
    <w:rsid w:val="00D00CB7"/>
    <w:rsid w:val="00D06539"/>
    <w:rsid w:val="00D17B67"/>
    <w:rsid w:val="00D20BFE"/>
    <w:rsid w:val="00D20F19"/>
    <w:rsid w:val="00D216A8"/>
    <w:rsid w:val="00D237C6"/>
    <w:rsid w:val="00D24EC5"/>
    <w:rsid w:val="00D26D2A"/>
    <w:rsid w:val="00D31F78"/>
    <w:rsid w:val="00D41137"/>
    <w:rsid w:val="00D43CFD"/>
    <w:rsid w:val="00D4672D"/>
    <w:rsid w:val="00D51E69"/>
    <w:rsid w:val="00D54F0D"/>
    <w:rsid w:val="00D62DC9"/>
    <w:rsid w:val="00D66081"/>
    <w:rsid w:val="00D67068"/>
    <w:rsid w:val="00D72051"/>
    <w:rsid w:val="00D7472D"/>
    <w:rsid w:val="00D87C11"/>
    <w:rsid w:val="00D9482F"/>
    <w:rsid w:val="00D9721F"/>
    <w:rsid w:val="00DA0725"/>
    <w:rsid w:val="00DA17DC"/>
    <w:rsid w:val="00DA25A8"/>
    <w:rsid w:val="00DB0768"/>
    <w:rsid w:val="00DB5C56"/>
    <w:rsid w:val="00DC1A89"/>
    <w:rsid w:val="00DC1C6C"/>
    <w:rsid w:val="00DC2AD2"/>
    <w:rsid w:val="00DC3C37"/>
    <w:rsid w:val="00DC4CC4"/>
    <w:rsid w:val="00DD7EAF"/>
    <w:rsid w:val="00DE1F33"/>
    <w:rsid w:val="00DE3CA9"/>
    <w:rsid w:val="00DE6EEA"/>
    <w:rsid w:val="00DF5F77"/>
    <w:rsid w:val="00DF7D63"/>
    <w:rsid w:val="00E0588B"/>
    <w:rsid w:val="00E10A4F"/>
    <w:rsid w:val="00E11B39"/>
    <w:rsid w:val="00E14598"/>
    <w:rsid w:val="00E20D46"/>
    <w:rsid w:val="00E31273"/>
    <w:rsid w:val="00E3220F"/>
    <w:rsid w:val="00E37F54"/>
    <w:rsid w:val="00E40A95"/>
    <w:rsid w:val="00E445C8"/>
    <w:rsid w:val="00E4706B"/>
    <w:rsid w:val="00E52F05"/>
    <w:rsid w:val="00E576C9"/>
    <w:rsid w:val="00E62057"/>
    <w:rsid w:val="00E636DB"/>
    <w:rsid w:val="00E71DAE"/>
    <w:rsid w:val="00E83155"/>
    <w:rsid w:val="00E87364"/>
    <w:rsid w:val="00E95760"/>
    <w:rsid w:val="00EA2838"/>
    <w:rsid w:val="00EA6BD1"/>
    <w:rsid w:val="00EB1DA7"/>
    <w:rsid w:val="00EB25D4"/>
    <w:rsid w:val="00EB49F0"/>
    <w:rsid w:val="00ED00FC"/>
    <w:rsid w:val="00EE45AD"/>
    <w:rsid w:val="00EE6083"/>
    <w:rsid w:val="00EF4F5D"/>
    <w:rsid w:val="00EF69B5"/>
    <w:rsid w:val="00F00CBB"/>
    <w:rsid w:val="00F2150F"/>
    <w:rsid w:val="00F33397"/>
    <w:rsid w:val="00F33D53"/>
    <w:rsid w:val="00F5773F"/>
    <w:rsid w:val="00F65331"/>
    <w:rsid w:val="00F65DAD"/>
    <w:rsid w:val="00F67E4F"/>
    <w:rsid w:val="00F74391"/>
    <w:rsid w:val="00F755AF"/>
    <w:rsid w:val="00F75BBF"/>
    <w:rsid w:val="00F77E40"/>
    <w:rsid w:val="00F90710"/>
    <w:rsid w:val="00F94445"/>
    <w:rsid w:val="00F97675"/>
    <w:rsid w:val="00FA79DA"/>
    <w:rsid w:val="00FB1DA5"/>
    <w:rsid w:val="00FC1C05"/>
    <w:rsid w:val="00FC4025"/>
    <w:rsid w:val="00FD2785"/>
    <w:rsid w:val="00FE613A"/>
    <w:rsid w:val="00FE6E45"/>
    <w:rsid w:val="00FE703E"/>
    <w:rsid w:val="00FF0090"/>
    <w:rsid w:val="00FF044A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1">
    <w:name w:val="index 1"/>
    <w:basedOn w:val="a"/>
    <w:next w:val="a"/>
    <w:semiHidden/>
    <w:rPr>
      <w:rFonts w:ascii="Arial" w:hAnsi="Arial"/>
      <w:sz w:val="14"/>
    </w:rPr>
  </w:style>
  <w:style w:type="character" w:styleId="a6">
    <w:name w:val="line number"/>
    <w:rPr>
      <w:rFonts w:cs="Times New Roman"/>
    </w:rPr>
  </w:style>
  <w:style w:type="paragraph" w:styleId="a7">
    <w:name w:val="index heading"/>
    <w:basedOn w:val="a"/>
    <w:next w:val="11"/>
    <w:semiHidden/>
    <w:rPr>
      <w:rFonts w:ascii="Arial" w:hAnsi="Arial"/>
      <w:sz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semiHidden/>
    <w:rPr>
      <w:rFonts w:cs="Times New Roman"/>
      <w:position w:val="6"/>
      <w:sz w:val="16"/>
    </w:rPr>
  </w:style>
  <w:style w:type="paragraph" w:styleId="ab">
    <w:name w:val="footnote text"/>
    <w:basedOn w:val="a"/>
    <w:semiHidden/>
    <w:rPr>
      <w:rFonts w:ascii="Arial" w:hAnsi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d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e">
    <w:name w:val="page number"/>
    <w:rPr>
      <w:rFonts w:cs="Times New Roman"/>
    </w:rPr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2">
    <w:name w:val="Îáû÷íûé"/>
    <w:pPr>
      <w:widowControl w:val="0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584E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84E3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6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1">
    <w:name w:val="index 1"/>
    <w:basedOn w:val="a"/>
    <w:next w:val="a"/>
    <w:semiHidden/>
    <w:rPr>
      <w:rFonts w:ascii="Arial" w:hAnsi="Arial"/>
      <w:sz w:val="14"/>
    </w:rPr>
  </w:style>
  <w:style w:type="character" w:styleId="a6">
    <w:name w:val="line number"/>
    <w:rPr>
      <w:rFonts w:cs="Times New Roman"/>
    </w:rPr>
  </w:style>
  <w:style w:type="paragraph" w:styleId="a7">
    <w:name w:val="index heading"/>
    <w:basedOn w:val="a"/>
    <w:next w:val="11"/>
    <w:semiHidden/>
    <w:rPr>
      <w:rFonts w:ascii="Arial" w:hAnsi="Arial"/>
      <w:sz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semiHidden/>
    <w:rPr>
      <w:rFonts w:cs="Times New Roman"/>
      <w:position w:val="6"/>
      <w:sz w:val="16"/>
    </w:rPr>
  </w:style>
  <w:style w:type="paragraph" w:styleId="ab">
    <w:name w:val="footnote text"/>
    <w:basedOn w:val="a"/>
    <w:semiHidden/>
    <w:rPr>
      <w:rFonts w:ascii="Arial" w:hAnsi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d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e">
    <w:name w:val="page number"/>
    <w:rPr>
      <w:rFonts w:cs="Times New Roman"/>
    </w:rPr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2">
    <w:name w:val="Îáû÷íûé"/>
    <w:pPr>
      <w:widowControl w:val="0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584E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84E3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6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658F21-CD51-4F22-8C13-4ABD9EED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765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32</cp:revision>
  <cp:lastPrinted>2022-01-11T11:52:00Z</cp:lastPrinted>
  <dcterms:created xsi:type="dcterms:W3CDTF">2021-11-12T06:52:00Z</dcterms:created>
  <dcterms:modified xsi:type="dcterms:W3CDTF">2024-03-15T12:06:00Z</dcterms:modified>
</cp:coreProperties>
</file>