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21" w:rsidRPr="00C23DA1" w:rsidRDefault="00156AD3" w:rsidP="008A74D2">
      <w:pPr>
        <w:pageBreakBefore/>
        <w:widowControl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  <w:r w:rsidRPr="00C23DA1">
        <w:rPr>
          <w:rFonts w:ascii="Arial" w:hAnsi="Arial" w:cs="Arial"/>
          <w:b/>
          <w:sz w:val="16"/>
        </w:rPr>
        <w:t>МЕТОДОЛОГИЧЕСКИЕ ПОЯСНЕНИЯ</w:t>
      </w:r>
    </w:p>
    <w:p w:rsidR="00156AD3" w:rsidRPr="00C23DA1" w:rsidRDefault="00156AD3" w:rsidP="00987C87">
      <w:pPr>
        <w:pStyle w:val="a5"/>
        <w:spacing w:before="40"/>
        <w:rPr>
          <w:b/>
          <w:bCs/>
        </w:rPr>
      </w:pPr>
    </w:p>
    <w:p w:rsidR="008A74D2" w:rsidRPr="00C23DA1" w:rsidRDefault="008A74D2" w:rsidP="008A74D2">
      <w:pPr>
        <w:pStyle w:val="a5"/>
        <w:spacing w:line="240" w:lineRule="exact"/>
      </w:pPr>
      <w:r w:rsidRPr="00C23DA1">
        <w:rPr>
          <w:b/>
          <w:bCs/>
        </w:rPr>
        <w:t>Табл. 3.1-3.4 Финансовые вложения</w:t>
      </w:r>
      <w:r w:rsidRPr="00C23DA1">
        <w:t xml:space="preserve"> </w:t>
      </w:r>
      <w:r w:rsidRPr="00C23DA1">
        <w:rPr>
          <w:b/>
          <w:bCs/>
        </w:rPr>
        <w:t>организаций</w:t>
      </w:r>
      <w:r w:rsidRPr="00C23DA1">
        <w:t xml:space="preserve"> – инвестиции организации</w:t>
      </w:r>
      <w:r>
        <w:br/>
      </w:r>
      <w:r w:rsidRPr="00C23DA1">
        <w:t xml:space="preserve">в государственные и муниципальные ценные бумаги, ценные бумаги других </w:t>
      </w:r>
      <w:r>
        <w:br/>
      </w:r>
      <w:r w:rsidRPr="00C23DA1">
        <w:t xml:space="preserve">организаций, в том числе долговые ценные бумаги, в которых дата и стоимость </w:t>
      </w:r>
      <w:r>
        <w:br/>
      </w:r>
      <w:r w:rsidRPr="00C23DA1">
        <w:t xml:space="preserve">погашения определена (облигации, векселя); вклады в уставные (складочные) </w:t>
      </w:r>
      <w:r>
        <w:br/>
      </w:r>
      <w:r w:rsidRPr="00C23DA1">
        <w:t xml:space="preserve">капиталы других организаций (в том числе дочерних и зависимых хозяйственных </w:t>
      </w:r>
      <w:r>
        <w:br/>
      </w:r>
      <w:r w:rsidRPr="00C23DA1">
        <w:t xml:space="preserve">обществ); предоставленные другим организациям займы, депозитные вклады </w:t>
      </w:r>
      <w:r>
        <w:br/>
      </w:r>
      <w:r w:rsidRPr="00C23DA1">
        <w:t xml:space="preserve">в кредитных организациях, дебиторская задолженность, приобретенная на основании </w:t>
      </w:r>
      <w:r>
        <w:br/>
      </w:r>
      <w:r w:rsidRPr="00C23DA1">
        <w:t xml:space="preserve">уступки права требования, вклады организации-товарища по договору простого </w:t>
      </w:r>
      <w:r>
        <w:br/>
      </w:r>
      <w:r w:rsidRPr="00C23DA1">
        <w:t>товарищества и пр.</w:t>
      </w:r>
    </w:p>
    <w:p w:rsidR="008A74D2" w:rsidRPr="00C23DA1" w:rsidRDefault="008A74D2" w:rsidP="008A74D2">
      <w:pPr>
        <w:pStyle w:val="a5"/>
        <w:spacing w:line="240" w:lineRule="exact"/>
      </w:pPr>
      <w:r w:rsidRPr="00C23DA1">
        <w:rPr>
          <w:b/>
          <w:bCs/>
        </w:rPr>
        <w:t xml:space="preserve">Накопленные финансовые вложения </w:t>
      </w:r>
      <w:r w:rsidRPr="00C23DA1">
        <w:rPr>
          <w:bCs/>
        </w:rPr>
        <w:t xml:space="preserve">– </w:t>
      </w:r>
      <w:r w:rsidRPr="00C23DA1">
        <w:t xml:space="preserve">объем накопленных финансовых </w:t>
      </w:r>
      <w:r>
        <w:br/>
      </w:r>
      <w:r w:rsidRPr="00C23DA1">
        <w:t xml:space="preserve">вложений, произведенных юридическим лицом с начала их вложения с учетом </w:t>
      </w:r>
      <w:r>
        <w:br/>
      </w:r>
      <w:r w:rsidRPr="00C23DA1">
        <w:t xml:space="preserve">их изъятия и выбытия в отчетном периоде. </w:t>
      </w:r>
    </w:p>
    <w:p w:rsidR="008A74D2" w:rsidRPr="00C23DA1" w:rsidRDefault="008A74D2" w:rsidP="008A74D2">
      <w:pPr>
        <w:pStyle w:val="a5"/>
        <w:spacing w:line="240" w:lineRule="exact"/>
      </w:pPr>
      <w:r w:rsidRPr="00C23DA1">
        <w:t xml:space="preserve">Финансовые вложения, осуществленные организацией, в зависимости от срока </w:t>
      </w:r>
      <w:r>
        <w:br/>
      </w:r>
      <w:r w:rsidRPr="00C23DA1">
        <w:t xml:space="preserve">погашения займов и кредитов подразделяются </w:t>
      </w:r>
      <w:proofErr w:type="gramStart"/>
      <w:r w:rsidRPr="00C23DA1">
        <w:t>на</w:t>
      </w:r>
      <w:proofErr w:type="gramEnd"/>
      <w:r w:rsidRPr="00C23DA1">
        <w:t xml:space="preserve"> долгосрочные и краткосрочные.</w:t>
      </w:r>
    </w:p>
    <w:p w:rsidR="008A74D2" w:rsidRPr="00C23DA1" w:rsidRDefault="008A74D2" w:rsidP="008A74D2">
      <w:pPr>
        <w:pStyle w:val="a5"/>
        <w:spacing w:line="240" w:lineRule="exact"/>
        <w:rPr>
          <w:spacing w:val="2"/>
        </w:rPr>
      </w:pPr>
      <w:proofErr w:type="gramStart"/>
      <w:r w:rsidRPr="00C23DA1">
        <w:rPr>
          <w:b/>
          <w:bCs/>
          <w:spacing w:val="2"/>
        </w:rPr>
        <w:t xml:space="preserve">Долгосрочные финансовые вложения </w:t>
      </w:r>
      <w:r w:rsidRPr="00C23DA1">
        <w:rPr>
          <w:bCs/>
        </w:rPr>
        <w:t>–</w:t>
      </w:r>
      <w:r w:rsidRPr="00C23DA1">
        <w:rPr>
          <w:b/>
          <w:bCs/>
          <w:spacing w:val="2"/>
        </w:rPr>
        <w:t xml:space="preserve"> </w:t>
      </w:r>
      <w:r w:rsidRPr="00C23DA1">
        <w:rPr>
          <w:spacing w:val="2"/>
        </w:rPr>
        <w:t xml:space="preserve">вложения, осуществленные на срок более одного года с намерением получения доходов (дивидендов): инвестиции </w:t>
      </w:r>
      <w:r>
        <w:rPr>
          <w:spacing w:val="2"/>
        </w:rPr>
        <w:br/>
      </w:r>
      <w:r w:rsidRPr="00C23DA1">
        <w:rPr>
          <w:spacing w:val="2"/>
        </w:rPr>
        <w:t xml:space="preserve">организаций в доходные активы (ценные бумаги) других организаций, уставные (складочные) капиталы других организаций, созданных на территории Российской Федерации или за ее пределами, государственные ценные бумаги (облигации </w:t>
      </w:r>
      <w:r>
        <w:rPr>
          <w:spacing w:val="2"/>
        </w:rPr>
        <w:br/>
      </w:r>
      <w:r w:rsidRPr="00C23DA1">
        <w:rPr>
          <w:spacing w:val="2"/>
        </w:rPr>
        <w:t xml:space="preserve">и другие долговые обязательства) и т.п., а также предоставленные организацией другим организациям займы. </w:t>
      </w:r>
      <w:proofErr w:type="gramEnd"/>
    </w:p>
    <w:p w:rsidR="008A74D2" w:rsidRPr="00C23DA1" w:rsidRDefault="008A74D2" w:rsidP="008A74D2">
      <w:pPr>
        <w:pStyle w:val="a5"/>
        <w:spacing w:line="240" w:lineRule="exact"/>
      </w:pPr>
      <w:r w:rsidRPr="00C23DA1">
        <w:rPr>
          <w:b/>
          <w:bCs/>
        </w:rPr>
        <w:t xml:space="preserve">Краткосрочные финансовые вложения </w:t>
      </w:r>
      <w:r w:rsidRPr="00C23DA1">
        <w:rPr>
          <w:bCs/>
        </w:rPr>
        <w:t>–</w:t>
      </w:r>
      <w:r w:rsidRPr="00C23DA1">
        <w:rPr>
          <w:b/>
          <w:bCs/>
        </w:rPr>
        <w:t xml:space="preserve"> </w:t>
      </w:r>
      <w:r w:rsidRPr="00C23DA1">
        <w:t xml:space="preserve">вложения на срок не более одного </w:t>
      </w:r>
      <w:r>
        <w:br/>
      </w:r>
      <w:r w:rsidRPr="00C23DA1">
        <w:t xml:space="preserve">года, осуществленные с намерением получения доходов (дивидендов): в дочерние </w:t>
      </w:r>
      <w:r>
        <w:br/>
      </w:r>
      <w:r w:rsidRPr="00C23DA1">
        <w:t xml:space="preserve">и зависимые организации, инвестиции организации в ценные бумаги других </w:t>
      </w:r>
      <w:r>
        <w:br/>
      </w:r>
      <w:r w:rsidRPr="00C23DA1">
        <w:t>организаций, государственные ценные бумаги и т.п., а также предоставленные другим организациям займы на срок не более одного года и пр.</w:t>
      </w:r>
    </w:p>
    <w:p w:rsidR="00987C87" w:rsidRPr="00C23DA1" w:rsidRDefault="00987C87" w:rsidP="008A74D2">
      <w:pPr>
        <w:pStyle w:val="a5"/>
        <w:spacing w:line="240" w:lineRule="exact"/>
      </w:pPr>
    </w:p>
    <w:sectPr w:rsidR="00987C87" w:rsidRPr="00C23DA1" w:rsidSect="009344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289" w:right="2665" w:bottom="3289" w:left="2665" w:header="3289" w:footer="2948" w:gutter="0"/>
      <w:pgNumType w:start="11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62" w:rsidRDefault="00D43B62">
      <w:r>
        <w:separator/>
      </w:r>
    </w:p>
  </w:endnote>
  <w:endnote w:type="continuationSeparator" w:id="0">
    <w:p w:rsidR="00D43B62" w:rsidRDefault="00D4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D43B62">
      <w:trPr>
        <w:jc w:val="center"/>
      </w:trPr>
      <w:tc>
        <w:tcPr>
          <w:tcW w:w="562" w:type="dxa"/>
        </w:tcPr>
        <w:p w:rsidR="00D43B62" w:rsidRDefault="00D43B62">
          <w:pPr>
            <w:pStyle w:val="a4"/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D440EB">
            <w:rPr>
              <w:rStyle w:val="a8"/>
              <w:noProof/>
            </w:rPr>
            <w:t>120</w:t>
          </w:r>
          <w:r>
            <w:rPr>
              <w:rStyle w:val="a8"/>
            </w:rPr>
            <w:fldChar w:fldCharType="end"/>
          </w:r>
        </w:p>
      </w:tc>
      <w:tc>
        <w:tcPr>
          <w:tcW w:w="6014" w:type="dxa"/>
          <w:vAlign w:val="center"/>
        </w:tcPr>
        <w:p w:rsidR="00D43B62" w:rsidRPr="008A74D2" w:rsidRDefault="00D43B62" w:rsidP="008A74D2">
          <w:pPr>
            <w:pStyle w:val="a4"/>
            <w:jc w:val="right"/>
          </w:pPr>
          <w:r>
            <w:rPr>
              <w:b/>
              <w:i/>
              <w:color w:val="000000"/>
              <w:sz w:val="14"/>
            </w:rPr>
            <w:t>ИНВЕСТИЦИИ В РОССИИ. 2023</w:t>
          </w:r>
        </w:p>
      </w:tc>
    </w:tr>
  </w:tbl>
  <w:p w:rsidR="00D43B62" w:rsidRDefault="00D43B62">
    <w:pPr>
      <w:pStyle w:val="a4"/>
      <w:jc w:val="both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4"/>
      <w:gridCol w:w="562"/>
    </w:tblGrid>
    <w:tr w:rsidR="00D43B62">
      <w:trPr>
        <w:jc w:val="center"/>
      </w:trPr>
      <w:tc>
        <w:tcPr>
          <w:tcW w:w="6014" w:type="dxa"/>
        </w:tcPr>
        <w:p w:rsidR="00D43B62" w:rsidRPr="008A74D2" w:rsidRDefault="00D43B62" w:rsidP="008A74D2">
          <w:pPr>
            <w:pStyle w:val="a4"/>
            <w:spacing w:before="30"/>
          </w:pPr>
          <w:r>
            <w:rPr>
              <w:b/>
              <w:i/>
              <w:color w:val="000000"/>
              <w:sz w:val="14"/>
            </w:rPr>
            <w:t>ИНВЕСТИЦИИ В РОССИИ. 2023</w:t>
          </w:r>
        </w:p>
      </w:tc>
      <w:tc>
        <w:tcPr>
          <w:tcW w:w="562" w:type="dxa"/>
        </w:tcPr>
        <w:p w:rsidR="00D43B62" w:rsidRDefault="00D43B62">
          <w:pPr>
            <w:pStyle w:val="a4"/>
            <w:jc w:val="right"/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D440EB">
            <w:rPr>
              <w:rStyle w:val="a8"/>
              <w:noProof/>
            </w:rPr>
            <w:t>121</w:t>
          </w:r>
          <w:r>
            <w:rPr>
              <w:rStyle w:val="a8"/>
            </w:rPr>
            <w:fldChar w:fldCharType="end"/>
          </w:r>
        </w:p>
      </w:tc>
    </w:tr>
  </w:tbl>
  <w:p w:rsidR="00D43B62" w:rsidRDefault="00D43B62">
    <w:pPr>
      <w:pStyle w:val="a4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93444A" w:rsidTr="00A46B86">
      <w:trPr>
        <w:jc w:val="center"/>
      </w:trPr>
      <w:tc>
        <w:tcPr>
          <w:tcW w:w="562" w:type="dxa"/>
        </w:tcPr>
        <w:p w:rsidR="0093444A" w:rsidRDefault="0093444A" w:rsidP="00A46B86">
          <w:pPr>
            <w:pStyle w:val="a4"/>
          </w:pP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 w:rsidR="00D440EB">
            <w:rPr>
              <w:rStyle w:val="a8"/>
              <w:noProof/>
            </w:rPr>
            <w:t>114</w:t>
          </w:r>
          <w:r>
            <w:rPr>
              <w:rStyle w:val="a8"/>
            </w:rPr>
            <w:fldChar w:fldCharType="end"/>
          </w:r>
        </w:p>
      </w:tc>
      <w:tc>
        <w:tcPr>
          <w:tcW w:w="6014" w:type="dxa"/>
          <w:vAlign w:val="center"/>
        </w:tcPr>
        <w:p w:rsidR="0093444A" w:rsidRPr="008A74D2" w:rsidRDefault="0093444A" w:rsidP="00A46B86">
          <w:pPr>
            <w:pStyle w:val="a4"/>
            <w:jc w:val="right"/>
          </w:pPr>
          <w:r>
            <w:rPr>
              <w:b/>
              <w:i/>
              <w:color w:val="000000"/>
              <w:sz w:val="14"/>
            </w:rPr>
            <w:t>ИНВЕСТИЦИИ В РОССИИ. 2023</w:t>
          </w:r>
        </w:p>
      </w:tc>
    </w:tr>
  </w:tbl>
  <w:p w:rsidR="00D43B62" w:rsidRPr="005965E5" w:rsidRDefault="00D43B62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62" w:rsidRDefault="00D43B62">
      <w:r>
        <w:separator/>
      </w:r>
    </w:p>
  </w:footnote>
  <w:footnote w:type="continuationSeparator" w:id="0">
    <w:p w:rsidR="00D43B62" w:rsidRDefault="00D4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62" w:rsidRDefault="00D43B62">
    <w:pPr>
      <w:pStyle w:val="a7"/>
      <w:pBdr>
        <w:bottom w:val="single" w:sz="6" w:space="1" w:color="auto"/>
      </w:pBdr>
      <w:jc w:val="center"/>
      <w:rPr>
        <w:sz w:val="14"/>
      </w:rPr>
    </w:pPr>
    <w:r>
      <w:rPr>
        <w:sz w:val="14"/>
      </w:rPr>
      <w:t>3. ФИНАНСОВЫЕ ВЛОЖЕНИЯ ОРГАНИЗАЦИЙ</w:t>
    </w:r>
  </w:p>
  <w:p w:rsidR="00D43B62" w:rsidRDefault="00D43B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62" w:rsidRDefault="00D43B62">
    <w:pPr>
      <w:pStyle w:val="a7"/>
      <w:pBdr>
        <w:bottom w:val="single" w:sz="6" w:space="1" w:color="auto"/>
      </w:pBdr>
      <w:jc w:val="center"/>
      <w:rPr>
        <w:sz w:val="14"/>
      </w:rPr>
    </w:pPr>
    <w:r w:rsidRPr="00C939CC">
      <w:rPr>
        <w:sz w:val="14"/>
      </w:rPr>
      <w:t xml:space="preserve">3. </w:t>
    </w:r>
    <w:r>
      <w:rPr>
        <w:sz w:val="14"/>
      </w:rPr>
      <w:t>ФИНАНСОВЫЕ ВЛОЖЕНИЯ ОРГАНИЗАЦИЙ</w:t>
    </w:r>
  </w:p>
  <w:p w:rsidR="00D43B62" w:rsidRDefault="00D43B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13pt" o:bullet="t" fillcolor="window">
        <v:imagedata r:id="rId1" o:title="logo"/>
      </v:shape>
    </w:pict>
  </w:numPicBullet>
  <w:abstractNum w:abstractNumId="0">
    <w:nsid w:val="3F82315B"/>
    <w:multiLevelType w:val="singleLevel"/>
    <w:tmpl w:val="5F9A1F62"/>
    <w:lvl w:ilvl="0">
      <w:start w:val="3"/>
      <w:numFmt w:val="decimal"/>
      <w:pStyle w:val="a"/>
      <w:lvlText w:val="7.1.%1. "/>
      <w:legacy w:legacy="1" w:legacySpace="0" w:legacyIndent="360"/>
      <w:lvlJc w:val="left"/>
      <w:pPr>
        <w:ind w:left="1066" w:hanging="360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79"/>
    <w:rsid w:val="00007629"/>
    <w:rsid w:val="0004272D"/>
    <w:rsid w:val="00050FD6"/>
    <w:rsid w:val="000548B6"/>
    <w:rsid w:val="00056E9B"/>
    <w:rsid w:val="000A4759"/>
    <w:rsid w:val="000A4991"/>
    <w:rsid w:val="000C7F15"/>
    <w:rsid w:val="000E2076"/>
    <w:rsid w:val="000E30D3"/>
    <w:rsid w:val="000F7E1B"/>
    <w:rsid w:val="001006A5"/>
    <w:rsid w:val="0010073E"/>
    <w:rsid w:val="00123729"/>
    <w:rsid w:val="00124870"/>
    <w:rsid w:val="00127142"/>
    <w:rsid w:val="00131F26"/>
    <w:rsid w:val="00154D1B"/>
    <w:rsid w:val="00156AD3"/>
    <w:rsid w:val="00162BB4"/>
    <w:rsid w:val="00165767"/>
    <w:rsid w:val="001719C4"/>
    <w:rsid w:val="0017368F"/>
    <w:rsid w:val="001737B3"/>
    <w:rsid w:val="00174AB5"/>
    <w:rsid w:val="001969C0"/>
    <w:rsid w:val="001B349B"/>
    <w:rsid w:val="0020266D"/>
    <w:rsid w:val="00203713"/>
    <w:rsid w:val="002050E0"/>
    <w:rsid w:val="00211935"/>
    <w:rsid w:val="00220501"/>
    <w:rsid w:val="0022108D"/>
    <w:rsid w:val="002220A1"/>
    <w:rsid w:val="00223182"/>
    <w:rsid w:val="00231650"/>
    <w:rsid w:val="00235039"/>
    <w:rsid w:val="00235E50"/>
    <w:rsid w:val="00260F0C"/>
    <w:rsid w:val="00265D79"/>
    <w:rsid w:val="002765A4"/>
    <w:rsid w:val="002766F5"/>
    <w:rsid w:val="002A60D0"/>
    <w:rsid w:val="002B1239"/>
    <w:rsid w:val="002B2BA6"/>
    <w:rsid w:val="002B7C7B"/>
    <w:rsid w:val="002C170E"/>
    <w:rsid w:val="002C29D4"/>
    <w:rsid w:val="002E4D15"/>
    <w:rsid w:val="002F1584"/>
    <w:rsid w:val="002F72BF"/>
    <w:rsid w:val="003022FC"/>
    <w:rsid w:val="00304694"/>
    <w:rsid w:val="00313E4D"/>
    <w:rsid w:val="00335821"/>
    <w:rsid w:val="00336B35"/>
    <w:rsid w:val="00356CCB"/>
    <w:rsid w:val="00362B14"/>
    <w:rsid w:val="00376F6B"/>
    <w:rsid w:val="003839A8"/>
    <w:rsid w:val="00396800"/>
    <w:rsid w:val="003A0E54"/>
    <w:rsid w:val="003B19C9"/>
    <w:rsid w:val="003C4DE5"/>
    <w:rsid w:val="003D3BA8"/>
    <w:rsid w:val="003F0DE7"/>
    <w:rsid w:val="003F1C55"/>
    <w:rsid w:val="003F56EC"/>
    <w:rsid w:val="00420D53"/>
    <w:rsid w:val="004218D5"/>
    <w:rsid w:val="0042259C"/>
    <w:rsid w:val="00423126"/>
    <w:rsid w:val="00425F19"/>
    <w:rsid w:val="004337F9"/>
    <w:rsid w:val="004348BB"/>
    <w:rsid w:val="00444935"/>
    <w:rsid w:val="004473D1"/>
    <w:rsid w:val="004520A3"/>
    <w:rsid w:val="004527D3"/>
    <w:rsid w:val="004538F6"/>
    <w:rsid w:val="00456E3B"/>
    <w:rsid w:val="00470963"/>
    <w:rsid w:val="00471277"/>
    <w:rsid w:val="00472735"/>
    <w:rsid w:val="00480786"/>
    <w:rsid w:val="004B6220"/>
    <w:rsid w:val="004D2BD0"/>
    <w:rsid w:val="004E63DD"/>
    <w:rsid w:val="004E7BC0"/>
    <w:rsid w:val="004F6D1D"/>
    <w:rsid w:val="00507ACE"/>
    <w:rsid w:val="005113A3"/>
    <w:rsid w:val="00516018"/>
    <w:rsid w:val="0054562C"/>
    <w:rsid w:val="00546768"/>
    <w:rsid w:val="00550A2B"/>
    <w:rsid w:val="0056427F"/>
    <w:rsid w:val="00594D1E"/>
    <w:rsid w:val="005965E5"/>
    <w:rsid w:val="005C0E19"/>
    <w:rsid w:val="005D4CD3"/>
    <w:rsid w:val="005E1E23"/>
    <w:rsid w:val="005E4004"/>
    <w:rsid w:val="005E4DE6"/>
    <w:rsid w:val="005F51E7"/>
    <w:rsid w:val="00607EFC"/>
    <w:rsid w:val="00614DF9"/>
    <w:rsid w:val="00621B1A"/>
    <w:rsid w:val="006350D9"/>
    <w:rsid w:val="0064564D"/>
    <w:rsid w:val="00647983"/>
    <w:rsid w:val="006500D8"/>
    <w:rsid w:val="00670EB5"/>
    <w:rsid w:val="00696A3B"/>
    <w:rsid w:val="006A24E2"/>
    <w:rsid w:val="006B4448"/>
    <w:rsid w:val="006D6E34"/>
    <w:rsid w:val="006E0642"/>
    <w:rsid w:val="006E2AB8"/>
    <w:rsid w:val="006E391A"/>
    <w:rsid w:val="00706ABA"/>
    <w:rsid w:val="007152A0"/>
    <w:rsid w:val="00723D5B"/>
    <w:rsid w:val="007532E8"/>
    <w:rsid w:val="00753ECE"/>
    <w:rsid w:val="00764A5D"/>
    <w:rsid w:val="0078015B"/>
    <w:rsid w:val="007B5A85"/>
    <w:rsid w:val="007D1C47"/>
    <w:rsid w:val="007D7C3B"/>
    <w:rsid w:val="007E3D56"/>
    <w:rsid w:val="007F2F9A"/>
    <w:rsid w:val="007F37BE"/>
    <w:rsid w:val="007F5DB3"/>
    <w:rsid w:val="00812155"/>
    <w:rsid w:val="0081293B"/>
    <w:rsid w:val="00813644"/>
    <w:rsid w:val="008203EC"/>
    <w:rsid w:val="00820568"/>
    <w:rsid w:val="00834FD4"/>
    <w:rsid w:val="008354C9"/>
    <w:rsid w:val="00836ADF"/>
    <w:rsid w:val="008416D0"/>
    <w:rsid w:val="00842CED"/>
    <w:rsid w:val="0084302B"/>
    <w:rsid w:val="00846715"/>
    <w:rsid w:val="00847C3F"/>
    <w:rsid w:val="00853552"/>
    <w:rsid w:val="008546EA"/>
    <w:rsid w:val="00884A0E"/>
    <w:rsid w:val="00885BC9"/>
    <w:rsid w:val="00895203"/>
    <w:rsid w:val="00895545"/>
    <w:rsid w:val="0089636B"/>
    <w:rsid w:val="008A74D2"/>
    <w:rsid w:val="008B2480"/>
    <w:rsid w:val="008C4532"/>
    <w:rsid w:val="008D5B4E"/>
    <w:rsid w:val="008F5C58"/>
    <w:rsid w:val="00905490"/>
    <w:rsid w:val="00914391"/>
    <w:rsid w:val="00916A47"/>
    <w:rsid w:val="0093444A"/>
    <w:rsid w:val="009349D3"/>
    <w:rsid w:val="009403EC"/>
    <w:rsid w:val="00957C1D"/>
    <w:rsid w:val="00961822"/>
    <w:rsid w:val="00962DA2"/>
    <w:rsid w:val="00984535"/>
    <w:rsid w:val="00987C87"/>
    <w:rsid w:val="009A0BF5"/>
    <w:rsid w:val="009A0C26"/>
    <w:rsid w:val="009B26AF"/>
    <w:rsid w:val="009B3459"/>
    <w:rsid w:val="009C24A4"/>
    <w:rsid w:val="009D1735"/>
    <w:rsid w:val="009D673A"/>
    <w:rsid w:val="009E7643"/>
    <w:rsid w:val="009F701F"/>
    <w:rsid w:val="00A055CE"/>
    <w:rsid w:val="00A061BC"/>
    <w:rsid w:val="00A122FB"/>
    <w:rsid w:val="00A17CD1"/>
    <w:rsid w:val="00A32FAF"/>
    <w:rsid w:val="00A53307"/>
    <w:rsid w:val="00A81CD1"/>
    <w:rsid w:val="00A90BCB"/>
    <w:rsid w:val="00A971BF"/>
    <w:rsid w:val="00AB0D78"/>
    <w:rsid w:val="00AB25E1"/>
    <w:rsid w:val="00AE0204"/>
    <w:rsid w:val="00AE0930"/>
    <w:rsid w:val="00AE1D42"/>
    <w:rsid w:val="00AE300D"/>
    <w:rsid w:val="00AF0654"/>
    <w:rsid w:val="00B036E3"/>
    <w:rsid w:val="00B400C5"/>
    <w:rsid w:val="00B4216B"/>
    <w:rsid w:val="00B432AD"/>
    <w:rsid w:val="00B526BA"/>
    <w:rsid w:val="00B54C50"/>
    <w:rsid w:val="00B70BD5"/>
    <w:rsid w:val="00B77D87"/>
    <w:rsid w:val="00B832F1"/>
    <w:rsid w:val="00B85CA4"/>
    <w:rsid w:val="00B91A08"/>
    <w:rsid w:val="00BC4308"/>
    <w:rsid w:val="00C00712"/>
    <w:rsid w:val="00C15EB6"/>
    <w:rsid w:val="00C2261F"/>
    <w:rsid w:val="00C22F4E"/>
    <w:rsid w:val="00C23DA1"/>
    <w:rsid w:val="00C37E57"/>
    <w:rsid w:val="00C403B8"/>
    <w:rsid w:val="00C6015B"/>
    <w:rsid w:val="00C66C60"/>
    <w:rsid w:val="00C66D7C"/>
    <w:rsid w:val="00C725AF"/>
    <w:rsid w:val="00C81420"/>
    <w:rsid w:val="00C82DA1"/>
    <w:rsid w:val="00C84FA3"/>
    <w:rsid w:val="00C86972"/>
    <w:rsid w:val="00C86BB5"/>
    <w:rsid w:val="00C92AC8"/>
    <w:rsid w:val="00C939CC"/>
    <w:rsid w:val="00C9565E"/>
    <w:rsid w:val="00CA445F"/>
    <w:rsid w:val="00CA6091"/>
    <w:rsid w:val="00CA76F1"/>
    <w:rsid w:val="00CC11C1"/>
    <w:rsid w:val="00CC167D"/>
    <w:rsid w:val="00CD314C"/>
    <w:rsid w:val="00CD37A2"/>
    <w:rsid w:val="00CD5DEF"/>
    <w:rsid w:val="00CE6190"/>
    <w:rsid w:val="00CF7813"/>
    <w:rsid w:val="00D006CB"/>
    <w:rsid w:val="00D43B62"/>
    <w:rsid w:val="00D440EB"/>
    <w:rsid w:val="00D5345C"/>
    <w:rsid w:val="00D55D13"/>
    <w:rsid w:val="00D57D3E"/>
    <w:rsid w:val="00D82903"/>
    <w:rsid w:val="00D84A7C"/>
    <w:rsid w:val="00D86966"/>
    <w:rsid w:val="00D927CB"/>
    <w:rsid w:val="00D965D5"/>
    <w:rsid w:val="00D9663E"/>
    <w:rsid w:val="00DA2C04"/>
    <w:rsid w:val="00DB0240"/>
    <w:rsid w:val="00DB0E10"/>
    <w:rsid w:val="00DB1543"/>
    <w:rsid w:val="00DC4B01"/>
    <w:rsid w:val="00DD0F1B"/>
    <w:rsid w:val="00DD4EFB"/>
    <w:rsid w:val="00E0135D"/>
    <w:rsid w:val="00E07762"/>
    <w:rsid w:val="00E1056B"/>
    <w:rsid w:val="00E250EA"/>
    <w:rsid w:val="00E26899"/>
    <w:rsid w:val="00E51D7E"/>
    <w:rsid w:val="00E541D7"/>
    <w:rsid w:val="00E67075"/>
    <w:rsid w:val="00E82A7E"/>
    <w:rsid w:val="00EA395A"/>
    <w:rsid w:val="00EA4C91"/>
    <w:rsid w:val="00ED3CEE"/>
    <w:rsid w:val="00ED5C86"/>
    <w:rsid w:val="00EE5645"/>
    <w:rsid w:val="00EF0639"/>
    <w:rsid w:val="00F00F72"/>
    <w:rsid w:val="00F02BC5"/>
    <w:rsid w:val="00F06553"/>
    <w:rsid w:val="00F30065"/>
    <w:rsid w:val="00F31938"/>
    <w:rsid w:val="00F43C5B"/>
    <w:rsid w:val="00F62624"/>
    <w:rsid w:val="00F666F3"/>
    <w:rsid w:val="00F76D8C"/>
    <w:rsid w:val="00F76E6D"/>
    <w:rsid w:val="00F81769"/>
    <w:rsid w:val="00F829C6"/>
    <w:rsid w:val="00F92489"/>
    <w:rsid w:val="00F92CA8"/>
    <w:rsid w:val="00F94DEB"/>
    <w:rsid w:val="00F96C16"/>
    <w:rsid w:val="00FB29C0"/>
    <w:rsid w:val="00FB48ED"/>
    <w:rsid w:val="00FD0142"/>
    <w:rsid w:val="00FD1ACA"/>
    <w:rsid w:val="00FD1EC0"/>
    <w:rsid w:val="00FD2D9A"/>
    <w:rsid w:val="00FD31A5"/>
    <w:rsid w:val="00FD3727"/>
    <w:rsid w:val="00FE36A0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line="200" w:lineRule="exact"/>
      <w:ind w:right="340"/>
      <w:jc w:val="center"/>
      <w:outlineLvl w:val="0"/>
    </w:pPr>
    <w:rPr>
      <w:b/>
      <w:sz w:val="20"/>
    </w:rPr>
  </w:style>
  <w:style w:type="paragraph" w:styleId="2">
    <w:name w:val="heading 2"/>
    <w:basedOn w:val="a0"/>
    <w:next w:val="a0"/>
    <w:qFormat/>
    <w:pPr>
      <w:keepNext/>
      <w:spacing w:before="20" w:line="140" w:lineRule="exact"/>
      <w:jc w:val="left"/>
      <w:outlineLvl w:val="1"/>
    </w:pPr>
    <w:rPr>
      <w:rFonts w:ascii="Arial" w:hAnsi="Arial"/>
      <w:b/>
      <w:sz w:val="14"/>
    </w:rPr>
  </w:style>
  <w:style w:type="paragraph" w:styleId="3">
    <w:name w:val="heading 3"/>
    <w:basedOn w:val="a0"/>
    <w:next w:val="a0"/>
    <w:qFormat/>
    <w:pPr>
      <w:keepNext/>
      <w:spacing w:before="20" w:line="140" w:lineRule="exact"/>
      <w:ind w:right="57"/>
      <w:jc w:val="center"/>
      <w:outlineLvl w:val="2"/>
    </w:pPr>
    <w:rPr>
      <w:rFonts w:ascii="Arial" w:hAnsi="Arial"/>
      <w:b/>
      <w:sz w:val="14"/>
    </w:rPr>
  </w:style>
  <w:style w:type="paragraph" w:styleId="4">
    <w:name w:val="heading 4"/>
    <w:basedOn w:val="a0"/>
    <w:next w:val="a0"/>
    <w:qFormat/>
    <w:pPr>
      <w:keepNext/>
      <w:widowControl/>
      <w:spacing w:before="120" w:after="120" w:line="140" w:lineRule="exact"/>
      <w:ind w:right="227"/>
      <w:jc w:val="center"/>
      <w:outlineLvl w:val="3"/>
    </w:pPr>
    <w:rPr>
      <w:rFonts w:ascii="Arial" w:hAnsi="Arial"/>
      <w:b/>
      <w:sz w:val="14"/>
    </w:rPr>
  </w:style>
  <w:style w:type="paragraph" w:styleId="5">
    <w:name w:val="heading 5"/>
    <w:basedOn w:val="a0"/>
    <w:next w:val="a0"/>
    <w:qFormat/>
    <w:pPr>
      <w:keepNext/>
      <w:widowControl/>
      <w:spacing w:before="120" w:line="140" w:lineRule="exact"/>
      <w:ind w:right="113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0"/>
    <w:next w:val="a0"/>
    <w:qFormat/>
    <w:pPr>
      <w:keepNext/>
      <w:spacing w:before="20" w:line="140" w:lineRule="exact"/>
      <w:ind w:right="284"/>
      <w:jc w:val="center"/>
      <w:outlineLvl w:val="5"/>
    </w:pPr>
    <w:rPr>
      <w:rFonts w:ascii="Arial" w:hAnsi="Arial"/>
      <w:b/>
      <w:sz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5">
    <w:name w:val="Body Text Indent"/>
    <w:basedOn w:val="a0"/>
    <w:pPr>
      <w:spacing w:line="200" w:lineRule="exact"/>
      <w:ind w:firstLine="284"/>
    </w:pPr>
    <w:rPr>
      <w:rFonts w:ascii="Arial" w:hAnsi="Arial"/>
      <w:sz w:val="16"/>
    </w:rPr>
  </w:style>
  <w:style w:type="paragraph" w:styleId="a6">
    <w:name w:val="Body Text"/>
    <w:basedOn w:val="a0"/>
    <w:pPr>
      <w:jc w:val="center"/>
    </w:pPr>
    <w:rPr>
      <w:rFonts w:ascii="Arial" w:hAnsi="Arial"/>
      <w:b/>
      <w:sz w:val="16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20">
    <w:name w:val="Body Text 2"/>
    <w:basedOn w:val="a0"/>
    <w:pPr>
      <w:pBdr>
        <w:bottom w:val="single" w:sz="8" w:space="1" w:color="auto"/>
      </w:pBdr>
      <w:jc w:val="center"/>
    </w:pPr>
    <w:rPr>
      <w:rFonts w:ascii="Arial" w:hAnsi="Arial"/>
      <w:b/>
    </w:rPr>
  </w:style>
  <w:style w:type="character" w:styleId="a8">
    <w:name w:val="page number"/>
    <w:basedOn w:val="a1"/>
  </w:style>
  <w:style w:type="paragraph" w:customStyle="1" w:styleId="xl40">
    <w:name w:val="xl40"/>
    <w:basedOn w:val="a0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0">
    <w:name w:val="цифры1"/>
    <w:basedOn w:val="a0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">
    <w:name w:val="Title"/>
    <w:basedOn w:val="a0"/>
    <w:qFormat/>
    <w:pPr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styleId="30">
    <w:name w:val="Body Text 3"/>
    <w:basedOn w:val="a0"/>
    <w:pPr>
      <w:spacing w:before="40" w:after="20" w:line="140" w:lineRule="exact"/>
      <w:jc w:val="center"/>
    </w:pPr>
    <w:rPr>
      <w:rFonts w:ascii="Arial" w:hAnsi="Arial" w:cs="Arial"/>
      <w:bCs/>
      <w:sz w:val="12"/>
    </w:rPr>
  </w:style>
  <w:style w:type="paragraph" w:styleId="a9">
    <w:name w:val="Normal (Web)"/>
    <w:basedOn w:val="a0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a">
    <w:name w:val="Balloon Text"/>
    <w:basedOn w:val="a0"/>
    <w:link w:val="ab"/>
    <w:rsid w:val="00D84A7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84A7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507AC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07AC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line="200" w:lineRule="exact"/>
      <w:ind w:right="340"/>
      <w:jc w:val="center"/>
      <w:outlineLvl w:val="0"/>
    </w:pPr>
    <w:rPr>
      <w:b/>
      <w:sz w:val="20"/>
    </w:rPr>
  </w:style>
  <w:style w:type="paragraph" w:styleId="2">
    <w:name w:val="heading 2"/>
    <w:basedOn w:val="a0"/>
    <w:next w:val="a0"/>
    <w:qFormat/>
    <w:pPr>
      <w:keepNext/>
      <w:spacing w:before="20" w:line="140" w:lineRule="exact"/>
      <w:jc w:val="left"/>
      <w:outlineLvl w:val="1"/>
    </w:pPr>
    <w:rPr>
      <w:rFonts w:ascii="Arial" w:hAnsi="Arial"/>
      <w:b/>
      <w:sz w:val="14"/>
    </w:rPr>
  </w:style>
  <w:style w:type="paragraph" w:styleId="3">
    <w:name w:val="heading 3"/>
    <w:basedOn w:val="a0"/>
    <w:next w:val="a0"/>
    <w:qFormat/>
    <w:pPr>
      <w:keepNext/>
      <w:spacing w:before="20" w:line="140" w:lineRule="exact"/>
      <w:ind w:right="57"/>
      <w:jc w:val="center"/>
      <w:outlineLvl w:val="2"/>
    </w:pPr>
    <w:rPr>
      <w:rFonts w:ascii="Arial" w:hAnsi="Arial"/>
      <w:b/>
      <w:sz w:val="14"/>
    </w:rPr>
  </w:style>
  <w:style w:type="paragraph" w:styleId="4">
    <w:name w:val="heading 4"/>
    <w:basedOn w:val="a0"/>
    <w:next w:val="a0"/>
    <w:qFormat/>
    <w:pPr>
      <w:keepNext/>
      <w:widowControl/>
      <w:spacing w:before="120" w:after="120" w:line="140" w:lineRule="exact"/>
      <w:ind w:right="227"/>
      <w:jc w:val="center"/>
      <w:outlineLvl w:val="3"/>
    </w:pPr>
    <w:rPr>
      <w:rFonts w:ascii="Arial" w:hAnsi="Arial"/>
      <w:b/>
      <w:sz w:val="14"/>
    </w:rPr>
  </w:style>
  <w:style w:type="paragraph" w:styleId="5">
    <w:name w:val="heading 5"/>
    <w:basedOn w:val="a0"/>
    <w:next w:val="a0"/>
    <w:qFormat/>
    <w:pPr>
      <w:keepNext/>
      <w:widowControl/>
      <w:spacing w:before="120" w:line="140" w:lineRule="exact"/>
      <w:ind w:right="113"/>
      <w:jc w:val="center"/>
      <w:outlineLvl w:val="4"/>
    </w:pPr>
    <w:rPr>
      <w:rFonts w:ascii="Arial" w:hAnsi="Arial"/>
      <w:b/>
      <w:sz w:val="14"/>
    </w:rPr>
  </w:style>
  <w:style w:type="paragraph" w:styleId="6">
    <w:name w:val="heading 6"/>
    <w:basedOn w:val="a0"/>
    <w:next w:val="a0"/>
    <w:qFormat/>
    <w:pPr>
      <w:keepNext/>
      <w:spacing w:before="20" w:line="140" w:lineRule="exact"/>
      <w:ind w:right="284"/>
      <w:jc w:val="center"/>
      <w:outlineLvl w:val="5"/>
    </w:pPr>
    <w:rPr>
      <w:rFonts w:ascii="Arial" w:hAnsi="Arial"/>
      <w:b/>
      <w:sz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5">
    <w:name w:val="Body Text Indent"/>
    <w:basedOn w:val="a0"/>
    <w:pPr>
      <w:spacing w:line="200" w:lineRule="exact"/>
      <w:ind w:firstLine="284"/>
    </w:pPr>
    <w:rPr>
      <w:rFonts w:ascii="Arial" w:hAnsi="Arial"/>
      <w:sz w:val="16"/>
    </w:rPr>
  </w:style>
  <w:style w:type="paragraph" w:styleId="a6">
    <w:name w:val="Body Text"/>
    <w:basedOn w:val="a0"/>
    <w:pPr>
      <w:jc w:val="center"/>
    </w:pPr>
    <w:rPr>
      <w:rFonts w:ascii="Arial" w:hAnsi="Arial"/>
      <w:b/>
      <w:sz w:val="16"/>
    </w:rPr>
  </w:style>
  <w:style w:type="paragraph" w:styleId="a7">
    <w:name w:val="header"/>
    <w:basedOn w:val="a0"/>
    <w:pPr>
      <w:tabs>
        <w:tab w:val="center" w:pos="4153"/>
        <w:tab w:val="right" w:pos="8306"/>
      </w:tabs>
    </w:pPr>
  </w:style>
  <w:style w:type="paragraph" w:styleId="20">
    <w:name w:val="Body Text 2"/>
    <w:basedOn w:val="a0"/>
    <w:pPr>
      <w:pBdr>
        <w:bottom w:val="single" w:sz="8" w:space="1" w:color="auto"/>
      </w:pBdr>
      <w:jc w:val="center"/>
    </w:pPr>
    <w:rPr>
      <w:rFonts w:ascii="Arial" w:hAnsi="Arial"/>
      <w:b/>
    </w:rPr>
  </w:style>
  <w:style w:type="character" w:styleId="a8">
    <w:name w:val="page number"/>
    <w:basedOn w:val="a1"/>
  </w:style>
  <w:style w:type="paragraph" w:customStyle="1" w:styleId="xl40">
    <w:name w:val="xl40"/>
    <w:basedOn w:val="a0"/>
    <w:pPr>
      <w:widowControl/>
      <w:spacing w:before="100" w:after="100"/>
      <w:jc w:val="left"/>
    </w:pPr>
    <w:rPr>
      <w:rFonts w:ascii="Courier New" w:eastAsia="Arial Unicode MS" w:hAnsi="Courier New"/>
      <w:sz w:val="16"/>
    </w:rPr>
  </w:style>
  <w:style w:type="paragraph" w:customStyle="1" w:styleId="10">
    <w:name w:val="цифры1"/>
    <w:basedOn w:val="a0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">
    <w:name w:val="Title"/>
    <w:basedOn w:val="a0"/>
    <w:qFormat/>
    <w:pPr>
      <w:numPr>
        <w:numId w:val="1"/>
      </w:numPr>
      <w:spacing w:before="120" w:line="300" w:lineRule="exact"/>
      <w:jc w:val="center"/>
    </w:pPr>
    <w:rPr>
      <w:rFonts w:ascii="Arial CYR" w:hAnsi="Arial CYR"/>
      <w:b/>
      <w:caps/>
      <w:sz w:val="28"/>
    </w:rPr>
  </w:style>
  <w:style w:type="paragraph" w:styleId="30">
    <w:name w:val="Body Text 3"/>
    <w:basedOn w:val="a0"/>
    <w:pPr>
      <w:spacing w:before="40" w:after="20" w:line="140" w:lineRule="exact"/>
      <w:jc w:val="center"/>
    </w:pPr>
    <w:rPr>
      <w:rFonts w:ascii="Arial" w:hAnsi="Arial" w:cs="Arial"/>
      <w:bCs/>
      <w:sz w:val="12"/>
    </w:rPr>
  </w:style>
  <w:style w:type="paragraph" w:styleId="a9">
    <w:name w:val="Normal (Web)"/>
    <w:basedOn w:val="a0"/>
    <w:pPr>
      <w:widowControl/>
      <w:spacing w:before="100" w:beforeAutospacing="1" w:after="100" w:afterAutospacing="1"/>
      <w:jc w:val="left"/>
    </w:pPr>
    <w:rPr>
      <w:szCs w:val="24"/>
    </w:rPr>
  </w:style>
  <w:style w:type="paragraph" w:styleId="aa">
    <w:name w:val="Balloon Text"/>
    <w:basedOn w:val="a0"/>
    <w:link w:val="ab"/>
    <w:rsid w:val="00D84A7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84A7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507AC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07A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Госкомстат России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Упр-е ст-ки осн. фондов и строительства</dc:creator>
  <cp:lastModifiedBy>Читадзе Тамара Давидовна</cp:lastModifiedBy>
  <cp:revision>13</cp:revision>
  <cp:lastPrinted>2017-09-26T12:50:00Z</cp:lastPrinted>
  <dcterms:created xsi:type="dcterms:W3CDTF">2019-11-18T08:17:00Z</dcterms:created>
  <dcterms:modified xsi:type="dcterms:W3CDTF">2024-03-18T14:16:00Z</dcterms:modified>
</cp:coreProperties>
</file>