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CD" w:rsidRPr="006B6131" w:rsidRDefault="004A55CD" w:rsidP="006B6131">
      <w:pPr>
        <w:pStyle w:val="6"/>
        <w:spacing w:before="360"/>
        <w:rPr>
          <w:sz w:val="16"/>
        </w:rPr>
      </w:pPr>
      <w:bookmarkStart w:id="0" w:name="_GoBack"/>
      <w:bookmarkEnd w:id="0"/>
      <w:r w:rsidRPr="006B6131">
        <w:rPr>
          <w:sz w:val="16"/>
        </w:rPr>
        <w:t>МЕТОДОЛОГИЧЕСКИЕ ПОЯСНЕНИЯ</w:t>
      </w:r>
    </w:p>
    <w:p w:rsidR="004A55CD" w:rsidRPr="006B6131" w:rsidRDefault="004A55CD">
      <w:pPr>
        <w:jc w:val="center"/>
        <w:rPr>
          <w:rFonts w:ascii="Arial" w:hAnsi="Arial" w:cs="Arial"/>
          <w:sz w:val="16"/>
        </w:rPr>
      </w:pPr>
    </w:p>
    <w:p w:rsidR="00D668BA" w:rsidRPr="00371D0B" w:rsidRDefault="00D668BA" w:rsidP="00D668BA">
      <w:pPr>
        <w:spacing w:line="220" w:lineRule="exact"/>
        <w:ind w:firstLine="284"/>
        <w:jc w:val="both"/>
        <w:rPr>
          <w:rFonts w:ascii="Arial" w:hAnsi="Arial" w:cs="Arial"/>
          <w:sz w:val="16"/>
          <w:szCs w:val="15"/>
        </w:rPr>
      </w:pPr>
      <w:r w:rsidRPr="00371D0B">
        <w:rPr>
          <w:rFonts w:ascii="Arial" w:hAnsi="Arial" w:cs="Arial"/>
          <w:b/>
          <w:bCs/>
          <w:sz w:val="16"/>
        </w:rPr>
        <w:t>Табл. 8.1</w:t>
      </w:r>
      <w:r w:rsidRPr="00371D0B">
        <w:rPr>
          <w:rFonts w:ascii="Arial" w:hAnsi="Arial" w:cs="Arial"/>
          <w:sz w:val="16"/>
          <w:szCs w:val="15"/>
        </w:rPr>
        <w:t xml:space="preserve"> </w:t>
      </w:r>
      <w:r w:rsidRPr="00371D0B">
        <w:rPr>
          <w:rFonts w:ascii="Arial" w:hAnsi="Arial" w:cs="Arial"/>
          <w:b/>
          <w:sz w:val="16"/>
          <w:szCs w:val="15"/>
        </w:rPr>
        <w:t>Международная инвестиционная позиция</w:t>
      </w:r>
      <w:r w:rsidRPr="00371D0B">
        <w:rPr>
          <w:rFonts w:ascii="Arial" w:hAnsi="Arial" w:cs="Arial"/>
          <w:sz w:val="16"/>
          <w:szCs w:val="15"/>
        </w:rPr>
        <w:t xml:space="preserve"> представляет собой статистический отчет, который позволяет оценить величину иностранных финансовых активов и обязатель</w:t>
      </w:r>
      <w:proofErr w:type="gramStart"/>
      <w:r w:rsidRPr="00371D0B">
        <w:rPr>
          <w:rFonts w:ascii="Arial" w:hAnsi="Arial" w:cs="Arial"/>
          <w:sz w:val="16"/>
          <w:szCs w:val="15"/>
        </w:rPr>
        <w:t>ств стр</w:t>
      </w:r>
      <w:proofErr w:type="gramEnd"/>
      <w:r w:rsidRPr="00371D0B">
        <w:rPr>
          <w:rFonts w:ascii="Arial" w:hAnsi="Arial" w:cs="Arial"/>
          <w:sz w:val="16"/>
          <w:szCs w:val="15"/>
        </w:rPr>
        <w:t>аны по состоянию на дату.</w:t>
      </w:r>
    </w:p>
    <w:p w:rsidR="00D668BA" w:rsidRPr="00371D0B" w:rsidRDefault="00D668BA" w:rsidP="00D668BA">
      <w:pPr>
        <w:pStyle w:val="a9"/>
        <w:spacing w:line="220" w:lineRule="exact"/>
      </w:pPr>
      <w:r w:rsidRPr="00371D0B">
        <w:t xml:space="preserve">Инвестиционная позиция на конец периода равна инвестиционной позиции </w:t>
      </w:r>
      <w:r w:rsidRPr="00915164">
        <w:br/>
      </w:r>
      <w:r w:rsidRPr="00371D0B">
        <w:t>на начало периода плюс все изменения в течение периода в результате финансовых операций, переоценки и других корректировочных статей.</w:t>
      </w:r>
    </w:p>
    <w:p w:rsidR="00D668BA" w:rsidRPr="00371D0B" w:rsidRDefault="00D668BA" w:rsidP="00D668BA">
      <w:pPr>
        <w:pStyle w:val="a9"/>
        <w:spacing w:line="220" w:lineRule="exact"/>
      </w:pPr>
      <w:r w:rsidRPr="00371D0B">
        <w:t xml:space="preserve">Прямые инвестиции осуществляются для оказания воздействия на процесс управления предприятием, что достигается посредством участия в его капитале. Предоставление кредита предприятию крупным акционером в форме, отличной </w:t>
      </w:r>
      <w:r w:rsidRPr="00915164">
        <w:br/>
      </w:r>
      <w:r w:rsidRPr="00371D0B">
        <w:t xml:space="preserve">от участия в собственном капитале этого предприятия, также классифицируется </w:t>
      </w:r>
      <w:r w:rsidRPr="00915164">
        <w:br/>
      </w:r>
      <w:r w:rsidRPr="00371D0B">
        <w:t>как прямые инвестиции.</w:t>
      </w:r>
    </w:p>
    <w:p w:rsidR="00D668BA" w:rsidRPr="00371D0B" w:rsidRDefault="00D668BA" w:rsidP="00D668BA">
      <w:pPr>
        <w:spacing w:line="220" w:lineRule="exact"/>
        <w:ind w:firstLine="284"/>
        <w:jc w:val="both"/>
        <w:rPr>
          <w:rFonts w:ascii="Arial" w:hAnsi="Arial" w:cs="Arial"/>
          <w:sz w:val="16"/>
          <w:szCs w:val="15"/>
        </w:rPr>
      </w:pPr>
      <w:r w:rsidRPr="00371D0B">
        <w:rPr>
          <w:rFonts w:ascii="Arial" w:hAnsi="Arial" w:cs="Arial"/>
          <w:sz w:val="16"/>
          <w:szCs w:val="15"/>
        </w:rPr>
        <w:t xml:space="preserve">Портфельные инвестиции представляют собой долговые ценные бумаги, акции </w:t>
      </w:r>
      <w:r w:rsidRPr="00371D0B">
        <w:rPr>
          <w:rFonts w:ascii="Arial" w:hAnsi="Arial" w:cs="Arial"/>
          <w:sz w:val="16"/>
          <w:szCs w:val="15"/>
        </w:rPr>
        <w:br/>
        <w:t>и т.п., которые приобретаются главным образом для получения дохода.</w:t>
      </w:r>
    </w:p>
    <w:p w:rsidR="00D668BA" w:rsidRPr="00371D0B" w:rsidRDefault="00D668BA" w:rsidP="00D668BA">
      <w:pPr>
        <w:spacing w:line="220" w:lineRule="exact"/>
        <w:ind w:firstLine="284"/>
        <w:jc w:val="both"/>
        <w:rPr>
          <w:rFonts w:ascii="Arial" w:hAnsi="Arial" w:cs="Arial"/>
          <w:sz w:val="16"/>
          <w:szCs w:val="15"/>
        </w:rPr>
      </w:pPr>
      <w:proofErr w:type="gramStart"/>
      <w:r w:rsidRPr="00371D0B">
        <w:rPr>
          <w:rFonts w:ascii="Arial" w:hAnsi="Arial" w:cs="Arial"/>
          <w:sz w:val="16"/>
          <w:szCs w:val="15"/>
        </w:rPr>
        <w:t>Резервные активы – иностранные активы, находящиеся в распоряжении органов денежно-кредитного регулирования страны – это признаваемые в международном масштабе финансовые инструменты, которые определяют способность страны справляться с неравновесным состоянием (активным сальдо или дефицитом) платежного баланса, постоянно возникающим в результате автономно совершаемых внешнеэкономических операций.</w:t>
      </w:r>
      <w:proofErr w:type="gramEnd"/>
    </w:p>
    <w:p w:rsidR="00D668BA" w:rsidRPr="00371D0B" w:rsidRDefault="00D668BA" w:rsidP="00D668BA">
      <w:pPr>
        <w:spacing w:line="220" w:lineRule="exact"/>
        <w:ind w:firstLine="284"/>
        <w:jc w:val="both"/>
        <w:rPr>
          <w:rFonts w:ascii="Arial" w:hAnsi="Arial" w:cs="Arial"/>
          <w:sz w:val="16"/>
          <w:szCs w:val="15"/>
        </w:rPr>
      </w:pPr>
      <w:r w:rsidRPr="00371D0B">
        <w:rPr>
          <w:rFonts w:ascii="Arial" w:hAnsi="Arial" w:cs="Arial"/>
          <w:sz w:val="16"/>
          <w:szCs w:val="15"/>
        </w:rPr>
        <w:t xml:space="preserve">Все операции, которые не рассматриваются как операции с прямыми </w:t>
      </w:r>
      <w:r w:rsidRPr="00915164">
        <w:br/>
      </w:r>
      <w:r w:rsidRPr="00371D0B">
        <w:rPr>
          <w:rFonts w:ascii="Arial" w:hAnsi="Arial" w:cs="Arial"/>
          <w:sz w:val="16"/>
          <w:szCs w:val="15"/>
        </w:rPr>
        <w:t>и портфельными инвестициями, производными финансовыми инструментами (опционы, срочные валютные контракты, фьючерсы) и резервными активами, отражаются по статье «прочие инвестиции».</w:t>
      </w:r>
    </w:p>
    <w:p w:rsidR="00D668BA" w:rsidRPr="00371D0B" w:rsidRDefault="00D668BA" w:rsidP="00D668BA">
      <w:pPr>
        <w:spacing w:line="220" w:lineRule="exact"/>
        <w:ind w:firstLine="284"/>
        <w:jc w:val="both"/>
        <w:rPr>
          <w:rFonts w:ascii="Arial" w:hAnsi="Arial"/>
          <w:sz w:val="16"/>
        </w:rPr>
      </w:pPr>
      <w:r w:rsidRPr="00371D0B">
        <w:rPr>
          <w:rFonts w:ascii="Arial" w:hAnsi="Arial"/>
          <w:b/>
          <w:sz w:val="16"/>
        </w:rPr>
        <w:t>Табл. 8.2</w:t>
      </w:r>
      <w:r w:rsidRPr="005A120B">
        <w:rPr>
          <w:rFonts w:ascii="Arial" w:hAnsi="Arial"/>
          <w:b/>
          <w:sz w:val="16"/>
        </w:rPr>
        <w:t xml:space="preserve"> – </w:t>
      </w:r>
      <w:r w:rsidRPr="00371D0B">
        <w:rPr>
          <w:rFonts w:ascii="Arial" w:hAnsi="Arial"/>
          <w:b/>
          <w:sz w:val="16"/>
        </w:rPr>
        <w:t>8.3, 8.8.</w:t>
      </w:r>
      <w:r w:rsidRPr="00371D0B">
        <w:rPr>
          <w:rFonts w:ascii="Arial" w:hAnsi="Arial"/>
          <w:sz w:val="16"/>
        </w:rPr>
        <w:t xml:space="preserve"> </w:t>
      </w:r>
      <w:proofErr w:type="gramStart"/>
      <w:r w:rsidRPr="00371D0B">
        <w:rPr>
          <w:rFonts w:ascii="Arial" w:hAnsi="Arial"/>
          <w:sz w:val="16"/>
        </w:rPr>
        <w:t xml:space="preserve">В международной практике исчисляется показатель </w:t>
      </w:r>
      <w:r w:rsidRPr="00371D0B">
        <w:rPr>
          <w:rFonts w:ascii="Arial" w:hAnsi="Arial"/>
          <w:b/>
          <w:sz w:val="16"/>
        </w:rPr>
        <w:t>«валовое накопление основного капитала</w:t>
      </w:r>
      <w:r w:rsidRPr="00371D0B">
        <w:rPr>
          <w:rFonts w:ascii="Arial" w:hAnsi="Arial"/>
          <w:sz w:val="16"/>
        </w:rPr>
        <w:t xml:space="preserve">», который близок по своему содержанию </w:t>
      </w:r>
      <w:r w:rsidRPr="00915164">
        <w:br/>
      </w:r>
      <w:r w:rsidRPr="00371D0B">
        <w:rPr>
          <w:rFonts w:ascii="Arial" w:hAnsi="Arial"/>
          <w:sz w:val="16"/>
        </w:rPr>
        <w:t xml:space="preserve">к показателю «инвестиции в основной капитал» и охватывает затраты </w:t>
      </w:r>
      <w:r w:rsidRPr="00915164">
        <w:br/>
      </w:r>
      <w:r w:rsidRPr="00371D0B">
        <w:rPr>
          <w:rFonts w:ascii="Arial" w:hAnsi="Arial"/>
          <w:sz w:val="16"/>
        </w:rPr>
        <w:t>на приобретение и коренное улучшение произведенного материального основного капитала (зданий, сооружений, машин и оборудования, скота, многолетних насаждений), произведенного нематериального основного капитала (программного обеспечения ЭВМ, геологоразведочных работ и др.), а также затраты на улучшение земель.</w:t>
      </w:r>
      <w:proofErr w:type="gramEnd"/>
    </w:p>
    <w:p w:rsidR="00D668BA" w:rsidRPr="00371D0B" w:rsidRDefault="00D668BA" w:rsidP="00D668BA">
      <w:pPr>
        <w:spacing w:line="220" w:lineRule="exact"/>
        <w:ind w:firstLine="284"/>
        <w:jc w:val="both"/>
        <w:rPr>
          <w:rFonts w:ascii="Arial" w:hAnsi="Arial"/>
          <w:sz w:val="16"/>
        </w:rPr>
      </w:pPr>
      <w:r w:rsidRPr="00371D0B">
        <w:rPr>
          <w:rFonts w:ascii="Arial" w:hAnsi="Arial"/>
          <w:sz w:val="16"/>
        </w:rPr>
        <w:t>Статистические данные по Республике Молдова приведены без территории левобережья р. Днестр и г. Бендеры.</w:t>
      </w:r>
    </w:p>
    <w:p w:rsidR="00D668BA" w:rsidRPr="00371D0B" w:rsidRDefault="00D668BA" w:rsidP="00D668BA">
      <w:pPr>
        <w:pStyle w:val="a9"/>
        <w:spacing w:line="220" w:lineRule="exact"/>
      </w:pPr>
      <w:r w:rsidRPr="00371D0B">
        <w:t>Материалы подготовлены на основе статистических публикаций международных организаций (Организации Объединенных Наций (ООН), Организации экономического сотрудничества и развития (ОЭСР), Межгосударственного статистического комитета Содружества Независимых Государств (</w:t>
      </w:r>
      <w:proofErr w:type="spellStart"/>
      <w:r w:rsidRPr="00371D0B">
        <w:t>Статкомитет</w:t>
      </w:r>
      <w:proofErr w:type="spellEnd"/>
      <w:r w:rsidRPr="00371D0B">
        <w:t xml:space="preserve"> СНГ) и др.) и национальных статистических органов.</w:t>
      </w:r>
    </w:p>
    <w:p w:rsidR="00D668BA" w:rsidRPr="00CE250E" w:rsidRDefault="00D668BA" w:rsidP="00D668BA">
      <w:pPr>
        <w:pStyle w:val="a9"/>
        <w:spacing w:line="220" w:lineRule="exact"/>
      </w:pPr>
      <w:r w:rsidRPr="00371D0B">
        <w:rPr>
          <w:b/>
          <w:bCs/>
        </w:rPr>
        <w:t>Табл. 8.</w:t>
      </w:r>
      <w:r w:rsidR="002761BC">
        <w:rPr>
          <w:b/>
          <w:bCs/>
        </w:rPr>
        <w:t>4</w:t>
      </w:r>
      <w:r w:rsidRPr="006C63D4">
        <w:rPr>
          <w:b/>
          <w:bCs/>
        </w:rPr>
        <w:t xml:space="preserve"> – </w:t>
      </w:r>
      <w:r w:rsidRPr="00371D0B">
        <w:rPr>
          <w:b/>
          <w:bCs/>
        </w:rPr>
        <w:t>8.7</w:t>
      </w:r>
      <w:r w:rsidRPr="00371D0B">
        <w:rPr>
          <w:b/>
          <w:bCs/>
          <w:szCs w:val="14"/>
        </w:rPr>
        <w:t xml:space="preserve">. </w:t>
      </w:r>
      <w:r>
        <w:t xml:space="preserve">Одним из основных показателей результатов международных сопоставлений является </w:t>
      </w:r>
      <w:r w:rsidRPr="006C63D4">
        <w:rPr>
          <w:b/>
        </w:rPr>
        <w:t>паритет покупательной способности</w:t>
      </w:r>
      <w:r>
        <w:t xml:space="preserve">. ППС рассчитываются по индивидуальным продуктам, по группам продуктов и по каждому из различных уровней агрегирования расходов, вплоть до уровня ВВП. Применяемая методология </w:t>
      </w:r>
      <w:r>
        <w:lastRenderedPageBreak/>
        <w:t xml:space="preserve">сопоставлений позволяет пересчитать ППС в любую валюту и рассчитать показатели по отношению к любой стране. </w:t>
      </w:r>
    </w:p>
    <w:p w:rsidR="00ED39A6" w:rsidRPr="00ED39A6" w:rsidRDefault="00ED39A6" w:rsidP="00ED39A6">
      <w:pPr>
        <w:pStyle w:val="a9"/>
        <w:spacing w:line="220" w:lineRule="exact"/>
      </w:pPr>
      <w:r w:rsidRPr="00ED39A6">
        <w:t xml:space="preserve">В сопоставлениях ОЭСР – </w:t>
      </w:r>
      <w:proofErr w:type="spellStart"/>
      <w:r w:rsidRPr="00ED39A6">
        <w:t>Евростата</w:t>
      </w:r>
      <w:proofErr w:type="spellEnd"/>
      <w:r w:rsidRPr="00ED39A6">
        <w:t xml:space="preserve"> ППС выражаются в международных условных долларах, в Европейском союзе в стандарте покупательной силы (СПС) (эквивалентно евро), в Глобальных раундах (Всемирный банк) – в долларах США. </w:t>
      </w:r>
      <w:r w:rsidRPr="00ED39A6">
        <w:br/>
        <w:t xml:space="preserve">Для примера цена 1 Биг Мака в Российской Федерации составляет 130 российских рублей, цена в США – 5,3 долларов. </w:t>
      </w:r>
      <w:proofErr w:type="gramStart"/>
      <w:r w:rsidRPr="00ED39A6">
        <w:t xml:space="preserve">ППС Биг Мака между Российской Федерацией </w:t>
      </w:r>
      <w:r w:rsidRPr="00ED39A6">
        <w:br/>
        <w:t>и США равен соотношению 130/5,3 или 24,53 российских рубля за 1 доллар США.</w:t>
      </w:r>
      <w:proofErr w:type="gramEnd"/>
      <w:r w:rsidRPr="00ED39A6">
        <w:t xml:space="preserve"> Соответственно, если на уровне ВВП ППС между Российской Федерацией и США в 2021 г. составлял 27,25 рублей за 1 доллар, то это означает, что нужно потратить 27,25 рублей в Российской Федерации и 1 доллар в США, чтобы купить одинаковое количество товаров и услуг.</w:t>
      </w:r>
    </w:p>
    <w:p w:rsidR="00D668BA" w:rsidRPr="006B6131" w:rsidRDefault="00D668BA" w:rsidP="00D668BA">
      <w:pPr>
        <w:pStyle w:val="a9"/>
        <w:spacing w:line="220" w:lineRule="exact"/>
      </w:pPr>
      <w:r w:rsidRPr="00AD52F6">
        <w:t xml:space="preserve">Для выявления «более дешевых» и «более дорогих» стран рассчитывается </w:t>
      </w:r>
      <w:r w:rsidRPr="00AD52F6">
        <w:rPr>
          <w:b/>
        </w:rPr>
        <w:t>сопоставимый уровень цен</w:t>
      </w:r>
      <w:r w:rsidRPr="00AD52F6">
        <w:t xml:space="preserve"> (отношение ППС к валютному курсу). Общий объем накопления основного капитала по странам характеризуется показателем валового накопления основного капитала по ППС. Уровень накопления основного капитала </w:t>
      </w:r>
      <w:r w:rsidRPr="00CA3424">
        <w:br/>
      </w:r>
      <w:r w:rsidRPr="00AD52F6">
        <w:t xml:space="preserve">по странам отражают показатели </w:t>
      </w:r>
      <w:r w:rsidRPr="00AD52F6">
        <w:rPr>
          <w:b/>
        </w:rPr>
        <w:t xml:space="preserve">валового накопления основного капитала </w:t>
      </w:r>
      <w:r w:rsidRPr="00CA3424">
        <w:rPr>
          <w:b/>
        </w:rPr>
        <w:br/>
      </w:r>
      <w:r w:rsidRPr="00AD52F6">
        <w:rPr>
          <w:b/>
        </w:rPr>
        <w:t>на душу населения по ППС</w:t>
      </w:r>
      <w:r w:rsidRPr="00AD52F6">
        <w:t xml:space="preserve"> и </w:t>
      </w:r>
      <w:r w:rsidRPr="00AD52F6">
        <w:rPr>
          <w:b/>
        </w:rPr>
        <w:t>индекс физического объема валового накопления основного капитала на душу населения по ППС</w:t>
      </w:r>
      <w:r w:rsidRPr="00AD52F6">
        <w:t xml:space="preserve"> относительно страны или группы стран, выбранных за базу сопоставлений.</w:t>
      </w:r>
    </w:p>
    <w:sectPr w:rsidR="00D668BA" w:rsidRPr="006B6131" w:rsidSect="00A3376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3289" w:right="2665" w:bottom="3289" w:left="2665" w:header="3289" w:footer="2948" w:gutter="0"/>
      <w:pgNumType w:start="22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C9" w:rsidRDefault="006676C9">
      <w:r>
        <w:separator/>
      </w:r>
    </w:p>
  </w:endnote>
  <w:endnote w:type="continuationSeparator" w:id="0">
    <w:p w:rsidR="006676C9" w:rsidRDefault="006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2"/>
      <w:gridCol w:w="6014"/>
    </w:tblGrid>
    <w:tr w:rsidR="006676C9">
      <w:trPr>
        <w:jc w:val="center"/>
      </w:trPr>
      <w:tc>
        <w:tcPr>
          <w:tcW w:w="562" w:type="dxa"/>
        </w:tcPr>
        <w:p w:rsidR="006676C9" w:rsidRDefault="006676C9">
          <w:pPr>
            <w:pStyle w:val="a5"/>
            <w:rPr>
              <w:rFonts w:ascii="Times New Roman" w:hAnsi="Times New Roman"/>
            </w:rPr>
          </w:pPr>
          <w:r>
            <w:rPr>
              <w:rStyle w:val="a8"/>
              <w:rFonts w:ascii="Times New Roman" w:hAnsi="Times New Roman"/>
            </w:rPr>
            <w:fldChar w:fldCharType="begin"/>
          </w:r>
          <w:r>
            <w:rPr>
              <w:rStyle w:val="a8"/>
              <w:rFonts w:ascii="Times New Roman" w:hAnsi="Times New Roman"/>
            </w:rPr>
            <w:instrText xml:space="preserve"> PAGE </w:instrText>
          </w:r>
          <w:r>
            <w:rPr>
              <w:rStyle w:val="a8"/>
              <w:rFonts w:ascii="Times New Roman" w:hAnsi="Times New Roman"/>
            </w:rPr>
            <w:fldChar w:fldCharType="separate"/>
          </w:r>
          <w:r w:rsidR="00E759EB">
            <w:rPr>
              <w:rStyle w:val="a8"/>
              <w:rFonts w:ascii="Times New Roman" w:hAnsi="Times New Roman"/>
              <w:noProof/>
            </w:rPr>
            <w:t>222</w:t>
          </w:r>
          <w:r>
            <w:rPr>
              <w:rStyle w:val="a8"/>
              <w:rFonts w:ascii="Times New Roman" w:hAnsi="Times New Roman"/>
            </w:rPr>
            <w:fldChar w:fldCharType="end"/>
          </w:r>
        </w:p>
      </w:tc>
      <w:tc>
        <w:tcPr>
          <w:tcW w:w="6014" w:type="dxa"/>
          <w:vAlign w:val="center"/>
        </w:tcPr>
        <w:p w:rsidR="006676C9" w:rsidRDefault="006676C9" w:rsidP="00932CEB">
          <w:pPr>
            <w:pStyle w:val="a5"/>
            <w:jc w:val="right"/>
          </w:pPr>
          <w:r>
            <w:rPr>
              <w:rFonts w:ascii="Times New Roman" w:hAnsi="Times New Roman"/>
              <w:b/>
              <w:i/>
              <w:color w:val="000000"/>
              <w:sz w:val="14"/>
            </w:rPr>
            <w:t>ИНВЕСТИЦИИ В РОССИИ. 2023</w:t>
          </w:r>
        </w:p>
      </w:tc>
    </w:tr>
  </w:tbl>
  <w:p w:rsidR="006676C9" w:rsidRDefault="006676C9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14"/>
      <w:gridCol w:w="562"/>
    </w:tblGrid>
    <w:tr w:rsidR="006676C9">
      <w:trPr>
        <w:jc w:val="center"/>
      </w:trPr>
      <w:tc>
        <w:tcPr>
          <w:tcW w:w="6014" w:type="dxa"/>
        </w:tcPr>
        <w:p w:rsidR="006676C9" w:rsidRPr="008F68A9" w:rsidRDefault="006676C9" w:rsidP="00932CEB">
          <w:pPr>
            <w:pStyle w:val="a5"/>
            <w:spacing w:before="30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b/>
              <w:i/>
              <w:color w:val="000000"/>
              <w:sz w:val="14"/>
            </w:rPr>
            <w:t>ИНВЕСТИЦИИ В РОССИИ. 2023</w:t>
          </w:r>
        </w:p>
      </w:tc>
      <w:tc>
        <w:tcPr>
          <w:tcW w:w="562" w:type="dxa"/>
        </w:tcPr>
        <w:p w:rsidR="006676C9" w:rsidRDefault="006676C9">
          <w:pPr>
            <w:pStyle w:val="a5"/>
            <w:jc w:val="right"/>
            <w:rPr>
              <w:rFonts w:ascii="Times New Roman" w:hAnsi="Times New Roman"/>
            </w:rPr>
          </w:pPr>
          <w:r>
            <w:rPr>
              <w:rStyle w:val="a8"/>
              <w:rFonts w:ascii="Times New Roman" w:hAnsi="Times New Roman"/>
            </w:rPr>
            <w:fldChar w:fldCharType="begin"/>
          </w:r>
          <w:r>
            <w:rPr>
              <w:rStyle w:val="a8"/>
              <w:rFonts w:ascii="Times New Roman" w:hAnsi="Times New Roman"/>
            </w:rPr>
            <w:instrText xml:space="preserve"> PAGE </w:instrText>
          </w:r>
          <w:r>
            <w:rPr>
              <w:rStyle w:val="a8"/>
              <w:rFonts w:ascii="Times New Roman" w:hAnsi="Times New Roman"/>
            </w:rPr>
            <w:fldChar w:fldCharType="separate"/>
          </w:r>
          <w:r w:rsidR="00E759EB">
            <w:rPr>
              <w:rStyle w:val="a8"/>
              <w:rFonts w:ascii="Times New Roman" w:hAnsi="Times New Roman"/>
              <w:noProof/>
            </w:rPr>
            <w:t>229</w:t>
          </w:r>
          <w:r>
            <w:rPr>
              <w:rStyle w:val="a8"/>
              <w:rFonts w:ascii="Times New Roman" w:hAnsi="Times New Roman"/>
            </w:rPr>
            <w:fldChar w:fldCharType="end"/>
          </w:r>
        </w:p>
      </w:tc>
    </w:tr>
  </w:tbl>
  <w:p w:rsidR="006676C9" w:rsidRDefault="006676C9">
    <w:pPr>
      <w:pStyle w:val="a5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14"/>
      <w:gridCol w:w="562"/>
    </w:tblGrid>
    <w:tr w:rsidR="006676C9" w:rsidTr="006676C9">
      <w:trPr>
        <w:jc w:val="center"/>
      </w:trPr>
      <w:tc>
        <w:tcPr>
          <w:tcW w:w="6014" w:type="dxa"/>
        </w:tcPr>
        <w:p w:rsidR="006676C9" w:rsidRPr="008F68A9" w:rsidRDefault="006676C9" w:rsidP="006676C9">
          <w:pPr>
            <w:pStyle w:val="a5"/>
            <w:spacing w:before="30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b/>
              <w:i/>
              <w:color w:val="000000"/>
              <w:sz w:val="14"/>
            </w:rPr>
            <w:t>ИНВЕСТИЦИИ В РОССИИ. 2023</w:t>
          </w:r>
        </w:p>
      </w:tc>
      <w:tc>
        <w:tcPr>
          <w:tcW w:w="562" w:type="dxa"/>
        </w:tcPr>
        <w:p w:rsidR="006676C9" w:rsidRDefault="006676C9" w:rsidP="006676C9">
          <w:pPr>
            <w:pStyle w:val="a5"/>
            <w:jc w:val="right"/>
            <w:rPr>
              <w:rFonts w:ascii="Times New Roman" w:hAnsi="Times New Roman"/>
            </w:rPr>
          </w:pPr>
          <w:r>
            <w:rPr>
              <w:rStyle w:val="a8"/>
              <w:rFonts w:ascii="Times New Roman" w:hAnsi="Times New Roman"/>
            </w:rPr>
            <w:fldChar w:fldCharType="begin"/>
          </w:r>
          <w:r>
            <w:rPr>
              <w:rStyle w:val="a8"/>
              <w:rFonts w:ascii="Times New Roman" w:hAnsi="Times New Roman"/>
            </w:rPr>
            <w:instrText xml:space="preserve"> PAGE </w:instrText>
          </w:r>
          <w:r>
            <w:rPr>
              <w:rStyle w:val="a8"/>
              <w:rFonts w:ascii="Times New Roman" w:hAnsi="Times New Roman"/>
            </w:rPr>
            <w:fldChar w:fldCharType="separate"/>
          </w:r>
          <w:r w:rsidR="00E759EB">
            <w:rPr>
              <w:rStyle w:val="a8"/>
              <w:rFonts w:ascii="Times New Roman" w:hAnsi="Times New Roman"/>
              <w:noProof/>
            </w:rPr>
            <w:t>221</w:t>
          </w:r>
          <w:r>
            <w:rPr>
              <w:rStyle w:val="a8"/>
              <w:rFonts w:ascii="Times New Roman" w:hAnsi="Times New Roman"/>
            </w:rPr>
            <w:fldChar w:fldCharType="end"/>
          </w:r>
        </w:p>
      </w:tc>
    </w:tr>
  </w:tbl>
  <w:p w:rsidR="006676C9" w:rsidRDefault="006676C9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C9" w:rsidRDefault="006676C9">
      <w:r>
        <w:separator/>
      </w:r>
    </w:p>
  </w:footnote>
  <w:footnote w:type="continuationSeparator" w:id="0">
    <w:p w:rsidR="006676C9" w:rsidRDefault="0066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C9" w:rsidRDefault="006676C9">
    <w:pPr>
      <w:pStyle w:val="a6"/>
      <w:widowControl/>
      <w:pBdr>
        <w:bottom w:val="single" w:sz="6" w:space="2" w:color="auto"/>
      </w:pBdr>
      <w:jc w:val="center"/>
      <w:rPr>
        <w:sz w:val="14"/>
      </w:rPr>
    </w:pPr>
    <w:r>
      <w:rPr>
        <w:sz w:val="14"/>
      </w:rPr>
      <w:t>8. МЕЖДУНАРОДНЫЕ СРАВНЕНИЯ</w:t>
    </w:r>
  </w:p>
  <w:p w:rsidR="006676C9" w:rsidRDefault="006676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C9" w:rsidRDefault="006676C9">
    <w:pPr>
      <w:pStyle w:val="a6"/>
      <w:widowControl/>
      <w:pBdr>
        <w:bottom w:val="single" w:sz="6" w:space="2" w:color="auto"/>
      </w:pBdr>
      <w:jc w:val="center"/>
      <w:rPr>
        <w:sz w:val="14"/>
      </w:rPr>
    </w:pPr>
    <w:r>
      <w:rPr>
        <w:sz w:val="14"/>
      </w:rPr>
      <w:t>8. МЕЖДУНАРОДНЫЕ СРАВНЕНИЯ</w:t>
    </w:r>
  </w:p>
  <w:p w:rsidR="006676C9" w:rsidRDefault="006676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D"/>
    <w:rsid w:val="000131C1"/>
    <w:rsid w:val="00024689"/>
    <w:rsid w:val="0003436B"/>
    <w:rsid w:val="00060A62"/>
    <w:rsid w:val="00076B89"/>
    <w:rsid w:val="000779A8"/>
    <w:rsid w:val="00083B0E"/>
    <w:rsid w:val="0008474B"/>
    <w:rsid w:val="0009335F"/>
    <w:rsid w:val="00094CD2"/>
    <w:rsid w:val="000B1FAC"/>
    <w:rsid w:val="000B4F2E"/>
    <w:rsid w:val="000B5D3C"/>
    <w:rsid w:val="000B5FE7"/>
    <w:rsid w:val="000C1850"/>
    <w:rsid w:val="000D57CD"/>
    <w:rsid w:val="001019AD"/>
    <w:rsid w:val="001047FF"/>
    <w:rsid w:val="00104811"/>
    <w:rsid w:val="00123C53"/>
    <w:rsid w:val="00136471"/>
    <w:rsid w:val="00150565"/>
    <w:rsid w:val="00160DE9"/>
    <w:rsid w:val="00167D2A"/>
    <w:rsid w:val="00182920"/>
    <w:rsid w:val="00183A0E"/>
    <w:rsid w:val="001A590A"/>
    <w:rsid w:val="001B09B9"/>
    <w:rsid w:val="001C1D71"/>
    <w:rsid w:val="001D2F23"/>
    <w:rsid w:val="001D37D7"/>
    <w:rsid w:val="001E0F2E"/>
    <w:rsid w:val="001F3D59"/>
    <w:rsid w:val="00202783"/>
    <w:rsid w:val="00211275"/>
    <w:rsid w:val="0021206F"/>
    <w:rsid w:val="00251E37"/>
    <w:rsid w:val="002761BC"/>
    <w:rsid w:val="00277BA3"/>
    <w:rsid w:val="00282BA2"/>
    <w:rsid w:val="00283172"/>
    <w:rsid w:val="00285A51"/>
    <w:rsid w:val="002B4287"/>
    <w:rsid w:val="002C0BB3"/>
    <w:rsid w:val="002E07E3"/>
    <w:rsid w:val="002E0F31"/>
    <w:rsid w:val="002E3F58"/>
    <w:rsid w:val="002E4924"/>
    <w:rsid w:val="002F10F3"/>
    <w:rsid w:val="002F7B10"/>
    <w:rsid w:val="003018F0"/>
    <w:rsid w:val="00325750"/>
    <w:rsid w:val="00340175"/>
    <w:rsid w:val="0035605A"/>
    <w:rsid w:val="00362D08"/>
    <w:rsid w:val="00386829"/>
    <w:rsid w:val="003A2B4F"/>
    <w:rsid w:val="003A4342"/>
    <w:rsid w:val="003B5B2F"/>
    <w:rsid w:val="00401E75"/>
    <w:rsid w:val="00403867"/>
    <w:rsid w:val="00407A16"/>
    <w:rsid w:val="00410733"/>
    <w:rsid w:val="004333B1"/>
    <w:rsid w:val="004425C4"/>
    <w:rsid w:val="004431C6"/>
    <w:rsid w:val="00452A0B"/>
    <w:rsid w:val="00452B67"/>
    <w:rsid w:val="004677FF"/>
    <w:rsid w:val="00473371"/>
    <w:rsid w:val="00475BD8"/>
    <w:rsid w:val="00485763"/>
    <w:rsid w:val="004A55CD"/>
    <w:rsid w:val="004A70C9"/>
    <w:rsid w:val="004C2782"/>
    <w:rsid w:val="004C7778"/>
    <w:rsid w:val="004E241D"/>
    <w:rsid w:val="004E542E"/>
    <w:rsid w:val="004F6184"/>
    <w:rsid w:val="00500388"/>
    <w:rsid w:val="005065C0"/>
    <w:rsid w:val="00507489"/>
    <w:rsid w:val="00511352"/>
    <w:rsid w:val="00516969"/>
    <w:rsid w:val="00520B55"/>
    <w:rsid w:val="00565F3A"/>
    <w:rsid w:val="005718D6"/>
    <w:rsid w:val="005737BB"/>
    <w:rsid w:val="00582810"/>
    <w:rsid w:val="005919B7"/>
    <w:rsid w:val="005A7FE4"/>
    <w:rsid w:val="005B4707"/>
    <w:rsid w:val="005B6D81"/>
    <w:rsid w:val="005D738A"/>
    <w:rsid w:val="005D7E4B"/>
    <w:rsid w:val="005E3BBA"/>
    <w:rsid w:val="005E539B"/>
    <w:rsid w:val="005F38FB"/>
    <w:rsid w:val="00620A55"/>
    <w:rsid w:val="00621E03"/>
    <w:rsid w:val="00632EF6"/>
    <w:rsid w:val="00641D4F"/>
    <w:rsid w:val="00645BDE"/>
    <w:rsid w:val="006555A8"/>
    <w:rsid w:val="006676C9"/>
    <w:rsid w:val="00672901"/>
    <w:rsid w:val="00673C39"/>
    <w:rsid w:val="00681AA0"/>
    <w:rsid w:val="006B6131"/>
    <w:rsid w:val="006B7502"/>
    <w:rsid w:val="006F12D7"/>
    <w:rsid w:val="006F6DDE"/>
    <w:rsid w:val="00712051"/>
    <w:rsid w:val="00714BAE"/>
    <w:rsid w:val="007300BE"/>
    <w:rsid w:val="007369CD"/>
    <w:rsid w:val="00754F1D"/>
    <w:rsid w:val="00757867"/>
    <w:rsid w:val="007609CE"/>
    <w:rsid w:val="00764A16"/>
    <w:rsid w:val="00797CCD"/>
    <w:rsid w:val="007A1BE3"/>
    <w:rsid w:val="007A5720"/>
    <w:rsid w:val="007A5AF2"/>
    <w:rsid w:val="007C4217"/>
    <w:rsid w:val="007C4B2D"/>
    <w:rsid w:val="007D2E8B"/>
    <w:rsid w:val="007E3D6E"/>
    <w:rsid w:val="007F4387"/>
    <w:rsid w:val="007F4CF1"/>
    <w:rsid w:val="008025BA"/>
    <w:rsid w:val="00815A90"/>
    <w:rsid w:val="00815C3C"/>
    <w:rsid w:val="00827A30"/>
    <w:rsid w:val="00832648"/>
    <w:rsid w:val="00836336"/>
    <w:rsid w:val="008406FE"/>
    <w:rsid w:val="00843CD7"/>
    <w:rsid w:val="00854FDE"/>
    <w:rsid w:val="00866A31"/>
    <w:rsid w:val="00886D2D"/>
    <w:rsid w:val="00897378"/>
    <w:rsid w:val="008A7E08"/>
    <w:rsid w:val="008D54FF"/>
    <w:rsid w:val="008E0EEF"/>
    <w:rsid w:val="008F5688"/>
    <w:rsid w:val="008F68A9"/>
    <w:rsid w:val="009053D7"/>
    <w:rsid w:val="00906A19"/>
    <w:rsid w:val="00914DC8"/>
    <w:rsid w:val="00932CEB"/>
    <w:rsid w:val="009439FD"/>
    <w:rsid w:val="0095152F"/>
    <w:rsid w:val="00951A45"/>
    <w:rsid w:val="00962446"/>
    <w:rsid w:val="009657DA"/>
    <w:rsid w:val="00980E99"/>
    <w:rsid w:val="00982365"/>
    <w:rsid w:val="0099165F"/>
    <w:rsid w:val="009A3A80"/>
    <w:rsid w:val="009A789F"/>
    <w:rsid w:val="009C312A"/>
    <w:rsid w:val="009C3A0F"/>
    <w:rsid w:val="009C53D7"/>
    <w:rsid w:val="009F292E"/>
    <w:rsid w:val="009F4EB0"/>
    <w:rsid w:val="00A04705"/>
    <w:rsid w:val="00A15D9C"/>
    <w:rsid w:val="00A24264"/>
    <w:rsid w:val="00A33762"/>
    <w:rsid w:val="00A36F7C"/>
    <w:rsid w:val="00A43880"/>
    <w:rsid w:val="00A75650"/>
    <w:rsid w:val="00A95053"/>
    <w:rsid w:val="00AE6026"/>
    <w:rsid w:val="00AF4EA3"/>
    <w:rsid w:val="00B06E44"/>
    <w:rsid w:val="00B168EF"/>
    <w:rsid w:val="00B211F4"/>
    <w:rsid w:val="00B306CC"/>
    <w:rsid w:val="00B4474F"/>
    <w:rsid w:val="00B521BD"/>
    <w:rsid w:val="00B60ECA"/>
    <w:rsid w:val="00B63687"/>
    <w:rsid w:val="00B84526"/>
    <w:rsid w:val="00BA43D1"/>
    <w:rsid w:val="00BA6B35"/>
    <w:rsid w:val="00BB44AB"/>
    <w:rsid w:val="00BD554F"/>
    <w:rsid w:val="00BD5D69"/>
    <w:rsid w:val="00BD6FCE"/>
    <w:rsid w:val="00BF480E"/>
    <w:rsid w:val="00C15EED"/>
    <w:rsid w:val="00C17783"/>
    <w:rsid w:val="00C17D08"/>
    <w:rsid w:val="00C2028B"/>
    <w:rsid w:val="00C55979"/>
    <w:rsid w:val="00C62AF4"/>
    <w:rsid w:val="00C836A1"/>
    <w:rsid w:val="00CA00D1"/>
    <w:rsid w:val="00CA642E"/>
    <w:rsid w:val="00CB7411"/>
    <w:rsid w:val="00CC1920"/>
    <w:rsid w:val="00CD0652"/>
    <w:rsid w:val="00CE1256"/>
    <w:rsid w:val="00CE1D4D"/>
    <w:rsid w:val="00CE266D"/>
    <w:rsid w:val="00CE554F"/>
    <w:rsid w:val="00CF35B7"/>
    <w:rsid w:val="00D16EA3"/>
    <w:rsid w:val="00D23A38"/>
    <w:rsid w:val="00D25378"/>
    <w:rsid w:val="00D35E7D"/>
    <w:rsid w:val="00D375FA"/>
    <w:rsid w:val="00D46DBF"/>
    <w:rsid w:val="00D47E3B"/>
    <w:rsid w:val="00D546E4"/>
    <w:rsid w:val="00D5497D"/>
    <w:rsid w:val="00D55848"/>
    <w:rsid w:val="00D668BA"/>
    <w:rsid w:val="00D9403B"/>
    <w:rsid w:val="00DA2BF8"/>
    <w:rsid w:val="00DB0FAB"/>
    <w:rsid w:val="00DD007B"/>
    <w:rsid w:val="00DD3875"/>
    <w:rsid w:val="00DE6F0B"/>
    <w:rsid w:val="00DE7FA3"/>
    <w:rsid w:val="00DF15D8"/>
    <w:rsid w:val="00DF5B04"/>
    <w:rsid w:val="00E0765D"/>
    <w:rsid w:val="00E144B1"/>
    <w:rsid w:val="00E15B0A"/>
    <w:rsid w:val="00E32962"/>
    <w:rsid w:val="00E339BB"/>
    <w:rsid w:val="00E35E16"/>
    <w:rsid w:val="00E37878"/>
    <w:rsid w:val="00E4249E"/>
    <w:rsid w:val="00E465DF"/>
    <w:rsid w:val="00E47D25"/>
    <w:rsid w:val="00E47EC6"/>
    <w:rsid w:val="00E62FDF"/>
    <w:rsid w:val="00E759EB"/>
    <w:rsid w:val="00EA7C03"/>
    <w:rsid w:val="00EB0F63"/>
    <w:rsid w:val="00EB1119"/>
    <w:rsid w:val="00ED39A6"/>
    <w:rsid w:val="00ED7642"/>
    <w:rsid w:val="00EE175B"/>
    <w:rsid w:val="00EE7AEC"/>
    <w:rsid w:val="00F00AA7"/>
    <w:rsid w:val="00F04FBC"/>
    <w:rsid w:val="00F133A7"/>
    <w:rsid w:val="00F46DD8"/>
    <w:rsid w:val="00F54B77"/>
    <w:rsid w:val="00F64F08"/>
    <w:rsid w:val="00F755D9"/>
    <w:rsid w:val="00F763ED"/>
    <w:rsid w:val="00F805A0"/>
    <w:rsid w:val="00F843FE"/>
    <w:rsid w:val="00F86CB3"/>
    <w:rsid w:val="00F934DB"/>
    <w:rsid w:val="00F950FA"/>
    <w:rsid w:val="00F970CD"/>
    <w:rsid w:val="00FA0AA1"/>
    <w:rsid w:val="00FA4A18"/>
    <w:rsid w:val="00FA4A23"/>
    <w:rsid w:val="00FC28C3"/>
    <w:rsid w:val="00FC4840"/>
    <w:rsid w:val="00FD1C8F"/>
    <w:rsid w:val="00FD36C3"/>
    <w:rsid w:val="00FE44D1"/>
    <w:rsid w:val="00FF3D86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/>
      <w:jc w:val="center"/>
      <w:outlineLvl w:val="0"/>
    </w:pPr>
    <w:rPr>
      <w:rFonts w:ascii="Arial" w:hAnsi="Arial" w:cs="Arial"/>
      <w:b/>
      <w:bCs/>
      <w:sz w:val="16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caps/>
      <w:sz w:val="1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14"/>
    </w:rPr>
  </w:style>
  <w:style w:type="paragraph" w:styleId="4">
    <w:name w:val="heading 4"/>
    <w:basedOn w:val="a"/>
    <w:next w:val="a"/>
    <w:qFormat/>
    <w:pPr>
      <w:keepNext/>
      <w:widowControl w:val="0"/>
      <w:spacing w:before="40"/>
      <w:ind w:right="57"/>
      <w:jc w:val="center"/>
      <w:outlineLvl w:val="3"/>
    </w:pPr>
    <w:rPr>
      <w:rFonts w:ascii="Arial" w:hAnsi="Arial"/>
      <w:b/>
      <w:sz w:val="14"/>
    </w:rPr>
  </w:style>
  <w:style w:type="paragraph" w:styleId="5">
    <w:name w:val="heading 5"/>
    <w:basedOn w:val="a"/>
    <w:next w:val="a"/>
    <w:qFormat/>
    <w:pPr>
      <w:keepNext/>
      <w:widowControl w:val="0"/>
      <w:spacing w:before="40" w:after="40"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keepNext/>
      <w:spacing w:before="60" w:after="60" w:line="140" w:lineRule="exact"/>
      <w:jc w:val="center"/>
      <w:outlineLvl w:val="6"/>
    </w:pPr>
    <w:rPr>
      <w:rFonts w:ascii="Arial" w:hAnsi="Arial"/>
      <w:b/>
      <w:sz w:val="1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widowControl w:val="0"/>
    </w:pPr>
    <w:rPr>
      <w:sz w:val="24"/>
    </w:rPr>
  </w:style>
  <w:style w:type="paragraph" w:styleId="a3">
    <w:name w:val="Body Text"/>
    <w:basedOn w:val="a"/>
    <w:link w:val="a4"/>
    <w:pPr>
      <w:widowControl w:val="0"/>
      <w:spacing w:before="120"/>
      <w:jc w:val="center"/>
    </w:pPr>
    <w:rPr>
      <w:b/>
      <w:caps/>
      <w:sz w:val="16"/>
      <w:lang w:val="x-none" w:eastAsia="x-none"/>
    </w:rPr>
  </w:style>
  <w:style w:type="paragraph" w:styleId="a5">
    <w:name w:val="footer"/>
    <w:basedOn w:val="a"/>
    <w:pPr>
      <w:tabs>
        <w:tab w:val="center" w:pos="4819"/>
        <w:tab w:val="right" w:pos="9071"/>
      </w:tabs>
    </w:pPr>
    <w:rPr>
      <w:rFonts w:ascii="Arial" w:hAnsi="Arial"/>
    </w:rPr>
  </w:style>
  <w:style w:type="paragraph" w:styleId="a6">
    <w:name w:val="header"/>
    <w:basedOn w:val="a"/>
    <w:pPr>
      <w:widowControl w:val="0"/>
      <w:tabs>
        <w:tab w:val="center" w:pos="4153"/>
        <w:tab w:val="right" w:pos="8306"/>
      </w:tabs>
      <w:jc w:val="both"/>
    </w:pPr>
    <w:rPr>
      <w:sz w:val="24"/>
    </w:rPr>
  </w:style>
  <w:style w:type="paragraph" w:styleId="21">
    <w:name w:val="Body Text Indent 2"/>
    <w:basedOn w:val="a"/>
    <w:pPr>
      <w:spacing w:before="120" w:after="120"/>
      <w:ind w:firstLine="284"/>
      <w:jc w:val="center"/>
    </w:pPr>
    <w:rPr>
      <w:rFonts w:ascii="Arial" w:hAnsi="Arial"/>
      <w:b/>
      <w:sz w:val="16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284"/>
      <w:jc w:val="both"/>
    </w:pPr>
    <w:rPr>
      <w:rFonts w:ascii="Arial" w:hAnsi="Arial"/>
      <w:sz w:val="16"/>
    </w:rPr>
  </w:style>
  <w:style w:type="paragraph" w:customStyle="1" w:styleId="30">
    <w:name w:val="çàãîëîâîê 3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styleId="31">
    <w:name w:val="Body Text 3"/>
    <w:basedOn w:val="a"/>
    <w:pPr>
      <w:jc w:val="center"/>
    </w:pPr>
    <w:rPr>
      <w:rFonts w:ascii="Arial" w:hAnsi="Arial" w:cs="Arial"/>
      <w:b/>
      <w:bCs/>
      <w:sz w:val="14"/>
      <w:szCs w:val="24"/>
    </w:rPr>
  </w:style>
  <w:style w:type="character" w:customStyle="1" w:styleId="70">
    <w:name w:val="Заголовок 7 Знак"/>
    <w:link w:val="7"/>
    <w:rsid w:val="00C62AF4"/>
    <w:rPr>
      <w:rFonts w:ascii="Arial" w:hAnsi="Arial"/>
      <w:b/>
      <w:sz w:val="14"/>
    </w:rPr>
  </w:style>
  <w:style w:type="paragraph" w:styleId="aa">
    <w:name w:val="Balloon Text"/>
    <w:basedOn w:val="a"/>
    <w:link w:val="ab"/>
    <w:rsid w:val="00DD007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D007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52B67"/>
    <w:rPr>
      <w:b/>
      <w:cap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/>
      <w:jc w:val="center"/>
      <w:outlineLvl w:val="0"/>
    </w:pPr>
    <w:rPr>
      <w:rFonts w:ascii="Arial" w:hAnsi="Arial" w:cs="Arial"/>
      <w:b/>
      <w:bCs/>
      <w:sz w:val="16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caps/>
      <w:sz w:val="1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14"/>
    </w:rPr>
  </w:style>
  <w:style w:type="paragraph" w:styleId="4">
    <w:name w:val="heading 4"/>
    <w:basedOn w:val="a"/>
    <w:next w:val="a"/>
    <w:qFormat/>
    <w:pPr>
      <w:keepNext/>
      <w:widowControl w:val="0"/>
      <w:spacing w:before="40"/>
      <w:ind w:right="57"/>
      <w:jc w:val="center"/>
      <w:outlineLvl w:val="3"/>
    </w:pPr>
    <w:rPr>
      <w:rFonts w:ascii="Arial" w:hAnsi="Arial"/>
      <w:b/>
      <w:sz w:val="14"/>
    </w:rPr>
  </w:style>
  <w:style w:type="paragraph" w:styleId="5">
    <w:name w:val="heading 5"/>
    <w:basedOn w:val="a"/>
    <w:next w:val="a"/>
    <w:qFormat/>
    <w:pPr>
      <w:keepNext/>
      <w:widowControl w:val="0"/>
      <w:spacing w:before="40" w:after="40"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keepNext/>
      <w:spacing w:before="60" w:after="60" w:line="140" w:lineRule="exact"/>
      <w:jc w:val="center"/>
      <w:outlineLvl w:val="6"/>
    </w:pPr>
    <w:rPr>
      <w:rFonts w:ascii="Arial" w:hAnsi="Arial"/>
      <w:b/>
      <w:sz w:val="1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widowControl w:val="0"/>
    </w:pPr>
    <w:rPr>
      <w:sz w:val="24"/>
    </w:rPr>
  </w:style>
  <w:style w:type="paragraph" w:styleId="a3">
    <w:name w:val="Body Text"/>
    <w:basedOn w:val="a"/>
    <w:link w:val="a4"/>
    <w:pPr>
      <w:widowControl w:val="0"/>
      <w:spacing w:before="120"/>
      <w:jc w:val="center"/>
    </w:pPr>
    <w:rPr>
      <w:b/>
      <w:caps/>
      <w:sz w:val="16"/>
      <w:lang w:val="x-none" w:eastAsia="x-none"/>
    </w:rPr>
  </w:style>
  <w:style w:type="paragraph" w:styleId="a5">
    <w:name w:val="footer"/>
    <w:basedOn w:val="a"/>
    <w:pPr>
      <w:tabs>
        <w:tab w:val="center" w:pos="4819"/>
        <w:tab w:val="right" w:pos="9071"/>
      </w:tabs>
    </w:pPr>
    <w:rPr>
      <w:rFonts w:ascii="Arial" w:hAnsi="Arial"/>
    </w:rPr>
  </w:style>
  <w:style w:type="paragraph" w:styleId="a6">
    <w:name w:val="header"/>
    <w:basedOn w:val="a"/>
    <w:pPr>
      <w:widowControl w:val="0"/>
      <w:tabs>
        <w:tab w:val="center" w:pos="4153"/>
        <w:tab w:val="right" w:pos="8306"/>
      </w:tabs>
      <w:jc w:val="both"/>
    </w:pPr>
    <w:rPr>
      <w:sz w:val="24"/>
    </w:rPr>
  </w:style>
  <w:style w:type="paragraph" w:styleId="21">
    <w:name w:val="Body Text Indent 2"/>
    <w:basedOn w:val="a"/>
    <w:pPr>
      <w:spacing w:before="120" w:after="120"/>
      <w:ind w:firstLine="284"/>
      <w:jc w:val="center"/>
    </w:pPr>
    <w:rPr>
      <w:rFonts w:ascii="Arial" w:hAnsi="Arial"/>
      <w:b/>
      <w:sz w:val="16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284"/>
      <w:jc w:val="both"/>
    </w:pPr>
    <w:rPr>
      <w:rFonts w:ascii="Arial" w:hAnsi="Arial"/>
      <w:sz w:val="16"/>
    </w:rPr>
  </w:style>
  <w:style w:type="paragraph" w:customStyle="1" w:styleId="30">
    <w:name w:val="çàãîëîâîê 3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styleId="31">
    <w:name w:val="Body Text 3"/>
    <w:basedOn w:val="a"/>
    <w:pPr>
      <w:jc w:val="center"/>
    </w:pPr>
    <w:rPr>
      <w:rFonts w:ascii="Arial" w:hAnsi="Arial" w:cs="Arial"/>
      <w:b/>
      <w:bCs/>
      <w:sz w:val="14"/>
      <w:szCs w:val="24"/>
    </w:rPr>
  </w:style>
  <w:style w:type="character" w:customStyle="1" w:styleId="70">
    <w:name w:val="Заголовок 7 Знак"/>
    <w:link w:val="7"/>
    <w:rsid w:val="00C62AF4"/>
    <w:rPr>
      <w:rFonts w:ascii="Arial" w:hAnsi="Arial"/>
      <w:b/>
      <w:sz w:val="14"/>
    </w:rPr>
  </w:style>
  <w:style w:type="paragraph" w:styleId="aa">
    <w:name w:val="Balloon Text"/>
    <w:basedOn w:val="a"/>
    <w:link w:val="ab"/>
    <w:rsid w:val="00DD007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D007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52B67"/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ГМЦ ГОСКОМСТАТА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Natali</dc:creator>
  <cp:lastModifiedBy>Читадзе Тамара Давидовна</cp:lastModifiedBy>
  <cp:revision>16</cp:revision>
  <cp:lastPrinted>2019-11-18T11:24:00Z</cp:lastPrinted>
  <dcterms:created xsi:type="dcterms:W3CDTF">2019-11-18T08:28:00Z</dcterms:created>
  <dcterms:modified xsi:type="dcterms:W3CDTF">2024-03-19T07:40:00Z</dcterms:modified>
</cp:coreProperties>
</file>