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92" w:rsidRPr="00FE31A9" w:rsidRDefault="00191292">
      <w:pPr>
        <w:pBdr>
          <w:bottom w:val="single" w:sz="12" w:space="1" w:color="auto"/>
        </w:pBdr>
        <w:spacing w:after="480"/>
        <w:jc w:val="center"/>
        <w:rPr>
          <w:sz w:val="24"/>
        </w:rPr>
      </w:pPr>
      <w:r w:rsidRPr="00FE31A9">
        <w:rPr>
          <w:b/>
          <w:sz w:val="24"/>
        </w:rPr>
        <w:t xml:space="preserve">1. СОЦИАЛЬНО-ЭКОНОМИЧЕСКОЕ РАЗВИТИЕ </w:t>
      </w:r>
    </w:p>
    <w:p w:rsidR="00191292" w:rsidRPr="00FE31A9" w:rsidRDefault="00191292" w:rsidP="003C01DA">
      <w:pPr>
        <w:pStyle w:val="34"/>
        <w:spacing w:line="360" w:lineRule="auto"/>
        <w:rPr>
          <w:color w:val="auto"/>
        </w:rPr>
      </w:pPr>
      <w:r w:rsidRPr="00FE31A9">
        <w:rPr>
          <w:color w:val="auto"/>
        </w:rPr>
        <w:t xml:space="preserve">В разделе представлены основные макроэкономические показатели и социально-экономические индикаторы уровня жизни населения, состояния бюджетной системы России, </w:t>
      </w:r>
      <w:r w:rsidR="00170419" w:rsidRPr="00FE31A9">
        <w:rPr>
          <w:color w:val="auto"/>
        </w:rPr>
        <w:t xml:space="preserve">а также </w:t>
      </w:r>
      <w:r w:rsidRPr="00FE31A9">
        <w:rPr>
          <w:color w:val="auto"/>
        </w:rPr>
        <w:t>некоторые показатели системы национальных счетов.</w:t>
      </w:r>
    </w:p>
    <w:p w:rsidR="00191292" w:rsidRPr="00FE31A9" w:rsidRDefault="00191292" w:rsidP="003C01DA">
      <w:pPr>
        <w:spacing w:line="360" w:lineRule="auto"/>
        <w:ind w:firstLine="284"/>
        <w:jc w:val="both"/>
        <w:rPr>
          <w:spacing w:val="-2"/>
          <w:sz w:val="16"/>
        </w:rPr>
      </w:pPr>
      <w:r w:rsidRPr="00FE31A9">
        <w:rPr>
          <w:b/>
          <w:sz w:val="16"/>
        </w:rPr>
        <w:t>Валовой внутренний продукт</w:t>
      </w:r>
      <w:r w:rsidRPr="00FE31A9">
        <w:rPr>
          <w:sz w:val="16"/>
        </w:rPr>
        <w:t xml:space="preserve"> (ВВП) характеризует конечный результат производственной деятельности экономических единиц </w:t>
      </w:r>
      <w:r w:rsidR="009E4EE0" w:rsidRPr="00FE31A9">
        <w:rPr>
          <w:sz w:val="16"/>
        </w:rPr>
        <w:t>–</w:t>
      </w:r>
      <w:r w:rsidRPr="00FE31A9">
        <w:rPr>
          <w:sz w:val="16"/>
        </w:rPr>
        <w:t xml:space="preserve"> резидентов, который измеряется </w:t>
      </w:r>
      <w:r w:rsidRPr="00FE31A9">
        <w:rPr>
          <w:spacing w:val="-2"/>
          <w:sz w:val="16"/>
        </w:rPr>
        <w:t>стоимостью товаров и услуг, произведенных этими единицами для конечного использования.</w:t>
      </w:r>
    </w:p>
    <w:p w:rsidR="00191292" w:rsidRPr="00FE31A9" w:rsidRDefault="00191292" w:rsidP="003C01DA">
      <w:pPr>
        <w:spacing w:line="360" w:lineRule="auto"/>
        <w:ind w:firstLine="284"/>
        <w:jc w:val="both"/>
        <w:rPr>
          <w:sz w:val="16"/>
        </w:rPr>
      </w:pPr>
      <w:r w:rsidRPr="00FE31A9">
        <w:rPr>
          <w:sz w:val="16"/>
        </w:rPr>
        <w:t xml:space="preserve">ВВП при расчете производственным методом получается как сумма валовой </w:t>
      </w:r>
      <w:r w:rsidR="00D53EF8">
        <w:rPr>
          <w:sz w:val="16"/>
        </w:rPr>
        <w:t xml:space="preserve"> </w:t>
      </w:r>
      <w:r w:rsidRPr="00FE31A9">
        <w:rPr>
          <w:sz w:val="16"/>
        </w:rPr>
        <w:t>добавленной стоимости всех отраслей или институциональных секторов в основных ценах плюс чистые налоги на продукты.</w:t>
      </w:r>
    </w:p>
    <w:p w:rsidR="00191292" w:rsidRPr="00CA5F7C" w:rsidRDefault="00191292" w:rsidP="003C01DA">
      <w:pPr>
        <w:spacing w:line="360" w:lineRule="auto"/>
        <w:ind w:firstLine="284"/>
        <w:jc w:val="both"/>
        <w:rPr>
          <w:sz w:val="16"/>
        </w:rPr>
      </w:pPr>
      <w:r w:rsidRPr="00FE31A9">
        <w:rPr>
          <w:sz w:val="16"/>
        </w:rPr>
        <w:t xml:space="preserve">ВВП, полученный методом формирования по источникам доходов, складывается </w:t>
      </w:r>
      <w:r w:rsidR="00D53EF8">
        <w:rPr>
          <w:sz w:val="16"/>
        </w:rPr>
        <w:t xml:space="preserve"> </w:t>
      </w:r>
      <w:r w:rsidRPr="00FE31A9">
        <w:rPr>
          <w:sz w:val="16"/>
        </w:rPr>
        <w:t xml:space="preserve">из оплаты труда наемных работников, валовой прибыли всех отраслей или </w:t>
      </w:r>
      <w:r w:rsidRPr="0097778E">
        <w:rPr>
          <w:spacing w:val="-2"/>
          <w:sz w:val="16"/>
        </w:rPr>
        <w:t xml:space="preserve">институциональных секторов и чистых налогов на производство и импорт. Этот метод </w:t>
      </w:r>
      <w:r w:rsidR="00D53EF8">
        <w:rPr>
          <w:spacing w:val="-2"/>
          <w:sz w:val="16"/>
        </w:rPr>
        <w:t xml:space="preserve"> </w:t>
      </w:r>
      <w:r w:rsidR="00D53EF8">
        <w:rPr>
          <w:spacing w:val="-2"/>
          <w:sz w:val="16"/>
        </w:rPr>
        <w:br/>
      </w:r>
      <w:r w:rsidRPr="0097778E">
        <w:rPr>
          <w:spacing w:val="-2"/>
          <w:sz w:val="16"/>
        </w:rPr>
        <w:t>не является</w:t>
      </w:r>
      <w:r w:rsidRPr="00FE31A9">
        <w:rPr>
          <w:sz w:val="16"/>
        </w:rPr>
        <w:t xml:space="preserve"> </w:t>
      </w:r>
      <w:r w:rsidRPr="0097778E">
        <w:rPr>
          <w:spacing w:val="-2"/>
          <w:sz w:val="16"/>
        </w:rPr>
        <w:t>самостоятельным, поскольку в соответствии с принятой методологией не все показатели</w:t>
      </w:r>
      <w:r w:rsidRPr="00FE31A9">
        <w:rPr>
          <w:sz w:val="16"/>
        </w:rPr>
        <w:t xml:space="preserve"> </w:t>
      </w:r>
      <w:r w:rsidRPr="0097778E">
        <w:rPr>
          <w:spacing w:val="-2"/>
          <w:sz w:val="16"/>
        </w:rPr>
        <w:t>доходов получаются путем прямого счета, часть из них исчисляется балансовым методом</w:t>
      </w:r>
      <w:r w:rsidR="00CA5F7C" w:rsidRPr="00CA5F7C">
        <w:rPr>
          <w:spacing w:val="-2"/>
          <w:sz w:val="16"/>
        </w:rPr>
        <w:t>.</w:t>
      </w:r>
    </w:p>
    <w:p w:rsidR="00191292" w:rsidRPr="00FE31A9" w:rsidRDefault="00191292" w:rsidP="003C01DA">
      <w:pPr>
        <w:spacing w:line="360" w:lineRule="auto"/>
        <w:ind w:firstLine="284"/>
        <w:jc w:val="both"/>
        <w:rPr>
          <w:sz w:val="16"/>
        </w:rPr>
      </w:pPr>
      <w:r w:rsidRPr="00FE31A9">
        <w:rPr>
          <w:sz w:val="16"/>
        </w:rPr>
        <w:t xml:space="preserve">ВВП, рассчитанный методом использования доходов, представляет собой сумму расходов всех институциональных секторов на конечное потребление, валовое </w:t>
      </w:r>
      <w:r w:rsidR="00D53EF8">
        <w:rPr>
          <w:sz w:val="16"/>
        </w:rPr>
        <w:t xml:space="preserve"> </w:t>
      </w:r>
      <w:r w:rsidRPr="00FE31A9">
        <w:rPr>
          <w:sz w:val="16"/>
        </w:rPr>
        <w:t>накопление и чистый экспорт.</w:t>
      </w:r>
    </w:p>
    <w:p w:rsidR="00191292" w:rsidRPr="00FE31A9" w:rsidRDefault="00191292" w:rsidP="003C01DA">
      <w:pPr>
        <w:spacing w:line="360" w:lineRule="auto"/>
        <w:ind w:firstLine="284"/>
        <w:jc w:val="both"/>
        <w:rPr>
          <w:sz w:val="16"/>
        </w:rPr>
      </w:pPr>
      <w:r w:rsidRPr="00FE31A9">
        <w:rPr>
          <w:b/>
          <w:bCs/>
          <w:sz w:val="16"/>
        </w:rPr>
        <w:t>Валовой региональный продукт (ВРП)</w:t>
      </w:r>
      <w:r w:rsidRPr="00FE31A9">
        <w:rPr>
          <w:sz w:val="16"/>
        </w:rPr>
        <w:t xml:space="preserve"> – обобщающий показатель экономической деятельности региона, характеризующий процесс производства товаров и услуг </w:t>
      </w:r>
      <w:r w:rsidR="00D53EF8">
        <w:rPr>
          <w:sz w:val="16"/>
        </w:rPr>
        <w:t xml:space="preserve"> </w:t>
      </w:r>
      <w:r w:rsidRPr="0097778E">
        <w:rPr>
          <w:spacing w:val="-2"/>
          <w:sz w:val="16"/>
        </w:rPr>
        <w:t>для конечного использования. Одновременно представляет собой валовую добавленную</w:t>
      </w:r>
      <w:r w:rsidRPr="00FE31A9">
        <w:rPr>
          <w:sz w:val="16"/>
        </w:rPr>
        <w:t xml:space="preserve"> </w:t>
      </w:r>
      <w:r w:rsidRPr="0097778E">
        <w:rPr>
          <w:spacing w:val="-2"/>
          <w:sz w:val="16"/>
        </w:rPr>
        <w:t>стоимость товаров и услуг, созданную резидентами региона и определяется как разница</w:t>
      </w:r>
      <w:r w:rsidRPr="00FE31A9">
        <w:rPr>
          <w:sz w:val="16"/>
        </w:rPr>
        <w:t xml:space="preserve"> между выпуском и промежуточным потреблением. ВРП рассчитывается в текущих </w:t>
      </w:r>
      <w:r w:rsidR="00D53EF8">
        <w:rPr>
          <w:sz w:val="16"/>
        </w:rPr>
        <w:t xml:space="preserve"> </w:t>
      </w:r>
      <w:r w:rsidRPr="00FE31A9">
        <w:rPr>
          <w:sz w:val="16"/>
        </w:rPr>
        <w:t xml:space="preserve">основных ценах без чистых налогов на продукты, а также </w:t>
      </w:r>
      <w:r w:rsidR="00D53EF8">
        <w:rPr>
          <w:spacing w:val="-2"/>
          <w:sz w:val="16"/>
        </w:rPr>
        <w:br/>
      </w:r>
      <w:r w:rsidRPr="00FE31A9">
        <w:rPr>
          <w:sz w:val="16"/>
        </w:rPr>
        <w:t>в постоянных ценах.</w:t>
      </w:r>
    </w:p>
    <w:p w:rsidR="00191292" w:rsidRPr="00FE31A9" w:rsidRDefault="00191292" w:rsidP="003C01DA">
      <w:pPr>
        <w:spacing w:line="360" w:lineRule="auto"/>
        <w:ind w:firstLine="284"/>
        <w:jc w:val="both"/>
        <w:rPr>
          <w:sz w:val="16"/>
        </w:rPr>
      </w:pPr>
      <w:r w:rsidRPr="00FE31A9">
        <w:rPr>
          <w:sz w:val="16"/>
        </w:rPr>
        <w:t xml:space="preserve">Показатель ВРП является по своему экономическому содержанию весьма близким к показателю валового внутреннего продукта (ВВП). Сумма валовых региональных </w:t>
      </w:r>
      <w:r w:rsidR="00D53EF8">
        <w:rPr>
          <w:sz w:val="16"/>
        </w:rPr>
        <w:t xml:space="preserve"> </w:t>
      </w:r>
      <w:r w:rsidRPr="0097778E">
        <w:rPr>
          <w:spacing w:val="-4"/>
          <w:sz w:val="16"/>
        </w:rPr>
        <w:t xml:space="preserve">продуктов по России </w:t>
      </w:r>
      <w:r w:rsidRPr="009F00F2">
        <w:rPr>
          <w:spacing w:val="-4"/>
          <w:sz w:val="16"/>
        </w:rPr>
        <w:t>меньше ВВП</w:t>
      </w:r>
      <w:r w:rsidR="007E08E4" w:rsidRPr="009F00F2">
        <w:rPr>
          <w:spacing w:val="-4"/>
          <w:sz w:val="16"/>
        </w:rPr>
        <w:t>,</w:t>
      </w:r>
      <w:r w:rsidRPr="009F00F2">
        <w:rPr>
          <w:spacing w:val="-4"/>
          <w:sz w:val="16"/>
        </w:rPr>
        <w:t xml:space="preserve"> поскольку </w:t>
      </w:r>
      <w:r w:rsidRPr="0097778E">
        <w:rPr>
          <w:spacing w:val="-4"/>
          <w:sz w:val="16"/>
        </w:rPr>
        <w:t>ВРП охватывает неполный круг экономических</w:t>
      </w:r>
      <w:r w:rsidRPr="00FE31A9">
        <w:rPr>
          <w:sz w:val="16"/>
        </w:rPr>
        <w:t xml:space="preserve"> операций по производству товаров и услуг, совершаемых на данной территории. </w:t>
      </w:r>
      <w:r w:rsidR="00D53EF8">
        <w:rPr>
          <w:sz w:val="16"/>
        </w:rPr>
        <w:t xml:space="preserve"> </w:t>
      </w:r>
      <w:r w:rsidRPr="00FE31A9">
        <w:rPr>
          <w:sz w:val="16"/>
        </w:rPr>
        <w:t xml:space="preserve">В частности, на уровне региона сложно корректно оценить экономические операции </w:t>
      </w:r>
      <w:r w:rsidR="00D53EF8">
        <w:rPr>
          <w:sz w:val="16"/>
        </w:rPr>
        <w:t xml:space="preserve"> </w:t>
      </w:r>
      <w:r w:rsidRPr="00FE31A9">
        <w:rPr>
          <w:sz w:val="16"/>
        </w:rPr>
        <w:t xml:space="preserve">ненаблюдаемые прямыми статистическими методами, рассчитать добавленную </w:t>
      </w:r>
      <w:r w:rsidR="00D53EF8">
        <w:rPr>
          <w:sz w:val="16"/>
        </w:rPr>
        <w:t xml:space="preserve"> </w:t>
      </w:r>
      <w:r w:rsidRPr="0097778E">
        <w:rPr>
          <w:spacing w:val="-4"/>
          <w:sz w:val="16"/>
        </w:rPr>
        <w:t>стоимость по отдельным видам коллективных услуг (например, в области государственного</w:t>
      </w:r>
      <w:r w:rsidRPr="00FE31A9">
        <w:rPr>
          <w:sz w:val="16"/>
        </w:rPr>
        <w:t xml:space="preserve"> управления и обеспечения военной безопасности) оказываемы</w:t>
      </w:r>
      <w:r w:rsidR="000655D1" w:rsidRPr="00FE31A9">
        <w:rPr>
          <w:sz w:val="16"/>
        </w:rPr>
        <w:t>х</w:t>
      </w:r>
      <w:r w:rsidRPr="00FE31A9">
        <w:rPr>
          <w:sz w:val="16"/>
        </w:rPr>
        <w:t xml:space="preserve"> государственными учреждениями обществу в целом.</w:t>
      </w:r>
    </w:p>
    <w:p w:rsidR="00191292" w:rsidRPr="00FE31A9" w:rsidRDefault="00191292" w:rsidP="003C01DA">
      <w:pPr>
        <w:spacing w:line="360" w:lineRule="auto"/>
        <w:ind w:firstLine="284"/>
        <w:jc w:val="both"/>
        <w:rPr>
          <w:sz w:val="16"/>
        </w:rPr>
      </w:pPr>
      <w:r w:rsidRPr="00ED6DD5">
        <w:rPr>
          <w:b/>
          <w:spacing w:val="-2"/>
          <w:sz w:val="16"/>
        </w:rPr>
        <w:t xml:space="preserve">Бюджет </w:t>
      </w:r>
      <w:r w:rsidRPr="00ED6DD5">
        <w:rPr>
          <w:bCs/>
          <w:spacing w:val="-2"/>
          <w:sz w:val="16"/>
        </w:rPr>
        <w:t>– форма образования и расходования</w:t>
      </w:r>
      <w:r w:rsidRPr="00ED6DD5">
        <w:rPr>
          <w:b/>
          <w:spacing w:val="-2"/>
          <w:sz w:val="16"/>
        </w:rPr>
        <w:t xml:space="preserve"> </w:t>
      </w:r>
      <w:r w:rsidRPr="00ED6DD5">
        <w:rPr>
          <w:spacing w:val="-2"/>
          <w:sz w:val="16"/>
        </w:rPr>
        <w:t>денежных средств, предназначенных</w:t>
      </w:r>
      <w:r w:rsidRPr="00FE31A9">
        <w:rPr>
          <w:sz w:val="16"/>
        </w:rPr>
        <w:t xml:space="preserve"> </w:t>
      </w:r>
      <w:r w:rsidRPr="00ED6DD5">
        <w:rPr>
          <w:spacing w:val="-2"/>
          <w:sz w:val="16"/>
        </w:rPr>
        <w:t xml:space="preserve">для финансового обеспечения задач </w:t>
      </w:r>
      <w:r w:rsidR="00D53EF8">
        <w:rPr>
          <w:spacing w:val="-2"/>
          <w:sz w:val="16"/>
        </w:rPr>
        <w:br/>
      </w:r>
      <w:r w:rsidRPr="00ED6DD5">
        <w:rPr>
          <w:spacing w:val="-2"/>
          <w:sz w:val="16"/>
        </w:rPr>
        <w:t>и функций государства и местного самоуправления</w:t>
      </w:r>
      <w:r w:rsidRPr="00FE31A9">
        <w:rPr>
          <w:sz w:val="16"/>
        </w:rPr>
        <w:t>.</w:t>
      </w:r>
    </w:p>
    <w:p w:rsidR="00191292" w:rsidRPr="00FE31A9" w:rsidRDefault="00191292" w:rsidP="003C01DA">
      <w:pPr>
        <w:spacing w:line="360" w:lineRule="auto"/>
        <w:ind w:firstLine="284"/>
        <w:jc w:val="both"/>
        <w:rPr>
          <w:sz w:val="16"/>
        </w:rPr>
      </w:pPr>
      <w:r w:rsidRPr="00FE31A9">
        <w:rPr>
          <w:b/>
          <w:sz w:val="16"/>
        </w:rPr>
        <w:t>Консолидированный бюджет Российской Федерации</w:t>
      </w:r>
      <w:r w:rsidRPr="00FE31A9">
        <w:rPr>
          <w:sz w:val="16"/>
        </w:rPr>
        <w:t xml:space="preserve"> образуют федеральный бюджет и свод консолидированных бюджетов субъектов Российской Федерации </w:t>
      </w:r>
      <w:r w:rsidR="00D53EF8">
        <w:rPr>
          <w:sz w:val="16"/>
        </w:rPr>
        <w:t xml:space="preserve"> </w:t>
      </w:r>
      <w:r w:rsidRPr="00FE31A9">
        <w:rPr>
          <w:sz w:val="16"/>
        </w:rPr>
        <w:t>(без учета межбюджетных трансфертов между этими бюджетами).</w:t>
      </w:r>
    </w:p>
    <w:p w:rsidR="00191292" w:rsidRPr="00FE31A9" w:rsidRDefault="00191292" w:rsidP="003C01DA">
      <w:pPr>
        <w:spacing w:line="360" w:lineRule="auto"/>
        <w:ind w:firstLine="284"/>
        <w:jc w:val="both"/>
        <w:rPr>
          <w:sz w:val="16"/>
        </w:rPr>
      </w:pPr>
      <w:r w:rsidRPr="00FE31A9">
        <w:rPr>
          <w:b/>
          <w:sz w:val="16"/>
        </w:rPr>
        <w:t>Федеральный бюджет</w:t>
      </w:r>
      <w:r w:rsidRPr="00FE31A9">
        <w:rPr>
          <w:sz w:val="16"/>
        </w:rPr>
        <w:t xml:space="preserve"> – предназначен для исполнения расходных обязательств Российской Федерации. </w:t>
      </w:r>
    </w:p>
    <w:p w:rsidR="00191292" w:rsidRPr="00FE31A9" w:rsidRDefault="00191292" w:rsidP="003C01DA">
      <w:pPr>
        <w:spacing w:line="360" w:lineRule="auto"/>
        <w:ind w:firstLine="284"/>
        <w:jc w:val="both"/>
        <w:rPr>
          <w:sz w:val="16"/>
        </w:rPr>
      </w:pPr>
      <w:r w:rsidRPr="00ED6DD5">
        <w:rPr>
          <w:b/>
          <w:spacing w:val="-2"/>
          <w:sz w:val="16"/>
        </w:rPr>
        <w:t xml:space="preserve">Бюджет субъекта Российской Федерации </w:t>
      </w:r>
      <w:r w:rsidRPr="00ED6DD5">
        <w:rPr>
          <w:spacing w:val="-2"/>
          <w:sz w:val="16"/>
        </w:rPr>
        <w:t xml:space="preserve">(региональный бюджет) </w:t>
      </w:r>
      <w:r w:rsidR="009E4EE0" w:rsidRPr="00ED6DD5">
        <w:rPr>
          <w:spacing w:val="-2"/>
          <w:sz w:val="16"/>
        </w:rPr>
        <w:t>–</w:t>
      </w:r>
      <w:r w:rsidRPr="00ED6DD5">
        <w:rPr>
          <w:spacing w:val="-2"/>
          <w:sz w:val="16"/>
        </w:rPr>
        <w:t xml:space="preserve"> предназначен</w:t>
      </w:r>
      <w:r w:rsidRPr="00FE31A9">
        <w:rPr>
          <w:sz w:val="16"/>
        </w:rPr>
        <w:t xml:space="preserve"> для исполнения расходных обязательств субъекта Российской Федерации.</w:t>
      </w:r>
    </w:p>
    <w:p w:rsidR="00191292" w:rsidRPr="00FE31A9" w:rsidRDefault="00191292" w:rsidP="003C01DA">
      <w:pPr>
        <w:spacing w:line="360" w:lineRule="auto"/>
        <w:ind w:firstLine="284"/>
        <w:jc w:val="both"/>
        <w:rPr>
          <w:sz w:val="16"/>
        </w:rPr>
      </w:pPr>
      <w:r w:rsidRPr="00FE31A9">
        <w:rPr>
          <w:b/>
          <w:sz w:val="16"/>
        </w:rPr>
        <w:t>Консолидированный бюджет субъекта Российской Федерации</w:t>
      </w:r>
      <w:r w:rsidRPr="00FE31A9">
        <w:rPr>
          <w:bCs/>
          <w:sz w:val="16"/>
        </w:rPr>
        <w:t xml:space="preserve"> образуют</w:t>
      </w:r>
      <w:r w:rsidRPr="00FE31A9">
        <w:rPr>
          <w:sz w:val="16"/>
        </w:rPr>
        <w:t xml:space="preserve"> </w:t>
      </w:r>
      <w:r w:rsidR="00D53EF8">
        <w:rPr>
          <w:sz w:val="16"/>
        </w:rPr>
        <w:t xml:space="preserve"> </w:t>
      </w:r>
      <w:r w:rsidRPr="00ED6DD5">
        <w:rPr>
          <w:spacing w:val="-2"/>
          <w:sz w:val="16"/>
        </w:rPr>
        <w:t xml:space="preserve">бюджет субъекта Российской Федерации </w:t>
      </w:r>
      <w:r w:rsidR="00D53EF8">
        <w:rPr>
          <w:spacing w:val="-2"/>
          <w:sz w:val="16"/>
        </w:rPr>
        <w:br/>
      </w:r>
      <w:r w:rsidRPr="00ED6DD5">
        <w:rPr>
          <w:spacing w:val="-2"/>
          <w:sz w:val="16"/>
        </w:rPr>
        <w:t>и свод бюджетов муниципальных образований</w:t>
      </w:r>
      <w:r w:rsidRPr="00FE31A9">
        <w:rPr>
          <w:sz w:val="16"/>
        </w:rPr>
        <w:t xml:space="preserve">, входящих в состав субъекта Российской Федерации (без учета межбюджетных </w:t>
      </w:r>
      <w:r w:rsidR="00D53EF8">
        <w:rPr>
          <w:sz w:val="16"/>
        </w:rPr>
        <w:t xml:space="preserve"> </w:t>
      </w:r>
      <w:r w:rsidRPr="00FE31A9">
        <w:rPr>
          <w:sz w:val="16"/>
        </w:rPr>
        <w:t>трансфертов между этими бюджетами).</w:t>
      </w:r>
    </w:p>
    <w:p w:rsidR="00191292" w:rsidRPr="00FE31A9" w:rsidRDefault="00191292" w:rsidP="003C01DA">
      <w:pPr>
        <w:spacing w:line="360" w:lineRule="auto"/>
        <w:ind w:firstLine="284"/>
        <w:jc w:val="both"/>
        <w:rPr>
          <w:sz w:val="16"/>
        </w:rPr>
      </w:pPr>
      <w:r w:rsidRPr="00FE31A9">
        <w:rPr>
          <w:b/>
          <w:sz w:val="16"/>
        </w:rPr>
        <w:t>Доходы бюджета</w:t>
      </w:r>
      <w:r w:rsidRPr="00FE31A9">
        <w:rPr>
          <w:sz w:val="16"/>
        </w:rPr>
        <w:t xml:space="preserve"> – поступающие в бюджет денежные средства, за исключением средств, являющихся в соответствии </w:t>
      </w:r>
      <w:r w:rsidR="00D53EF8">
        <w:rPr>
          <w:spacing w:val="-2"/>
          <w:sz w:val="16"/>
        </w:rPr>
        <w:br/>
      </w:r>
      <w:r w:rsidRPr="00FE31A9">
        <w:rPr>
          <w:sz w:val="16"/>
        </w:rPr>
        <w:t>с Бюджетным кодексом Российской Федерации источниками финансирования дефицита бюджета.</w:t>
      </w:r>
    </w:p>
    <w:p w:rsidR="00191292" w:rsidRPr="00FE31A9" w:rsidRDefault="00191292" w:rsidP="003C01DA">
      <w:pPr>
        <w:spacing w:line="360" w:lineRule="auto"/>
        <w:ind w:firstLine="284"/>
        <w:jc w:val="both"/>
        <w:rPr>
          <w:sz w:val="16"/>
        </w:rPr>
      </w:pPr>
      <w:r w:rsidRPr="00FE31A9">
        <w:rPr>
          <w:sz w:val="16"/>
        </w:rPr>
        <w:t xml:space="preserve">К доходам бюджета относятся налоговые доходы, неналоговые доходы </w:t>
      </w:r>
      <w:r w:rsidR="00D53EF8">
        <w:rPr>
          <w:sz w:val="16"/>
        </w:rPr>
        <w:t xml:space="preserve"> </w:t>
      </w:r>
      <w:r w:rsidRPr="00FE31A9">
        <w:rPr>
          <w:sz w:val="16"/>
        </w:rPr>
        <w:t>и безвозмездные поступления.</w:t>
      </w:r>
    </w:p>
    <w:p w:rsidR="00191292" w:rsidRPr="00FE31A9" w:rsidRDefault="00191292" w:rsidP="003C01DA">
      <w:pPr>
        <w:spacing w:line="360" w:lineRule="auto"/>
        <w:ind w:firstLine="284"/>
        <w:jc w:val="both"/>
        <w:rPr>
          <w:sz w:val="16"/>
        </w:rPr>
      </w:pPr>
      <w:r w:rsidRPr="00ED6DD5">
        <w:rPr>
          <w:b/>
          <w:spacing w:val="-4"/>
          <w:sz w:val="16"/>
        </w:rPr>
        <w:t xml:space="preserve">Расходы бюджета </w:t>
      </w:r>
      <w:r w:rsidRPr="00ED6DD5">
        <w:rPr>
          <w:spacing w:val="-4"/>
          <w:sz w:val="16"/>
        </w:rPr>
        <w:t>–</w:t>
      </w:r>
      <w:r w:rsidRPr="00ED6DD5">
        <w:rPr>
          <w:b/>
          <w:spacing w:val="-4"/>
          <w:sz w:val="16"/>
        </w:rPr>
        <w:t xml:space="preserve"> </w:t>
      </w:r>
      <w:r w:rsidRPr="00ED6DD5">
        <w:rPr>
          <w:spacing w:val="-4"/>
          <w:sz w:val="16"/>
        </w:rPr>
        <w:t>выплачиваемые из бюджета денежные средства, за исключением</w:t>
      </w:r>
      <w:r w:rsidRPr="00FE31A9">
        <w:rPr>
          <w:sz w:val="16"/>
        </w:rPr>
        <w:t xml:space="preserve"> средств являющихся в соответствии </w:t>
      </w:r>
      <w:r w:rsidR="00D53EF8">
        <w:rPr>
          <w:spacing w:val="-2"/>
          <w:sz w:val="16"/>
        </w:rPr>
        <w:br/>
      </w:r>
      <w:r w:rsidRPr="00FE31A9">
        <w:rPr>
          <w:sz w:val="16"/>
        </w:rPr>
        <w:t xml:space="preserve">с Бюджетным кодексом Российской Федерации </w:t>
      </w:r>
      <w:r w:rsidR="00D53EF8">
        <w:rPr>
          <w:sz w:val="16"/>
        </w:rPr>
        <w:t xml:space="preserve"> </w:t>
      </w:r>
      <w:r w:rsidRPr="00FE31A9">
        <w:rPr>
          <w:sz w:val="16"/>
        </w:rPr>
        <w:t xml:space="preserve">источниками финансирования дефицита бюджета. </w:t>
      </w:r>
    </w:p>
    <w:p w:rsidR="00191292" w:rsidRPr="00FE31A9" w:rsidRDefault="00191292" w:rsidP="003C01DA">
      <w:pPr>
        <w:spacing w:line="360" w:lineRule="auto"/>
        <w:ind w:firstLine="284"/>
        <w:jc w:val="both"/>
        <w:rPr>
          <w:sz w:val="16"/>
        </w:rPr>
      </w:pPr>
      <w:r w:rsidRPr="00FE31A9">
        <w:rPr>
          <w:b/>
          <w:sz w:val="16"/>
        </w:rPr>
        <w:t xml:space="preserve">Дефицит бюджета </w:t>
      </w:r>
      <w:r w:rsidRPr="00FE31A9">
        <w:rPr>
          <w:sz w:val="16"/>
        </w:rPr>
        <w:t>–</w:t>
      </w:r>
      <w:r w:rsidRPr="00FE31A9">
        <w:rPr>
          <w:b/>
          <w:sz w:val="16"/>
        </w:rPr>
        <w:t xml:space="preserve"> </w:t>
      </w:r>
      <w:r w:rsidRPr="00FE31A9">
        <w:rPr>
          <w:sz w:val="16"/>
        </w:rPr>
        <w:t>превышение расходов бюджета над его доходами.</w:t>
      </w:r>
    </w:p>
    <w:p w:rsidR="00191292" w:rsidRPr="00FE31A9" w:rsidRDefault="00191292" w:rsidP="003C01DA">
      <w:pPr>
        <w:spacing w:line="360" w:lineRule="auto"/>
        <w:ind w:firstLine="284"/>
        <w:jc w:val="both"/>
        <w:rPr>
          <w:b/>
          <w:sz w:val="16"/>
        </w:rPr>
      </w:pPr>
      <w:r w:rsidRPr="00FE31A9">
        <w:rPr>
          <w:b/>
          <w:sz w:val="16"/>
        </w:rPr>
        <w:t xml:space="preserve">Профицит бюджета </w:t>
      </w:r>
      <w:r w:rsidRPr="00FE31A9">
        <w:rPr>
          <w:sz w:val="16"/>
        </w:rPr>
        <w:t>– превышение доходов бюджета над его расходами.</w:t>
      </w:r>
    </w:p>
    <w:p w:rsidR="00046082" w:rsidRPr="00FE31A9" w:rsidRDefault="00046082" w:rsidP="003C01DA">
      <w:pPr>
        <w:spacing w:line="360" w:lineRule="auto"/>
        <w:ind w:firstLine="284"/>
        <w:jc w:val="both"/>
        <w:rPr>
          <w:sz w:val="16"/>
        </w:rPr>
      </w:pPr>
      <w:r w:rsidRPr="00FE31A9">
        <w:rPr>
          <w:b/>
          <w:sz w:val="16"/>
        </w:rPr>
        <w:lastRenderedPageBreak/>
        <w:t xml:space="preserve">Расходы на общегосударственные вопросы </w:t>
      </w:r>
      <w:r w:rsidRPr="00FE31A9">
        <w:rPr>
          <w:sz w:val="16"/>
        </w:rPr>
        <w:t>–</w:t>
      </w:r>
      <w:r w:rsidRPr="00FE31A9">
        <w:rPr>
          <w:b/>
          <w:sz w:val="16"/>
        </w:rPr>
        <w:t xml:space="preserve"> </w:t>
      </w:r>
      <w:r w:rsidRPr="00FE31A9">
        <w:rPr>
          <w:sz w:val="16"/>
        </w:rPr>
        <w:t xml:space="preserve">расходы, направленные </w:t>
      </w:r>
      <w:r w:rsidR="00D53EF8">
        <w:rPr>
          <w:sz w:val="16"/>
        </w:rPr>
        <w:t xml:space="preserve"> </w:t>
      </w:r>
      <w:r w:rsidRPr="00FE31A9">
        <w:rPr>
          <w:sz w:val="16"/>
        </w:rPr>
        <w:t xml:space="preserve">на обеспечение функционирования главы государства </w:t>
      </w:r>
      <w:r w:rsidR="009E4EE0" w:rsidRPr="00FE31A9">
        <w:rPr>
          <w:sz w:val="16"/>
        </w:rPr>
        <w:t>–</w:t>
      </w:r>
      <w:r w:rsidRPr="00FE31A9">
        <w:rPr>
          <w:sz w:val="16"/>
        </w:rPr>
        <w:t xml:space="preserve"> Президента Российской Федерации, высшего должностного лица субъекта Российской Федерации </w:t>
      </w:r>
      <w:r w:rsidR="00D53EF8">
        <w:rPr>
          <w:sz w:val="16"/>
        </w:rPr>
        <w:t xml:space="preserve"> </w:t>
      </w:r>
      <w:r w:rsidR="00D53EF8">
        <w:rPr>
          <w:spacing w:val="-2"/>
          <w:sz w:val="16"/>
        </w:rPr>
        <w:br/>
      </w:r>
      <w:r w:rsidRPr="00FE31A9">
        <w:rPr>
          <w:sz w:val="16"/>
        </w:rPr>
        <w:t xml:space="preserve">и муниципального образования, законодательных (представительных) </w:t>
      </w:r>
      <w:r w:rsidR="00D53EF8">
        <w:rPr>
          <w:sz w:val="16"/>
        </w:rPr>
        <w:t xml:space="preserve"> </w:t>
      </w:r>
      <w:r w:rsidRPr="00FE31A9">
        <w:rPr>
          <w:sz w:val="16"/>
        </w:rPr>
        <w:t xml:space="preserve">и исполнительных органов государственной власти </w:t>
      </w:r>
      <w:r w:rsidR="00D53EF8">
        <w:rPr>
          <w:spacing w:val="-2"/>
          <w:sz w:val="16"/>
        </w:rPr>
        <w:br/>
      </w:r>
      <w:r w:rsidRPr="00FE31A9">
        <w:rPr>
          <w:sz w:val="16"/>
        </w:rPr>
        <w:t xml:space="preserve">и местного самоуправления; </w:t>
      </w:r>
      <w:r w:rsidR="00D53EF8">
        <w:rPr>
          <w:sz w:val="16"/>
        </w:rPr>
        <w:t xml:space="preserve"> </w:t>
      </w:r>
      <w:r w:rsidRPr="00FE31A9">
        <w:rPr>
          <w:sz w:val="16"/>
        </w:rPr>
        <w:t>на судебную систему, обеспечение деятельности финансовых, налоговых, таможенных органов и органов финансового (финансово-бюджетного) надзора, на международные отношения и международное сотрудничество, фундаментальные исследования, прикладные научные исследования в области общегосударственных вопросов и др.</w:t>
      </w:r>
    </w:p>
    <w:p w:rsidR="00191292" w:rsidRPr="00FE31A9" w:rsidRDefault="00191292" w:rsidP="003C01DA">
      <w:pPr>
        <w:spacing w:line="360" w:lineRule="auto"/>
        <w:ind w:firstLine="284"/>
        <w:jc w:val="both"/>
        <w:rPr>
          <w:sz w:val="16"/>
        </w:rPr>
      </w:pPr>
      <w:r w:rsidRPr="00FE31A9">
        <w:rPr>
          <w:b/>
          <w:sz w:val="16"/>
        </w:rPr>
        <w:t>Расходы на национальную оборону</w:t>
      </w:r>
      <w:r w:rsidRPr="00FE31A9">
        <w:rPr>
          <w:sz w:val="16"/>
        </w:rPr>
        <w:t xml:space="preserve"> – затраты на содержание Вооруженных сил Российской Федерации, мобилизационную и вневойсковую подготовку, на ядерно-оружейный комплекс, реализацию международных обязатель</w:t>
      </w:r>
      <w:proofErr w:type="gramStart"/>
      <w:r w:rsidRPr="00FE31A9">
        <w:rPr>
          <w:sz w:val="16"/>
        </w:rPr>
        <w:t xml:space="preserve">ств </w:t>
      </w:r>
      <w:r w:rsidR="00D53EF8">
        <w:rPr>
          <w:spacing w:val="-2"/>
          <w:sz w:val="16"/>
        </w:rPr>
        <w:br/>
      </w:r>
      <w:r w:rsidRPr="00FE31A9">
        <w:rPr>
          <w:sz w:val="16"/>
        </w:rPr>
        <w:t>в сф</w:t>
      </w:r>
      <w:proofErr w:type="gramEnd"/>
      <w:r w:rsidRPr="00FE31A9">
        <w:rPr>
          <w:sz w:val="16"/>
        </w:rPr>
        <w:t>ере военно-технического сотрудничества, на прикладные научные исследования в области национальной обороны и др.</w:t>
      </w:r>
    </w:p>
    <w:p w:rsidR="00191292" w:rsidRPr="00FE31A9" w:rsidRDefault="00191292" w:rsidP="003C01DA">
      <w:pPr>
        <w:spacing w:line="360" w:lineRule="auto"/>
        <w:ind w:firstLine="284"/>
        <w:jc w:val="both"/>
        <w:rPr>
          <w:spacing w:val="-2"/>
          <w:sz w:val="16"/>
        </w:rPr>
      </w:pPr>
      <w:proofErr w:type="gramStart"/>
      <w:r w:rsidRPr="00ED6DD5">
        <w:rPr>
          <w:b/>
          <w:spacing w:val="-4"/>
          <w:sz w:val="16"/>
        </w:rPr>
        <w:t xml:space="preserve">Расходы на национальную безопасность и правоохранительную деятельность </w:t>
      </w:r>
      <w:r w:rsidRPr="00FE31A9">
        <w:rPr>
          <w:sz w:val="16"/>
        </w:rPr>
        <w:t xml:space="preserve">– средства, направленные </w:t>
      </w:r>
      <w:r w:rsidR="00D53EF8">
        <w:rPr>
          <w:spacing w:val="-2"/>
          <w:sz w:val="16"/>
        </w:rPr>
        <w:br/>
      </w:r>
      <w:r w:rsidRPr="00FE31A9">
        <w:rPr>
          <w:sz w:val="16"/>
        </w:rPr>
        <w:t xml:space="preserve">на содержание органов прокуратуры, внутренних дел, </w:t>
      </w:r>
      <w:r w:rsidRPr="00ED6DD5">
        <w:rPr>
          <w:spacing w:val="-4"/>
          <w:sz w:val="16"/>
        </w:rPr>
        <w:t>внутренних войск, органов юстиции, системы исполнения наказаний, органов безопасности</w:t>
      </w:r>
      <w:r w:rsidRPr="00FE31A9">
        <w:rPr>
          <w:sz w:val="16"/>
        </w:rPr>
        <w:t xml:space="preserve">, пограничной службы, на защиту населения и территорий от чрезвычайных ситуаций природного </w:t>
      </w:r>
      <w:r w:rsidR="00D53EF8">
        <w:rPr>
          <w:spacing w:val="-2"/>
          <w:sz w:val="16"/>
        </w:rPr>
        <w:br/>
      </w:r>
      <w:r w:rsidRPr="00FE31A9">
        <w:rPr>
          <w:sz w:val="16"/>
        </w:rPr>
        <w:t xml:space="preserve">и техногенного характера, гражданскую оборону, обеспечение пожарной безопасности, на миграционную политику, </w:t>
      </w:r>
      <w:r w:rsidR="00D53EF8">
        <w:rPr>
          <w:spacing w:val="-2"/>
          <w:sz w:val="16"/>
        </w:rPr>
        <w:br/>
      </w:r>
      <w:r w:rsidRPr="00FE31A9">
        <w:rPr>
          <w:sz w:val="16"/>
        </w:rPr>
        <w:t xml:space="preserve">на прикладные научные </w:t>
      </w:r>
      <w:r w:rsidRPr="00FE31A9">
        <w:rPr>
          <w:spacing w:val="-2"/>
          <w:sz w:val="16"/>
        </w:rPr>
        <w:t xml:space="preserve">исследования </w:t>
      </w:r>
      <w:r w:rsidR="00D53EF8">
        <w:rPr>
          <w:spacing w:val="-2"/>
          <w:sz w:val="16"/>
        </w:rPr>
        <w:t xml:space="preserve"> </w:t>
      </w:r>
      <w:r w:rsidRPr="00FE31A9">
        <w:rPr>
          <w:spacing w:val="-2"/>
          <w:sz w:val="16"/>
        </w:rPr>
        <w:t>в области национальной безопасности и правоохранительной деятельности и др.</w:t>
      </w:r>
      <w:proofErr w:type="gramEnd"/>
    </w:p>
    <w:p w:rsidR="00191292" w:rsidRPr="00FE31A9" w:rsidRDefault="00191292" w:rsidP="003C01DA">
      <w:pPr>
        <w:spacing w:line="360" w:lineRule="auto"/>
        <w:ind w:firstLine="284"/>
        <w:jc w:val="both"/>
        <w:rPr>
          <w:b/>
          <w:bCs/>
          <w:sz w:val="16"/>
        </w:rPr>
      </w:pPr>
      <w:r w:rsidRPr="00FE31A9">
        <w:rPr>
          <w:b/>
          <w:sz w:val="16"/>
        </w:rPr>
        <w:t xml:space="preserve">Расходы на социально-культурные мероприятия </w:t>
      </w:r>
      <w:r w:rsidRPr="00FE31A9">
        <w:rPr>
          <w:sz w:val="16"/>
        </w:rPr>
        <w:t>–</w:t>
      </w:r>
      <w:r w:rsidRPr="00FE31A9">
        <w:rPr>
          <w:b/>
          <w:sz w:val="16"/>
        </w:rPr>
        <w:t xml:space="preserve"> </w:t>
      </w:r>
      <w:r w:rsidRPr="00FE31A9">
        <w:rPr>
          <w:sz w:val="16"/>
        </w:rPr>
        <w:t xml:space="preserve">расходы на развитие образования, культуры, кинематографии, средств массовой информации, здравоохранения, </w:t>
      </w:r>
      <w:r w:rsidRPr="00ED6DD5">
        <w:rPr>
          <w:spacing w:val="-2"/>
          <w:sz w:val="16"/>
        </w:rPr>
        <w:t>спорта и физической культуры, социальную политику, включая пенсионное обеспечение</w:t>
      </w:r>
      <w:r w:rsidRPr="00FE31A9">
        <w:rPr>
          <w:sz w:val="16"/>
        </w:rPr>
        <w:t>, социальное обслуживание и социальное обеспечение населения, охрану семьи и детства и др.</w:t>
      </w:r>
    </w:p>
    <w:p w:rsidR="00191292" w:rsidRPr="00FE31A9" w:rsidRDefault="00191292" w:rsidP="003C01DA">
      <w:pPr>
        <w:spacing w:line="360" w:lineRule="auto"/>
        <w:ind w:firstLine="284"/>
        <w:jc w:val="both"/>
        <w:rPr>
          <w:sz w:val="16"/>
        </w:rPr>
      </w:pPr>
      <w:r w:rsidRPr="00ED6DD5">
        <w:rPr>
          <w:b/>
          <w:bCs/>
          <w:spacing w:val="-2"/>
          <w:sz w:val="16"/>
        </w:rPr>
        <w:t xml:space="preserve">Оплата труда наемных </w:t>
      </w:r>
      <w:r w:rsidRPr="00ED6DD5">
        <w:rPr>
          <w:spacing w:val="-2"/>
          <w:sz w:val="16"/>
        </w:rPr>
        <w:t>работников представляет собой вознаграждение в денежной</w:t>
      </w:r>
      <w:r w:rsidRPr="00FE31A9">
        <w:rPr>
          <w:sz w:val="16"/>
        </w:rPr>
        <w:t xml:space="preserve"> или натуральной форме, выплачиваемое работодателем наемному работнику </w:t>
      </w:r>
      <w:r w:rsidR="00D53EF8">
        <w:rPr>
          <w:sz w:val="16"/>
        </w:rPr>
        <w:t xml:space="preserve"> </w:t>
      </w:r>
      <w:r w:rsidRPr="00FE31A9">
        <w:rPr>
          <w:sz w:val="16"/>
        </w:rPr>
        <w:t>за работу, выполненную в отчетном периоде.</w:t>
      </w:r>
    </w:p>
    <w:p w:rsidR="00191292" w:rsidRPr="00FE31A9" w:rsidRDefault="00191292" w:rsidP="003C01DA">
      <w:pPr>
        <w:spacing w:line="360" w:lineRule="auto"/>
        <w:ind w:firstLine="284"/>
        <w:jc w:val="both"/>
        <w:rPr>
          <w:sz w:val="16"/>
        </w:rPr>
      </w:pPr>
      <w:r w:rsidRPr="00FE31A9">
        <w:rPr>
          <w:sz w:val="16"/>
        </w:rPr>
        <w:t xml:space="preserve">Она </w:t>
      </w:r>
      <w:proofErr w:type="gramStart"/>
      <w:r w:rsidRPr="00FE31A9">
        <w:rPr>
          <w:sz w:val="16"/>
        </w:rPr>
        <w:t>учитывается на основе начисленных сумм и включает</w:t>
      </w:r>
      <w:proofErr w:type="gramEnd"/>
      <w:r w:rsidRPr="00FE31A9">
        <w:rPr>
          <w:sz w:val="16"/>
        </w:rPr>
        <w:t xml:space="preserve"> в себя налоги на доходы и другие выплаты, которые подлежат уплате наемными работниками, даже если они фактически удерживаются нанимателями в административных интересах </w:t>
      </w:r>
      <w:r w:rsidR="00D53EF8">
        <w:rPr>
          <w:spacing w:val="-2"/>
          <w:sz w:val="16"/>
        </w:rPr>
        <w:br/>
      </w:r>
      <w:r w:rsidRPr="00FE31A9">
        <w:rPr>
          <w:sz w:val="16"/>
        </w:rPr>
        <w:t>или по иным причинам, и выплачиваются непосредственно органам социального страхования, налоговым службам от лица наемного работника.</w:t>
      </w:r>
    </w:p>
    <w:p w:rsidR="00191292" w:rsidRPr="00FE31A9" w:rsidRDefault="00191292" w:rsidP="003C01DA">
      <w:pPr>
        <w:pStyle w:val="ae"/>
        <w:spacing w:line="360" w:lineRule="auto"/>
      </w:pPr>
      <w:r w:rsidRPr="00FE31A9">
        <w:t>Оплата труда наемных работников состоит из двух компонентов:</w:t>
      </w:r>
    </w:p>
    <w:p w:rsidR="00191292" w:rsidRPr="00FE31A9" w:rsidRDefault="00191292" w:rsidP="003C01DA">
      <w:pPr>
        <w:spacing w:line="360" w:lineRule="auto"/>
        <w:ind w:firstLine="284"/>
        <w:jc w:val="both"/>
        <w:rPr>
          <w:sz w:val="16"/>
        </w:rPr>
      </w:pPr>
      <w:r w:rsidRPr="00FE31A9">
        <w:rPr>
          <w:sz w:val="16"/>
        </w:rPr>
        <w:t>а) заработной платы;</w:t>
      </w:r>
    </w:p>
    <w:p w:rsidR="00191292" w:rsidRPr="00FE31A9" w:rsidRDefault="00191292" w:rsidP="003C01DA">
      <w:pPr>
        <w:spacing w:line="360" w:lineRule="auto"/>
        <w:ind w:firstLine="284"/>
        <w:jc w:val="both"/>
        <w:rPr>
          <w:sz w:val="16"/>
        </w:rPr>
      </w:pPr>
      <w:r w:rsidRPr="00FE31A9">
        <w:rPr>
          <w:sz w:val="16"/>
        </w:rPr>
        <w:t>б) отчислений работодателей в фонды социального страхования.</w:t>
      </w:r>
    </w:p>
    <w:p w:rsidR="00191292" w:rsidRPr="00FE31A9" w:rsidRDefault="00191292" w:rsidP="003C01DA">
      <w:pPr>
        <w:spacing w:line="360" w:lineRule="auto"/>
        <w:ind w:firstLine="284"/>
        <w:jc w:val="both"/>
        <w:rPr>
          <w:sz w:val="16"/>
        </w:rPr>
      </w:pPr>
      <w:r w:rsidRPr="00FE31A9">
        <w:rPr>
          <w:sz w:val="16"/>
        </w:rPr>
        <w:t>Отчисления работодателей в фонды социального страхования могут быть фактическими и условно исчисленными.</w:t>
      </w:r>
    </w:p>
    <w:p w:rsidR="00191292" w:rsidRPr="00FE31A9" w:rsidRDefault="00191292" w:rsidP="003C01DA">
      <w:pPr>
        <w:spacing w:line="360" w:lineRule="auto"/>
        <w:ind w:firstLine="284"/>
        <w:jc w:val="both"/>
        <w:rPr>
          <w:sz w:val="16"/>
        </w:rPr>
      </w:pPr>
      <w:r w:rsidRPr="00FE31A9">
        <w:rPr>
          <w:sz w:val="16"/>
        </w:rPr>
        <w:t xml:space="preserve">Фактические отчисления выплачиваются работодателями в государственные или негосударственные фонды социального страхования, чтобы обеспечить своим наемным работникам право на получение социальных пособий в случае наступления определенных событий или при наличии определенных условий, которые могут неблагоприятно повлиять на доходы </w:t>
      </w:r>
      <w:r w:rsidR="00D53EF8">
        <w:rPr>
          <w:spacing w:val="-2"/>
          <w:sz w:val="16"/>
        </w:rPr>
        <w:br/>
      </w:r>
      <w:r w:rsidRPr="00FE31A9">
        <w:rPr>
          <w:sz w:val="16"/>
        </w:rPr>
        <w:t>или благосостояние работников – болезнь, несчастные случаи, безработица, уход на пенсию и т.д.</w:t>
      </w:r>
    </w:p>
    <w:p w:rsidR="00191292" w:rsidRPr="00FE31A9" w:rsidRDefault="00191292" w:rsidP="003C01DA">
      <w:pPr>
        <w:spacing w:line="360" w:lineRule="auto"/>
        <w:ind w:firstLine="284"/>
        <w:jc w:val="both"/>
        <w:rPr>
          <w:sz w:val="16"/>
        </w:rPr>
      </w:pPr>
      <w:r w:rsidRPr="00FE31A9">
        <w:rPr>
          <w:sz w:val="16"/>
        </w:rPr>
        <w:t xml:space="preserve">Условно начисленные отчисления на социальное страхование представляют собой эквивалент социальным пособиям, выплачиваемый непосредственно работодателем своим работникам, бывшим работникам или их иждивенцам, имеющим </w:t>
      </w:r>
      <w:r w:rsidR="00D53EF8">
        <w:rPr>
          <w:spacing w:val="-2"/>
          <w:sz w:val="16"/>
        </w:rPr>
        <w:br/>
      </w:r>
      <w:r w:rsidRPr="00FE31A9">
        <w:rPr>
          <w:sz w:val="16"/>
        </w:rPr>
        <w:t xml:space="preserve">на то право, </w:t>
      </w:r>
      <w:r w:rsidR="00D53EF8">
        <w:rPr>
          <w:sz w:val="16"/>
        </w:rPr>
        <w:t xml:space="preserve"> </w:t>
      </w:r>
      <w:r w:rsidRPr="00FE31A9">
        <w:rPr>
          <w:sz w:val="16"/>
        </w:rPr>
        <w:t>за счет своих средств без участия фондов социального страхования.</w:t>
      </w:r>
    </w:p>
    <w:p w:rsidR="00191292" w:rsidRPr="00FE31A9" w:rsidRDefault="00191292" w:rsidP="003C01DA">
      <w:pPr>
        <w:spacing w:line="360" w:lineRule="auto"/>
        <w:ind w:firstLine="284"/>
        <w:jc w:val="both"/>
        <w:rPr>
          <w:sz w:val="16"/>
        </w:rPr>
      </w:pPr>
      <w:r w:rsidRPr="00FE31A9">
        <w:rPr>
          <w:sz w:val="16"/>
        </w:rPr>
        <w:t>Оплата труда в составе располагаемого дохода домашних хозяй</w:t>
      </w:r>
      <w:proofErr w:type="gramStart"/>
      <w:r w:rsidRPr="00FE31A9">
        <w:rPr>
          <w:sz w:val="16"/>
        </w:rPr>
        <w:t>ств вкл</w:t>
      </w:r>
      <w:proofErr w:type="gramEnd"/>
      <w:r w:rsidRPr="00FE31A9">
        <w:rPr>
          <w:sz w:val="16"/>
        </w:rPr>
        <w:t xml:space="preserve">ючает также оплату труда, полученную резидентами за рубежом, и не включает оплату труда </w:t>
      </w:r>
      <w:r w:rsidR="00D53EF8">
        <w:rPr>
          <w:sz w:val="16"/>
        </w:rPr>
        <w:t xml:space="preserve"> </w:t>
      </w:r>
      <w:r w:rsidRPr="00FE31A9">
        <w:rPr>
          <w:sz w:val="16"/>
        </w:rPr>
        <w:t>нерезидентов в России.</w:t>
      </w:r>
    </w:p>
    <w:p w:rsidR="00A40A1A" w:rsidRPr="00FE31A9" w:rsidRDefault="00A40A1A" w:rsidP="003C01DA">
      <w:pPr>
        <w:spacing w:line="360" w:lineRule="auto"/>
        <w:ind w:firstLine="284"/>
        <w:jc w:val="both"/>
        <w:rPr>
          <w:sz w:val="16"/>
        </w:rPr>
      </w:pPr>
      <w:r w:rsidRPr="00ED6DD5">
        <w:rPr>
          <w:spacing w:val="-4"/>
          <w:sz w:val="16"/>
        </w:rPr>
        <w:t>Особенностью расчета оплаты труда наемных работников в российских национальных</w:t>
      </w:r>
      <w:r w:rsidRPr="00FE31A9">
        <w:rPr>
          <w:sz w:val="16"/>
        </w:rPr>
        <w:t xml:space="preserve"> счетах является то, что она включает помимо  ненаблюдаемой оплаты труда наемных работников и ненаблюдаемые смешанные доходы. </w:t>
      </w:r>
    </w:p>
    <w:p w:rsidR="00191292" w:rsidRPr="00FE31A9" w:rsidRDefault="00A40A1A" w:rsidP="003C01DA">
      <w:pPr>
        <w:spacing w:line="360" w:lineRule="auto"/>
        <w:ind w:firstLine="284"/>
        <w:jc w:val="both"/>
        <w:rPr>
          <w:sz w:val="16"/>
        </w:rPr>
      </w:pPr>
      <w:r w:rsidRPr="00FE31A9">
        <w:rPr>
          <w:b/>
          <w:sz w:val="16"/>
        </w:rPr>
        <w:t>Оплата труда наемных работников</w:t>
      </w:r>
      <w:r w:rsidRPr="00FE31A9">
        <w:rPr>
          <w:b/>
          <w:bCs/>
          <w:sz w:val="16"/>
        </w:rPr>
        <w:t xml:space="preserve"> и смешанные доходы, не наблюдаемые прямыми статистическими методами,</w:t>
      </w:r>
      <w:r w:rsidRPr="00FE31A9">
        <w:rPr>
          <w:sz w:val="16"/>
        </w:rPr>
        <w:t xml:space="preserve"> определяются балансовым путем как разница</w:t>
      </w:r>
      <w:r w:rsidR="001054A7" w:rsidRPr="00FE31A9">
        <w:rPr>
          <w:sz w:val="16"/>
        </w:rPr>
        <w:t xml:space="preserve"> между суммарными расходами на все нужды</w:t>
      </w:r>
      <w:r w:rsidRPr="00FE31A9">
        <w:rPr>
          <w:sz w:val="16"/>
        </w:rPr>
        <w:t xml:space="preserve"> </w:t>
      </w:r>
      <w:r w:rsidR="00191292" w:rsidRPr="00FE31A9">
        <w:rPr>
          <w:sz w:val="16"/>
        </w:rPr>
        <w:t xml:space="preserve">домашних хозяйств, включая прирост </w:t>
      </w:r>
      <w:r w:rsidR="00D53EF8">
        <w:rPr>
          <w:sz w:val="16"/>
        </w:rPr>
        <w:t xml:space="preserve"> </w:t>
      </w:r>
      <w:r w:rsidR="00191292" w:rsidRPr="00FE31A9">
        <w:rPr>
          <w:sz w:val="16"/>
        </w:rPr>
        <w:t xml:space="preserve">их финансовых активов </w:t>
      </w:r>
      <w:r w:rsidR="000655D1" w:rsidRPr="00FE31A9">
        <w:rPr>
          <w:sz w:val="16"/>
        </w:rPr>
        <w:t>за минусом обязательств</w:t>
      </w:r>
      <w:r w:rsidR="00061BE3" w:rsidRPr="00FE31A9">
        <w:rPr>
          <w:sz w:val="16"/>
        </w:rPr>
        <w:t>,</w:t>
      </w:r>
      <w:r w:rsidR="000655D1" w:rsidRPr="00FE31A9">
        <w:rPr>
          <w:sz w:val="16"/>
        </w:rPr>
        <w:t xml:space="preserve"> </w:t>
      </w:r>
      <w:r w:rsidR="00191292" w:rsidRPr="00FE31A9">
        <w:rPr>
          <w:sz w:val="16"/>
        </w:rPr>
        <w:t>и формально зарегистрированными доходами.</w:t>
      </w:r>
    </w:p>
    <w:p w:rsidR="00191292" w:rsidRPr="00FE31A9" w:rsidRDefault="00191292" w:rsidP="003C01DA">
      <w:pPr>
        <w:pStyle w:val="ae"/>
        <w:spacing w:line="360" w:lineRule="auto"/>
        <w:rPr>
          <w:spacing w:val="-2"/>
        </w:rPr>
      </w:pPr>
      <w:r w:rsidRPr="00FE31A9">
        <w:rPr>
          <w:spacing w:val="-2"/>
        </w:rPr>
        <w:t>Расчеты по определению  оплаты труда и смешанных доходов</w:t>
      </w:r>
      <w:r w:rsidR="00A40A1A" w:rsidRPr="00FE31A9">
        <w:rPr>
          <w:spacing w:val="-2"/>
        </w:rPr>
        <w:t xml:space="preserve">, не наблюдаемых прямыми статистическими методами, </w:t>
      </w:r>
      <w:r w:rsidRPr="00FE31A9">
        <w:rPr>
          <w:spacing w:val="-2"/>
        </w:rPr>
        <w:t xml:space="preserve"> производятся по экономике в целом без разбивки по отраслям, видам деятельности и территориям.</w:t>
      </w:r>
    </w:p>
    <w:p w:rsidR="00191292" w:rsidRPr="00FE31A9" w:rsidRDefault="00191292" w:rsidP="003C01DA">
      <w:pPr>
        <w:spacing w:line="360" w:lineRule="auto"/>
        <w:ind w:firstLine="284"/>
        <w:jc w:val="both"/>
        <w:rPr>
          <w:sz w:val="16"/>
        </w:rPr>
      </w:pPr>
      <w:r w:rsidRPr="00FE31A9">
        <w:rPr>
          <w:b/>
          <w:bCs/>
          <w:sz w:val="16"/>
        </w:rPr>
        <w:lastRenderedPageBreak/>
        <w:t>Располагаемый доход домашних хозяй</w:t>
      </w:r>
      <w:proofErr w:type="gramStart"/>
      <w:r w:rsidRPr="00FE31A9">
        <w:rPr>
          <w:b/>
          <w:bCs/>
          <w:sz w:val="16"/>
        </w:rPr>
        <w:t>ств</w:t>
      </w:r>
      <w:r w:rsidRPr="00FE31A9">
        <w:rPr>
          <w:sz w:val="16"/>
        </w:rPr>
        <w:t xml:space="preserve"> пр</w:t>
      </w:r>
      <w:proofErr w:type="gramEnd"/>
      <w:r w:rsidRPr="00FE31A9">
        <w:rPr>
          <w:sz w:val="16"/>
        </w:rPr>
        <w:t xml:space="preserve">едставляет собой сумму доходов, </w:t>
      </w:r>
      <w:r w:rsidRPr="0097778E">
        <w:rPr>
          <w:spacing w:val="-2"/>
          <w:sz w:val="16"/>
        </w:rPr>
        <w:t>полученных в результате первичного распределения (оплата труда, смешанные доходы,</w:t>
      </w:r>
      <w:r w:rsidRPr="00FE31A9">
        <w:rPr>
          <w:sz w:val="16"/>
        </w:rPr>
        <w:t xml:space="preserve"> сальдо доходов от собственности), а также в результате перераспределения доходов </w:t>
      </w:r>
      <w:r w:rsidR="00D53EF8">
        <w:rPr>
          <w:sz w:val="16"/>
        </w:rPr>
        <w:t xml:space="preserve"> </w:t>
      </w:r>
      <w:r w:rsidRPr="00FE31A9">
        <w:rPr>
          <w:sz w:val="16"/>
        </w:rPr>
        <w:t>в денежной форме (текущие трансферты).</w:t>
      </w:r>
    </w:p>
    <w:p w:rsidR="00191292" w:rsidRPr="00FE31A9" w:rsidRDefault="00191292" w:rsidP="003C01DA">
      <w:pPr>
        <w:spacing w:line="360" w:lineRule="auto"/>
        <w:ind w:firstLine="284"/>
        <w:jc w:val="both"/>
        <w:rPr>
          <w:sz w:val="16"/>
        </w:rPr>
      </w:pPr>
      <w:r w:rsidRPr="0097778E">
        <w:rPr>
          <w:b/>
          <w:spacing w:val="-2"/>
          <w:sz w:val="16"/>
        </w:rPr>
        <w:t xml:space="preserve">Фактическое конечное потребление домашних хозяйств </w:t>
      </w:r>
      <w:r w:rsidR="009E4EE0" w:rsidRPr="0097778E">
        <w:rPr>
          <w:spacing w:val="-2"/>
          <w:sz w:val="16"/>
        </w:rPr>
        <w:t>–</w:t>
      </w:r>
      <w:r w:rsidRPr="0097778E">
        <w:rPr>
          <w:spacing w:val="-2"/>
          <w:sz w:val="16"/>
        </w:rPr>
        <w:t xml:space="preserve"> конечное потребление т</w:t>
      </w:r>
      <w:r w:rsidRPr="00FE31A9">
        <w:rPr>
          <w:sz w:val="16"/>
        </w:rPr>
        <w:t xml:space="preserve">оваров и услуг, осуществляемое </w:t>
      </w:r>
      <w:r w:rsidR="00D53EF8">
        <w:rPr>
          <w:spacing w:val="-2"/>
          <w:sz w:val="16"/>
        </w:rPr>
        <w:br/>
      </w:r>
      <w:r w:rsidRPr="00FE31A9">
        <w:rPr>
          <w:sz w:val="16"/>
        </w:rPr>
        <w:t xml:space="preserve">за счет расходов домашних хозяйств, а также </w:t>
      </w:r>
      <w:r w:rsidR="00D53EF8">
        <w:rPr>
          <w:sz w:val="16"/>
        </w:rPr>
        <w:t xml:space="preserve"> </w:t>
      </w:r>
      <w:r w:rsidRPr="00FE31A9">
        <w:rPr>
          <w:sz w:val="16"/>
        </w:rPr>
        <w:t xml:space="preserve">за счет </w:t>
      </w:r>
      <w:r w:rsidRPr="00FE31A9">
        <w:rPr>
          <w:b/>
          <w:sz w:val="16"/>
        </w:rPr>
        <w:t>социальных трансфертов в натуральной форме</w:t>
      </w:r>
      <w:proofErr w:type="gramStart"/>
      <w:r w:rsidRPr="00FE31A9">
        <w:rPr>
          <w:sz w:val="16"/>
          <w:vertAlign w:val="superscript"/>
        </w:rPr>
        <w:t>1</w:t>
      </w:r>
      <w:proofErr w:type="gramEnd"/>
      <w:r w:rsidRPr="00FE31A9">
        <w:rPr>
          <w:sz w:val="16"/>
          <w:vertAlign w:val="superscript"/>
        </w:rPr>
        <w:t>)</w:t>
      </w:r>
      <w:r w:rsidRPr="00FE31A9">
        <w:rPr>
          <w:sz w:val="16"/>
        </w:rPr>
        <w:t xml:space="preserve">, полученных домашними </w:t>
      </w:r>
      <w:r w:rsidRPr="0097778E">
        <w:rPr>
          <w:spacing w:val="-2"/>
          <w:sz w:val="16"/>
        </w:rPr>
        <w:t>хозяйствами от сектора государственного управления и от некоммерческих организаций,</w:t>
      </w:r>
      <w:r w:rsidRPr="00FE31A9">
        <w:rPr>
          <w:sz w:val="16"/>
        </w:rPr>
        <w:t xml:space="preserve"> </w:t>
      </w:r>
      <w:r w:rsidR="00D53EF8">
        <w:rPr>
          <w:sz w:val="16"/>
        </w:rPr>
        <w:t xml:space="preserve"> </w:t>
      </w:r>
      <w:r w:rsidRPr="00FE31A9">
        <w:rPr>
          <w:sz w:val="16"/>
        </w:rPr>
        <w:t>обслуживающих домашние хозяйства.</w:t>
      </w:r>
    </w:p>
    <w:p w:rsidR="00170419" w:rsidRPr="00FE31A9" w:rsidRDefault="00170419" w:rsidP="003C01DA">
      <w:pPr>
        <w:spacing w:line="360" w:lineRule="auto"/>
        <w:ind w:firstLine="284"/>
        <w:jc w:val="both"/>
        <w:rPr>
          <w:sz w:val="16"/>
        </w:rPr>
      </w:pPr>
      <w:r w:rsidRPr="00FE31A9">
        <w:rPr>
          <w:b/>
          <w:sz w:val="16"/>
        </w:rPr>
        <w:t>Расходы домашних хозяйств</w:t>
      </w:r>
      <w:r w:rsidRPr="00FE31A9">
        <w:rPr>
          <w:sz w:val="16"/>
        </w:rPr>
        <w:t xml:space="preserve"> </w:t>
      </w:r>
      <w:r w:rsidRPr="00FE31A9">
        <w:rPr>
          <w:b/>
          <w:sz w:val="16"/>
        </w:rPr>
        <w:t xml:space="preserve">на конечное потребление </w:t>
      </w:r>
      <w:r w:rsidRPr="00FE31A9">
        <w:rPr>
          <w:sz w:val="16"/>
        </w:rPr>
        <w:t xml:space="preserve">включают расходы </w:t>
      </w:r>
      <w:r w:rsidR="00D53EF8">
        <w:rPr>
          <w:sz w:val="16"/>
        </w:rPr>
        <w:t xml:space="preserve"> </w:t>
      </w:r>
      <w:r w:rsidRPr="00FE31A9">
        <w:rPr>
          <w:sz w:val="16"/>
        </w:rPr>
        <w:t xml:space="preserve">на приобретение потребительских товаров и услуг, а также потребление товаров </w:t>
      </w:r>
      <w:r w:rsidR="00D53EF8">
        <w:rPr>
          <w:sz w:val="16"/>
        </w:rPr>
        <w:t xml:space="preserve"> </w:t>
      </w:r>
      <w:r w:rsidRPr="0097778E">
        <w:rPr>
          <w:spacing w:val="-2"/>
          <w:sz w:val="16"/>
        </w:rPr>
        <w:t>и услуг в натуральной форме: произведенных для собственного конечного использования</w:t>
      </w:r>
      <w:r w:rsidRPr="00FE31A9">
        <w:rPr>
          <w:sz w:val="16"/>
        </w:rPr>
        <w:t xml:space="preserve"> (сельскохозяйственная продукция личных подсобных хозяйств, условно исчисленные услуги по проживанию в собственном жилище) и полученных в качестве оплаты труда </w:t>
      </w:r>
      <w:r w:rsidR="00D53EF8">
        <w:rPr>
          <w:sz w:val="16"/>
        </w:rPr>
        <w:t xml:space="preserve"> </w:t>
      </w:r>
      <w:r w:rsidRPr="00FE31A9">
        <w:rPr>
          <w:sz w:val="16"/>
        </w:rPr>
        <w:t>и гуманитарной помощи.</w:t>
      </w:r>
    </w:p>
    <w:p w:rsidR="00170419" w:rsidRPr="00FE31A9" w:rsidRDefault="00170419" w:rsidP="003C01DA">
      <w:pPr>
        <w:spacing w:line="360" w:lineRule="auto"/>
        <w:ind w:firstLine="284"/>
        <w:jc w:val="both"/>
        <w:rPr>
          <w:sz w:val="16"/>
        </w:rPr>
      </w:pPr>
      <w:r w:rsidRPr="00FE31A9">
        <w:rPr>
          <w:sz w:val="16"/>
        </w:rPr>
        <w:t xml:space="preserve">Расходы домашних хозяйств учитываются в ценах покупателей, включая любые налоги на продукты, которые подлежат уплате на момент покупки. Цена покупателя </w:t>
      </w:r>
      <w:r w:rsidR="00D53EF8">
        <w:rPr>
          <w:sz w:val="16"/>
        </w:rPr>
        <w:t xml:space="preserve"> </w:t>
      </w:r>
      <w:r w:rsidRPr="00FE31A9">
        <w:rPr>
          <w:sz w:val="16"/>
        </w:rPr>
        <w:t>не включает  никаких  процентов или платы за услуги, которые мо</w:t>
      </w:r>
      <w:r w:rsidR="003C01DA">
        <w:rPr>
          <w:sz w:val="16"/>
        </w:rPr>
        <w:t xml:space="preserve">гут добавляться, если продавец </w:t>
      </w:r>
      <w:r w:rsidRPr="00FE31A9">
        <w:rPr>
          <w:sz w:val="16"/>
        </w:rPr>
        <w:t xml:space="preserve">обеспечивает для покупателя кредитование. В эту цену также не входят </w:t>
      </w:r>
      <w:r w:rsidR="00D53EF8">
        <w:rPr>
          <w:sz w:val="16"/>
        </w:rPr>
        <w:t xml:space="preserve"> </w:t>
      </w:r>
      <w:r w:rsidRPr="00FE31A9">
        <w:rPr>
          <w:sz w:val="16"/>
        </w:rPr>
        <w:t xml:space="preserve">никакие дополнительные сборы, которые могут взиматься за </w:t>
      </w:r>
      <w:proofErr w:type="gramStart"/>
      <w:r w:rsidRPr="00FE31A9">
        <w:rPr>
          <w:sz w:val="16"/>
        </w:rPr>
        <w:t>не уплату</w:t>
      </w:r>
      <w:proofErr w:type="gramEnd"/>
      <w:r w:rsidRPr="00FE31A9">
        <w:rPr>
          <w:sz w:val="16"/>
        </w:rPr>
        <w:t xml:space="preserve"> в срок, установленный в момент покупки. Выплаты процентов по кредиту, в национальных счетах рассматриваются как</w:t>
      </w:r>
      <w:r w:rsidR="00EA1628">
        <w:rPr>
          <w:sz w:val="16"/>
        </w:rPr>
        <w:t xml:space="preserve"> операции по перераспределению </w:t>
      </w:r>
      <w:r w:rsidRPr="00FE31A9">
        <w:rPr>
          <w:sz w:val="16"/>
        </w:rPr>
        <w:t xml:space="preserve">доходов </w:t>
      </w:r>
      <w:r w:rsidR="00D53EF8">
        <w:rPr>
          <w:sz w:val="16"/>
        </w:rPr>
        <w:t xml:space="preserve"> </w:t>
      </w:r>
      <w:r w:rsidRPr="00FE31A9">
        <w:rPr>
          <w:sz w:val="16"/>
        </w:rPr>
        <w:t>от собственности.</w:t>
      </w:r>
    </w:p>
    <w:p w:rsidR="00170419" w:rsidRPr="00FE31A9" w:rsidRDefault="00170419" w:rsidP="003C01DA">
      <w:pPr>
        <w:pStyle w:val="ae"/>
        <w:spacing w:line="360" w:lineRule="auto"/>
      </w:pPr>
      <w:r w:rsidRPr="00FE31A9">
        <w:t xml:space="preserve">Более подробно информация о состоянии бюджетной, финансовой и денежно-кредитной системы России представлена </w:t>
      </w:r>
      <w:r w:rsidR="00D53EF8">
        <w:rPr>
          <w:spacing w:val="-2"/>
        </w:rPr>
        <w:br/>
      </w:r>
      <w:r w:rsidRPr="00FE31A9">
        <w:t>в сборнике Росстата «Финансы России»</w:t>
      </w:r>
      <w:r w:rsidR="0087357D">
        <w:t xml:space="preserve"> </w:t>
      </w:r>
      <w:r w:rsidR="0087357D" w:rsidRPr="0087357D">
        <w:t>(</w:t>
      </w:r>
      <w:r w:rsidR="0087357D">
        <w:rPr>
          <w:lang w:val="en-US"/>
        </w:rPr>
        <w:t>https</w:t>
      </w:r>
      <w:r w:rsidR="0087357D" w:rsidRPr="00501C84">
        <w:t>://</w:t>
      </w:r>
      <w:r w:rsidR="00544AF7" w:rsidRPr="00501C84">
        <w:t>rosstat.gov.ru</w:t>
      </w:r>
      <w:r w:rsidR="0087357D" w:rsidRPr="00501C84">
        <w:t>/</w:t>
      </w:r>
      <w:r w:rsidR="0087357D">
        <w:rPr>
          <w:lang w:val="en-US"/>
        </w:rPr>
        <w:t>folder</w:t>
      </w:r>
      <w:r w:rsidR="0087357D" w:rsidRPr="0087357D">
        <w:t>/210/</w:t>
      </w:r>
      <w:r w:rsidR="0087357D">
        <w:rPr>
          <w:lang w:val="en-US"/>
        </w:rPr>
        <w:t>document</w:t>
      </w:r>
      <w:r w:rsidR="00ED1477">
        <w:t>/13237</w:t>
      </w:r>
      <w:r w:rsidR="0087357D" w:rsidRPr="0087357D">
        <w:t>)</w:t>
      </w:r>
      <w:r w:rsidRPr="00FE31A9">
        <w:t xml:space="preserve">, о системе национальных счетов – </w:t>
      </w:r>
      <w:r w:rsidR="00D53EF8">
        <w:t xml:space="preserve"> </w:t>
      </w:r>
      <w:r w:rsidR="00D53EF8">
        <w:rPr>
          <w:spacing w:val="-2"/>
        </w:rPr>
        <w:br/>
      </w:r>
      <w:r w:rsidRPr="00EA1628">
        <w:rPr>
          <w:spacing w:val="-4"/>
        </w:rPr>
        <w:t>в сборнике «Национальные счета России»</w:t>
      </w:r>
      <w:r w:rsidR="0087357D" w:rsidRPr="00EA1628">
        <w:rPr>
          <w:spacing w:val="-4"/>
        </w:rPr>
        <w:t xml:space="preserve"> (</w:t>
      </w:r>
      <w:r w:rsidR="0087357D" w:rsidRPr="00EA1628">
        <w:rPr>
          <w:spacing w:val="-4"/>
          <w:lang w:val="en-US"/>
        </w:rPr>
        <w:t>https</w:t>
      </w:r>
      <w:r w:rsidR="0087357D" w:rsidRPr="00EA1628">
        <w:rPr>
          <w:spacing w:val="-4"/>
        </w:rPr>
        <w:t>://</w:t>
      </w:r>
      <w:r w:rsidR="00544AF7" w:rsidRPr="00EA1628">
        <w:rPr>
          <w:spacing w:val="-4"/>
        </w:rPr>
        <w:t>rosstat.gov.ru</w:t>
      </w:r>
      <w:r w:rsidR="0087357D" w:rsidRPr="00EA1628">
        <w:rPr>
          <w:spacing w:val="-4"/>
        </w:rPr>
        <w:t>/</w:t>
      </w:r>
      <w:r w:rsidR="0087357D" w:rsidRPr="00EA1628">
        <w:rPr>
          <w:spacing w:val="-4"/>
          <w:lang w:val="en-US"/>
        </w:rPr>
        <w:t>folder</w:t>
      </w:r>
      <w:r w:rsidR="0087357D" w:rsidRPr="00EA1628">
        <w:rPr>
          <w:spacing w:val="-4"/>
        </w:rPr>
        <w:t>/210/</w:t>
      </w:r>
      <w:r w:rsidR="0087357D" w:rsidRPr="00EA1628">
        <w:rPr>
          <w:spacing w:val="-4"/>
          <w:lang w:val="en-US"/>
        </w:rPr>
        <w:t>document</w:t>
      </w:r>
      <w:r w:rsidR="0087357D" w:rsidRPr="00EA1628">
        <w:rPr>
          <w:spacing w:val="-4"/>
        </w:rPr>
        <w:t>/13221</w:t>
      </w:r>
      <w:r w:rsidR="0087357D" w:rsidRPr="0097778E">
        <w:rPr>
          <w:spacing w:val="-2"/>
        </w:rPr>
        <w:t>)</w:t>
      </w:r>
      <w:r w:rsidRPr="0097778E">
        <w:rPr>
          <w:spacing w:val="-2"/>
        </w:rPr>
        <w:t>.</w:t>
      </w:r>
    </w:p>
    <w:p w:rsidR="00170419" w:rsidRPr="00FE31A9" w:rsidRDefault="00170419" w:rsidP="003C01DA">
      <w:pPr>
        <w:pStyle w:val="ae"/>
        <w:spacing w:line="360" w:lineRule="auto"/>
      </w:pPr>
    </w:p>
    <w:p w:rsidR="00047C98" w:rsidRPr="00FE31A9" w:rsidRDefault="00047C98" w:rsidP="00047C98">
      <w:pPr>
        <w:pStyle w:val="11"/>
        <w:spacing w:before="60" w:after="60"/>
        <w:jc w:val="both"/>
        <w:rPr>
          <w:noProof/>
          <w:sz w:val="16"/>
        </w:rPr>
      </w:pPr>
      <w:r w:rsidRPr="00FE31A9">
        <w:rPr>
          <w:noProof/>
          <w:sz w:val="16"/>
        </w:rPr>
        <w:sym w:font="Symbol" w:char="F0BE"/>
      </w:r>
      <w:r w:rsidRPr="00FE31A9">
        <w:rPr>
          <w:noProof/>
          <w:sz w:val="16"/>
        </w:rPr>
        <w:sym w:font="Symbol" w:char="F0BE"/>
      </w:r>
      <w:r w:rsidRPr="00FE31A9">
        <w:rPr>
          <w:noProof/>
          <w:sz w:val="16"/>
        </w:rPr>
        <w:sym w:font="Symbol" w:char="F0BE"/>
      </w:r>
      <w:r w:rsidRPr="00FE31A9">
        <w:rPr>
          <w:noProof/>
          <w:sz w:val="16"/>
        </w:rPr>
        <w:sym w:font="Symbol" w:char="F0BE"/>
      </w:r>
      <w:r w:rsidRPr="00FE31A9">
        <w:rPr>
          <w:noProof/>
          <w:sz w:val="16"/>
        </w:rPr>
        <w:sym w:font="Symbol" w:char="F0BE"/>
      </w:r>
      <w:r w:rsidRPr="00FE31A9">
        <w:rPr>
          <w:noProof/>
          <w:sz w:val="16"/>
        </w:rPr>
        <w:sym w:font="Symbol" w:char="F0BE"/>
      </w:r>
    </w:p>
    <w:p w:rsidR="00047C98" w:rsidRPr="00FE31A9" w:rsidRDefault="00047C98" w:rsidP="00047C98">
      <w:pPr>
        <w:jc w:val="both"/>
        <w:rPr>
          <w:sz w:val="12"/>
        </w:rPr>
      </w:pPr>
      <w:r w:rsidRPr="00FE31A9">
        <w:rPr>
          <w:sz w:val="12"/>
          <w:vertAlign w:val="superscript"/>
        </w:rPr>
        <w:t xml:space="preserve">1) </w:t>
      </w:r>
      <w:r w:rsidR="0065435D" w:rsidRPr="00FE31A9">
        <w:rPr>
          <w:sz w:val="12"/>
        </w:rPr>
        <w:t>Трансферты –</w:t>
      </w:r>
      <w:r w:rsidRPr="00FE31A9">
        <w:rPr>
          <w:sz w:val="12"/>
        </w:rPr>
        <w:t xml:space="preserve"> экономическая операция, в ходе которой одна институциональная единица предоставляет другой единице товар, услугу или актив, не получая от нее взамен никакого эквивалента. Социальные трансферты в натуральной форме состоят из товаров и индивидуальных нерыночных услуг, предоставляемых домашним хозяйствам государственными учреждениями и некоммерческими организациями бесплатно или по экономически не значимым ценам.</w:t>
      </w:r>
      <w:bookmarkStart w:id="0" w:name="_GoBack"/>
      <w:bookmarkEnd w:id="0"/>
    </w:p>
    <w:sectPr w:rsidR="00047C98" w:rsidRPr="00FE31A9" w:rsidSect="00E86E5A">
      <w:headerReference w:type="first" r:id="rId9"/>
      <w:pgSz w:w="11907" w:h="16840" w:code="9"/>
      <w:pgMar w:top="2835" w:right="1191" w:bottom="1928" w:left="1191" w:header="2268" w:footer="1474" w:gutter="0"/>
      <w:pgNumType w:start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A8A" w:rsidRDefault="000E1A8A">
      <w:r>
        <w:separator/>
      </w:r>
    </w:p>
  </w:endnote>
  <w:endnote w:type="continuationSeparator" w:id="0">
    <w:p w:rsidR="000E1A8A" w:rsidRDefault="000E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A8A" w:rsidRDefault="000E1A8A">
      <w:r>
        <w:separator/>
      </w:r>
    </w:p>
  </w:footnote>
  <w:footnote w:type="continuationSeparator" w:id="0">
    <w:p w:rsidR="000E1A8A" w:rsidRDefault="000E1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8A" w:rsidRDefault="000E1A8A">
    <w:pPr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1A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4A3F8C"/>
    <w:multiLevelType w:val="hybridMultilevel"/>
    <w:tmpl w:val="6B4252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02D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1132E5E"/>
    <w:multiLevelType w:val="hybridMultilevel"/>
    <w:tmpl w:val="50A8B1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3A302E"/>
    <w:multiLevelType w:val="hybridMultilevel"/>
    <w:tmpl w:val="B086A550"/>
    <w:lvl w:ilvl="0" w:tplc="B13E46E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005CE"/>
    <w:multiLevelType w:val="hybridMultilevel"/>
    <w:tmpl w:val="D4041B82"/>
    <w:lvl w:ilvl="0" w:tplc="E530E9E6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711ABA"/>
    <w:multiLevelType w:val="hybridMultilevel"/>
    <w:tmpl w:val="859631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92"/>
    <w:rsid w:val="000036B8"/>
    <w:rsid w:val="00006DDD"/>
    <w:rsid w:val="000113FD"/>
    <w:rsid w:val="00011A56"/>
    <w:rsid w:val="00011E20"/>
    <w:rsid w:val="00023385"/>
    <w:rsid w:val="00023D5E"/>
    <w:rsid w:val="0002697D"/>
    <w:rsid w:val="0002713D"/>
    <w:rsid w:val="000302A1"/>
    <w:rsid w:val="0003129E"/>
    <w:rsid w:val="0003195B"/>
    <w:rsid w:val="00033232"/>
    <w:rsid w:val="000364ED"/>
    <w:rsid w:val="0004348D"/>
    <w:rsid w:val="00043B07"/>
    <w:rsid w:val="00045EF4"/>
    <w:rsid w:val="00046082"/>
    <w:rsid w:val="00047A00"/>
    <w:rsid w:val="00047BE2"/>
    <w:rsid w:val="00047C98"/>
    <w:rsid w:val="00050D15"/>
    <w:rsid w:val="00051230"/>
    <w:rsid w:val="00061BE3"/>
    <w:rsid w:val="000649A0"/>
    <w:rsid w:val="000655D1"/>
    <w:rsid w:val="000662CE"/>
    <w:rsid w:val="00070217"/>
    <w:rsid w:val="0007154D"/>
    <w:rsid w:val="0008004A"/>
    <w:rsid w:val="0008646E"/>
    <w:rsid w:val="0009170A"/>
    <w:rsid w:val="00091A17"/>
    <w:rsid w:val="000920A8"/>
    <w:rsid w:val="00094E61"/>
    <w:rsid w:val="00094F10"/>
    <w:rsid w:val="0009616E"/>
    <w:rsid w:val="00097C46"/>
    <w:rsid w:val="000A0EF9"/>
    <w:rsid w:val="000A5802"/>
    <w:rsid w:val="000A5AA5"/>
    <w:rsid w:val="000A71DA"/>
    <w:rsid w:val="000A7B49"/>
    <w:rsid w:val="000B2144"/>
    <w:rsid w:val="000B39DC"/>
    <w:rsid w:val="000B7EA8"/>
    <w:rsid w:val="000C0155"/>
    <w:rsid w:val="000C1217"/>
    <w:rsid w:val="000C12CD"/>
    <w:rsid w:val="000C4135"/>
    <w:rsid w:val="000C659D"/>
    <w:rsid w:val="000D0441"/>
    <w:rsid w:val="000D0642"/>
    <w:rsid w:val="000D0DC5"/>
    <w:rsid w:val="000D189D"/>
    <w:rsid w:val="000D2EBC"/>
    <w:rsid w:val="000D30D0"/>
    <w:rsid w:val="000D3E8A"/>
    <w:rsid w:val="000D505F"/>
    <w:rsid w:val="000D668B"/>
    <w:rsid w:val="000D6EDC"/>
    <w:rsid w:val="000D759E"/>
    <w:rsid w:val="000E0372"/>
    <w:rsid w:val="000E1A8A"/>
    <w:rsid w:val="000E6740"/>
    <w:rsid w:val="000F0A51"/>
    <w:rsid w:val="000F1E75"/>
    <w:rsid w:val="000F2770"/>
    <w:rsid w:val="000F2881"/>
    <w:rsid w:val="000F29E8"/>
    <w:rsid w:val="000F2E2D"/>
    <w:rsid w:val="000F48DD"/>
    <w:rsid w:val="000F4C11"/>
    <w:rsid w:val="000F5942"/>
    <w:rsid w:val="000F68DE"/>
    <w:rsid w:val="000F78D8"/>
    <w:rsid w:val="00100861"/>
    <w:rsid w:val="001022BB"/>
    <w:rsid w:val="001024D0"/>
    <w:rsid w:val="00103A77"/>
    <w:rsid w:val="001054A7"/>
    <w:rsid w:val="00110868"/>
    <w:rsid w:val="001207E2"/>
    <w:rsid w:val="001214E6"/>
    <w:rsid w:val="00122D82"/>
    <w:rsid w:val="0012528F"/>
    <w:rsid w:val="00127185"/>
    <w:rsid w:val="00130178"/>
    <w:rsid w:val="00130A96"/>
    <w:rsid w:val="00130EE6"/>
    <w:rsid w:val="00137919"/>
    <w:rsid w:val="001430EB"/>
    <w:rsid w:val="00143BFD"/>
    <w:rsid w:val="0014681F"/>
    <w:rsid w:val="00152D03"/>
    <w:rsid w:val="00154BEF"/>
    <w:rsid w:val="00156E90"/>
    <w:rsid w:val="00157303"/>
    <w:rsid w:val="001579FF"/>
    <w:rsid w:val="001606EF"/>
    <w:rsid w:val="0016585E"/>
    <w:rsid w:val="00165BEC"/>
    <w:rsid w:val="001664A7"/>
    <w:rsid w:val="00167FCF"/>
    <w:rsid w:val="00170419"/>
    <w:rsid w:val="00171ADB"/>
    <w:rsid w:val="00171E92"/>
    <w:rsid w:val="00171EFB"/>
    <w:rsid w:val="00172651"/>
    <w:rsid w:val="00172E63"/>
    <w:rsid w:val="00176642"/>
    <w:rsid w:val="0017746E"/>
    <w:rsid w:val="00177ED0"/>
    <w:rsid w:val="001802F2"/>
    <w:rsid w:val="001808F1"/>
    <w:rsid w:val="00182A6B"/>
    <w:rsid w:val="0018793B"/>
    <w:rsid w:val="00191292"/>
    <w:rsid w:val="001941D1"/>
    <w:rsid w:val="00194F9C"/>
    <w:rsid w:val="001A1DEB"/>
    <w:rsid w:val="001A2083"/>
    <w:rsid w:val="001A208B"/>
    <w:rsid w:val="001A3E66"/>
    <w:rsid w:val="001B0139"/>
    <w:rsid w:val="001B07D2"/>
    <w:rsid w:val="001B2410"/>
    <w:rsid w:val="001B2698"/>
    <w:rsid w:val="001B34D9"/>
    <w:rsid w:val="001B76AE"/>
    <w:rsid w:val="001C0500"/>
    <w:rsid w:val="001C181F"/>
    <w:rsid w:val="001C1CC2"/>
    <w:rsid w:val="001C2EA0"/>
    <w:rsid w:val="001C4AE6"/>
    <w:rsid w:val="001D07F8"/>
    <w:rsid w:val="001D133B"/>
    <w:rsid w:val="001D1543"/>
    <w:rsid w:val="001D66AC"/>
    <w:rsid w:val="001E408D"/>
    <w:rsid w:val="001E4BEF"/>
    <w:rsid w:val="001F01FB"/>
    <w:rsid w:val="001F21B6"/>
    <w:rsid w:val="001F2A45"/>
    <w:rsid w:val="001F423D"/>
    <w:rsid w:val="001F46C7"/>
    <w:rsid w:val="001F49E5"/>
    <w:rsid w:val="001F5D51"/>
    <w:rsid w:val="001F6C3E"/>
    <w:rsid w:val="00201929"/>
    <w:rsid w:val="00201B01"/>
    <w:rsid w:val="00202BEB"/>
    <w:rsid w:val="00203DCC"/>
    <w:rsid w:val="00204B20"/>
    <w:rsid w:val="002051E3"/>
    <w:rsid w:val="002056DA"/>
    <w:rsid w:val="002069A8"/>
    <w:rsid w:val="002103CE"/>
    <w:rsid w:val="00211A9A"/>
    <w:rsid w:val="00211BA5"/>
    <w:rsid w:val="0021240D"/>
    <w:rsid w:val="002128CA"/>
    <w:rsid w:val="002216FB"/>
    <w:rsid w:val="00232202"/>
    <w:rsid w:val="002339FD"/>
    <w:rsid w:val="002348B8"/>
    <w:rsid w:val="00236A53"/>
    <w:rsid w:val="002409AF"/>
    <w:rsid w:val="00243A97"/>
    <w:rsid w:val="00246C42"/>
    <w:rsid w:val="0024716F"/>
    <w:rsid w:val="00252D03"/>
    <w:rsid w:val="00252DD3"/>
    <w:rsid w:val="00253EC8"/>
    <w:rsid w:val="00254C34"/>
    <w:rsid w:val="0025612A"/>
    <w:rsid w:val="00261638"/>
    <w:rsid w:val="00262B54"/>
    <w:rsid w:val="0026347F"/>
    <w:rsid w:val="002642FB"/>
    <w:rsid w:val="00265321"/>
    <w:rsid w:val="002658CB"/>
    <w:rsid w:val="00265BA1"/>
    <w:rsid w:val="0026735D"/>
    <w:rsid w:val="002748EE"/>
    <w:rsid w:val="00275B02"/>
    <w:rsid w:val="0027680B"/>
    <w:rsid w:val="00277DE8"/>
    <w:rsid w:val="00285517"/>
    <w:rsid w:val="00285919"/>
    <w:rsid w:val="00292B59"/>
    <w:rsid w:val="002930F6"/>
    <w:rsid w:val="002933D9"/>
    <w:rsid w:val="00294CF0"/>
    <w:rsid w:val="00294F4A"/>
    <w:rsid w:val="00295B51"/>
    <w:rsid w:val="00296286"/>
    <w:rsid w:val="002A1507"/>
    <w:rsid w:val="002A3312"/>
    <w:rsid w:val="002A4CFF"/>
    <w:rsid w:val="002A6E8A"/>
    <w:rsid w:val="002A79FE"/>
    <w:rsid w:val="002B5025"/>
    <w:rsid w:val="002B62E2"/>
    <w:rsid w:val="002B6538"/>
    <w:rsid w:val="002B7220"/>
    <w:rsid w:val="002C0D31"/>
    <w:rsid w:val="002C19C3"/>
    <w:rsid w:val="002C1CCF"/>
    <w:rsid w:val="002C3015"/>
    <w:rsid w:val="002C6D47"/>
    <w:rsid w:val="002D067C"/>
    <w:rsid w:val="002D12C0"/>
    <w:rsid w:val="002D168F"/>
    <w:rsid w:val="002D3597"/>
    <w:rsid w:val="002D5D48"/>
    <w:rsid w:val="002E34CB"/>
    <w:rsid w:val="002E5D81"/>
    <w:rsid w:val="002E74AD"/>
    <w:rsid w:val="002F16D1"/>
    <w:rsid w:val="002F25E1"/>
    <w:rsid w:val="002F2BA0"/>
    <w:rsid w:val="002F2BE4"/>
    <w:rsid w:val="002F5E9D"/>
    <w:rsid w:val="002F62AB"/>
    <w:rsid w:val="002F767C"/>
    <w:rsid w:val="002F76D0"/>
    <w:rsid w:val="00300D2F"/>
    <w:rsid w:val="00304A32"/>
    <w:rsid w:val="003056C8"/>
    <w:rsid w:val="00305C4A"/>
    <w:rsid w:val="00307DC2"/>
    <w:rsid w:val="0031035D"/>
    <w:rsid w:val="0031455D"/>
    <w:rsid w:val="003155A7"/>
    <w:rsid w:val="00316189"/>
    <w:rsid w:val="003227D8"/>
    <w:rsid w:val="00322B3C"/>
    <w:rsid w:val="003233AC"/>
    <w:rsid w:val="003238AD"/>
    <w:rsid w:val="0032403F"/>
    <w:rsid w:val="0032549C"/>
    <w:rsid w:val="00325E4C"/>
    <w:rsid w:val="003261F7"/>
    <w:rsid w:val="00327D7C"/>
    <w:rsid w:val="00337E2D"/>
    <w:rsid w:val="00340846"/>
    <w:rsid w:val="0034156E"/>
    <w:rsid w:val="0034160D"/>
    <w:rsid w:val="00346AAA"/>
    <w:rsid w:val="00347967"/>
    <w:rsid w:val="00351012"/>
    <w:rsid w:val="00353602"/>
    <w:rsid w:val="00355FDF"/>
    <w:rsid w:val="00357495"/>
    <w:rsid w:val="0036287F"/>
    <w:rsid w:val="0037048B"/>
    <w:rsid w:val="00370649"/>
    <w:rsid w:val="00373106"/>
    <w:rsid w:val="003738F9"/>
    <w:rsid w:val="00374DF1"/>
    <w:rsid w:val="00377131"/>
    <w:rsid w:val="003803AE"/>
    <w:rsid w:val="003812B6"/>
    <w:rsid w:val="00383811"/>
    <w:rsid w:val="003931F8"/>
    <w:rsid w:val="0039424C"/>
    <w:rsid w:val="0039558B"/>
    <w:rsid w:val="00395E10"/>
    <w:rsid w:val="003A0E1F"/>
    <w:rsid w:val="003A2B04"/>
    <w:rsid w:val="003A38B8"/>
    <w:rsid w:val="003A5898"/>
    <w:rsid w:val="003A6132"/>
    <w:rsid w:val="003A752C"/>
    <w:rsid w:val="003B0FD2"/>
    <w:rsid w:val="003B1FA1"/>
    <w:rsid w:val="003B41A5"/>
    <w:rsid w:val="003B63B3"/>
    <w:rsid w:val="003B76F3"/>
    <w:rsid w:val="003C01DA"/>
    <w:rsid w:val="003C1604"/>
    <w:rsid w:val="003C2CDA"/>
    <w:rsid w:val="003C3D30"/>
    <w:rsid w:val="003C3FBD"/>
    <w:rsid w:val="003C41D9"/>
    <w:rsid w:val="003C69F3"/>
    <w:rsid w:val="003D1D09"/>
    <w:rsid w:val="003D23A3"/>
    <w:rsid w:val="003D34EF"/>
    <w:rsid w:val="003D3E9C"/>
    <w:rsid w:val="003D7A70"/>
    <w:rsid w:val="003E170B"/>
    <w:rsid w:val="003E2127"/>
    <w:rsid w:val="003F0B28"/>
    <w:rsid w:val="003F2E1B"/>
    <w:rsid w:val="003F494A"/>
    <w:rsid w:val="003F6C9F"/>
    <w:rsid w:val="003F737E"/>
    <w:rsid w:val="00401A4C"/>
    <w:rsid w:val="0040466A"/>
    <w:rsid w:val="004073B6"/>
    <w:rsid w:val="00416E36"/>
    <w:rsid w:val="00422044"/>
    <w:rsid w:val="0042501E"/>
    <w:rsid w:val="0042569E"/>
    <w:rsid w:val="004258CA"/>
    <w:rsid w:val="0042594F"/>
    <w:rsid w:val="004260B3"/>
    <w:rsid w:val="004309FA"/>
    <w:rsid w:val="00431D80"/>
    <w:rsid w:val="00432ED7"/>
    <w:rsid w:val="00432FBE"/>
    <w:rsid w:val="00437500"/>
    <w:rsid w:val="004416BE"/>
    <w:rsid w:val="004471E1"/>
    <w:rsid w:val="004541BA"/>
    <w:rsid w:val="004578AA"/>
    <w:rsid w:val="00465ADA"/>
    <w:rsid w:val="00467D02"/>
    <w:rsid w:val="004739A1"/>
    <w:rsid w:val="00473D4D"/>
    <w:rsid w:val="00474347"/>
    <w:rsid w:val="004746BD"/>
    <w:rsid w:val="00475F95"/>
    <w:rsid w:val="0048121D"/>
    <w:rsid w:val="00481755"/>
    <w:rsid w:val="004818F7"/>
    <w:rsid w:val="0048306D"/>
    <w:rsid w:val="00485210"/>
    <w:rsid w:val="004925A2"/>
    <w:rsid w:val="00492E95"/>
    <w:rsid w:val="00493D85"/>
    <w:rsid w:val="00496F5C"/>
    <w:rsid w:val="00497343"/>
    <w:rsid w:val="004A2D7A"/>
    <w:rsid w:val="004A5F02"/>
    <w:rsid w:val="004B44B6"/>
    <w:rsid w:val="004B4BBD"/>
    <w:rsid w:val="004B6FAB"/>
    <w:rsid w:val="004C20E8"/>
    <w:rsid w:val="004C3415"/>
    <w:rsid w:val="004C469F"/>
    <w:rsid w:val="004C5A39"/>
    <w:rsid w:val="004D7CDC"/>
    <w:rsid w:val="004F0365"/>
    <w:rsid w:val="004F54FA"/>
    <w:rsid w:val="004F58C0"/>
    <w:rsid w:val="004F68D5"/>
    <w:rsid w:val="00501C84"/>
    <w:rsid w:val="00502019"/>
    <w:rsid w:val="00503366"/>
    <w:rsid w:val="00513FF8"/>
    <w:rsid w:val="0051584D"/>
    <w:rsid w:val="00515A6E"/>
    <w:rsid w:val="00522422"/>
    <w:rsid w:val="00524048"/>
    <w:rsid w:val="00527D36"/>
    <w:rsid w:val="00534768"/>
    <w:rsid w:val="00536C67"/>
    <w:rsid w:val="0054026C"/>
    <w:rsid w:val="00542250"/>
    <w:rsid w:val="00544786"/>
    <w:rsid w:val="00544AF7"/>
    <w:rsid w:val="00544BAF"/>
    <w:rsid w:val="00545675"/>
    <w:rsid w:val="00545920"/>
    <w:rsid w:val="00551122"/>
    <w:rsid w:val="0055199A"/>
    <w:rsid w:val="0055243F"/>
    <w:rsid w:val="00553342"/>
    <w:rsid w:val="00554912"/>
    <w:rsid w:val="00554A18"/>
    <w:rsid w:val="005551E1"/>
    <w:rsid w:val="005553DF"/>
    <w:rsid w:val="005560CC"/>
    <w:rsid w:val="005568B2"/>
    <w:rsid w:val="00560DEF"/>
    <w:rsid w:val="00565FA1"/>
    <w:rsid w:val="005726FE"/>
    <w:rsid w:val="00574422"/>
    <w:rsid w:val="00580900"/>
    <w:rsid w:val="005826BC"/>
    <w:rsid w:val="00583263"/>
    <w:rsid w:val="0058335D"/>
    <w:rsid w:val="00583648"/>
    <w:rsid w:val="00585784"/>
    <w:rsid w:val="00586B4B"/>
    <w:rsid w:val="00590210"/>
    <w:rsid w:val="00591C76"/>
    <w:rsid w:val="00592241"/>
    <w:rsid w:val="00594F4D"/>
    <w:rsid w:val="00594FD3"/>
    <w:rsid w:val="005A2C7D"/>
    <w:rsid w:val="005A2C92"/>
    <w:rsid w:val="005A2DF9"/>
    <w:rsid w:val="005A5524"/>
    <w:rsid w:val="005B16DF"/>
    <w:rsid w:val="005B4161"/>
    <w:rsid w:val="005B56F8"/>
    <w:rsid w:val="005C1EA1"/>
    <w:rsid w:val="005C1F12"/>
    <w:rsid w:val="005C2E92"/>
    <w:rsid w:val="005C41B2"/>
    <w:rsid w:val="005D0D55"/>
    <w:rsid w:val="005D54C3"/>
    <w:rsid w:val="005D75A0"/>
    <w:rsid w:val="005D7D77"/>
    <w:rsid w:val="005E4536"/>
    <w:rsid w:val="005E5AC3"/>
    <w:rsid w:val="005F31A1"/>
    <w:rsid w:val="005F3799"/>
    <w:rsid w:val="0060410A"/>
    <w:rsid w:val="0060545D"/>
    <w:rsid w:val="00606A4B"/>
    <w:rsid w:val="00606AFF"/>
    <w:rsid w:val="00606D4E"/>
    <w:rsid w:val="0061005B"/>
    <w:rsid w:val="00612A61"/>
    <w:rsid w:val="006135CA"/>
    <w:rsid w:val="00613ACD"/>
    <w:rsid w:val="0061507E"/>
    <w:rsid w:val="0062066F"/>
    <w:rsid w:val="006236C1"/>
    <w:rsid w:val="00623E4F"/>
    <w:rsid w:val="00624930"/>
    <w:rsid w:val="00625249"/>
    <w:rsid w:val="0062597D"/>
    <w:rsid w:val="0062649D"/>
    <w:rsid w:val="00626BB0"/>
    <w:rsid w:val="006300D9"/>
    <w:rsid w:val="0064084B"/>
    <w:rsid w:val="00644F36"/>
    <w:rsid w:val="00645884"/>
    <w:rsid w:val="00646702"/>
    <w:rsid w:val="00647E27"/>
    <w:rsid w:val="00650039"/>
    <w:rsid w:val="006510CF"/>
    <w:rsid w:val="0065421B"/>
    <w:rsid w:val="0065435D"/>
    <w:rsid w:val="00654F83"/>
    <w:rsid w:val="006607A8"/>
    <w:rsid w:val="00662554"/>
    <w:rsid w:val="00663262"/>
    <w:rsid w:val="00665640"/>
    <w:rsid w:val="00666763"/>
    <w:rsid w:val="00667A50"/>
    <w:rsid w:val="006709E3"/>
    <w:rsid w:val="00670CA3"/>
    <w:rsid w:val="00670CD7"/>
    <w:rsid w:val="00671F26"/>
    <w:rsid w:val="006720F9"/>
    <w:rsid w:val="00674470"/>
    <w:rsid w:val="00675052"/>
    <w:rsid w:val="00682806"/>
    <w:rsid w:val="006841CD"/>
    <w:rsid w:val="00685C4A"/>
    <w:rsid w:val="00686DFD"/>
    <w:rsid w:val="00690EE0"/>
    <w:rsid w:val="00691A0E"/>
    <w:rsid w:val="006923B5"/>
    <w:rsid w:val="00693D5B"/>
    <w:rsid w:val="00694E83"/>
    <w:rsid w:val="006968B7"/>
    <w:rsid w:val="006A55EC"/>
    <w:rsid w:val="006A689E"/>
    <w:rsid w:val="006A7049"/>
    <w:rsid w:val="006B2EB2"/>
    <w:rsid w:val="006B3F6C"/>
    <w:rsid w:val="006B4303"/>
    <w:rsid w:val="006C21EF"/>
    <w:rsid w:val="006C501B"/>
    <w:rsid w:val="006D01DE"/>
    <w:rsid w:val="006D072D"/>
    <w:rsid w:val="006D4D72"/>
    <w:rsid w:val="006D7C36"/>
    <w:rsid w:val="006E09AE"/>
    <w:rsid w:val="006E0F05"/>
    <w:rsid w:val="006E43D1"/>
    <w:rsid w:val="006E5A67"/>
    <w:rsid w:val="006E6B83"/>
    <w:rsid w:val="006F08B2"/>
    <w:rsid w:val="006F1877"/>
    <w:rsid w:val="006F3E18"/>
    <w:rsid w:val="006F50D1"/>
    <w:rsid w:val="006F51D5"/>
    <w:rsid w:val="006F6217"/>
    <w:rsid w:val="006F7622"/>
    <w:rsid w:val="006F7B01"/>
    <w:rsid w:val="00700323"/>
    <w:rsid w:val="00706D3B"/>
    <w:rsid w:val="007078F6"/>
    <w:rsid w:val="007125F7"/>
    <w:rsid w:val="00713E23"/>
    <w:rsid w:val="00720567"/>
    <w:rsid w:val="00722BCB"/>
    <w:rsid w:val="0072410A"/>
    <w:rsid w:val="00725DAE"/>
    <w:rsid w:val="00726D2B"/>
    <w:rsid w:val="00733E7F"/>
    <w:rsid w:val="00734BE6"/>
    <w:rsid w:val="00735CC4"/>
    <w:rsid w:val="00744D01"/>
    <w:rsid w:val="00746ADF"/>
    <w:rsid w:val="00751AEF"/>
    <w:rsid w:val="00753701"/>
    <w:rsid w:val="00754D56"/>
    <w:rsid w:val="007559EE"/>
    <w:rsid w:val="00757F91"/>
    <w:rsid w:val="00760391"/>
    <w:rsid w:val="00760928"/>
    <w:rsid w:val="00762CFD"/>
    <w:rsid w:val="0076461B"/>
    <w:rsid w:val="00764B87"/>
    <w:rsid w:val="00765433"/>
    <w:rsid w:val="00774833"/>
    <w:rsid w:val="0078049F"/>
    <w:rsid w:val="00783BBE"/>
    <w:rsid w:val="00786901"/>
    <w:rsid w:val="00792A0A"/>
    <w:rsid w:val="00794585"/>
    <w:rsid w:val="00794D26"/>
    <w:rsid w:val="007962F2"/>
    <w:rsid w:val="00797D89"/>
    <w:rsid w:val="00797F56"/>
    <w:rsid w:val="007A1E56"/>
    <w:rsid w:val="007A2325"/>
    <w:rsid w:val="007A2F07"/>
    <w:rsid w:val="007A37FB"/>
    <w:rsid w:val="007A4035"/>
    <w:rsid w:val="007B02F6"/>
    <w:rsid w:val="007B06CB"/>
    <w:rsid w:val="007B1F73"/>
    <w:rsid w:val="007B3530"/>
    <w:rsid w:val="007B5CB4"/>
    <w:rsid w:val="007C0713"/>
    <w:rsid w:val="007C36F0"/>
    <w:rsid w:val="007C3812"/>
    <w:rsid w:val="007C74D8"/>
    <w:rsid w:val="007D0CCE"/>
    <w:rsid w:val="007D36F0"/>
    <w:rsid w:val="007D679B"/>
    <w:rsid w:val="007D7750"/>
    <w:rsid w:val="007D7864"/>
    <w:rsid w:val="007E08E4"/>
    <w:rsid w:val="007E1A3A"/>
    <w:rsid w:val="007E1F43"/>
    <w:rsid w:val="007E591A"/>
    <w:rsid w:val="007E7202"/>
    <w:rsid w:val="007E7A16"/>
    <w:rsid w:val="007F16AA"/>
    <w:rsid w:val="007F3796"/>
    <w:rsid w:val="007F3C7E"/>
    <w:rsid w:val="007F4E55"/>
    <w:rsid w:val="007F61F7"/>
    <w:rsid w:val="00801A25"/>
    <w:rsid w:val="00801F07"/>
    <w:rsid w:val="008021BF"/>
    <w:rsid w:val="00802D03"/>
    <w:rsid w:val="00805008"/>
    <w:rsid w:val="00806E89"/>
    <w:rsid w:val="00807A4F"/>
    <w:rsid w:val="00807F11"/>
    <w:rsid w:val="00811E45"/>
    <w:rsid w:val="00813025"/>
    <w:rsid w:val="00813B06"/>
    <w:rsid w:val="00813B3B"/>
    <w:rsid w:val="008143CE"/>
    <w:rsid w:val="00815AEE"/>
    <w:rsid w:val="00816C6C"/>
    <w:rsid w:val="008177BC"/>
    <w:rsid w:val="00821250"/>
    <w:rsid w:val="00821A93"/>
    <w:rsid w:val="00821DA5"/>
    <w:rsid w:val="008231DB"/>
    <w:rsid w:val="00831BF0"/>
    <w:rsid w:val="008328DA"/>
    <w:rsid w:val="008353EA"/>
    <w:rsid w:val="00837138"/>
    <w:rsid w:val="00841246"/>
    <w:rsid w:val="0084445B"/>
    <w:rsid w:val="00844622"/>
    <w:rsid w:val="0084580D"/>
    <w:rsid w:val="008469CB"/>
    <w:rsid w:val="00846CBF"/>
    <w:rsid w:val="00847C06"/>
    <w:rsid w:val="00850C5B"/>
    <w:rsid w:val="00852115"/>
    <w:rsid w:val="008528B8"/>
    <w:rsid w:val="00854A59"/>
    <w:rsid w:val="0085548F"/>
    <w:rsid w:val="0085641D"/>
    <w:rsid w:val="00856E7F"/>
    <w:rsid w:val="0085784F"/>
    <w:rsid w:val="008607BD"/>
    <w:rsid w:val="00863FC4"/>
    <w:rsid w:val="00865899"/>
    <w:rsid w:val="00867659"/>
    <w:rsid w:val="0087357D"/>
    <w:rsid w:val="0087758D"/>
    <w:rsid w:val="00877BD5"/>
    <w:rsid w:val="0088035F"/>
    <w:rsid w:val="008813EA"/>
    <w:rsid w:val="008829AA"/>
    <w:rsid w:val="00890513"/>
    <w:rsid w:val="008962B0"/>
    <w:rsid w:val="008A0664"/>
    <w:rsid w:val="008A08BF"/>
    <w:rsid w:val="008A1C33"/>
    <w:rsid w:val="008A2366"/>
    <w:rsid w:val="008A3C51"/>
    <w:rsid w:val="008A47A1"/>
    <w:rsid w:val="008A6DEA"/>
    <w:rsid w:val="008B1492"/>
    <w:rsid w:val="008C48DE"/>
    <w:rsid w:val="008D21F0"/>
    <w:rsid w:val="008D58C1"/>
    <w:rsid w:val="008D717E"/>
    <w:rsid w:val="008D7BED"/>
    <w:rsid w:val="008E0194"/>
    <w:rsid w:val="008E1ED1"/>
    <w:rsid w:val="008E29E5"/>
    <w:rsid w:val="008E7E9E"/>
    <w:rsid w:val="008F1FF3"/>
    <w:rsid w:val="008F326A"/>
    <w:rsid w:val="008F4241"/>
    <w:rsid w:val="008F434D"/>
    <w:rsid w:val="008F4663"/>
    <w:rsid w:val="008F5CC9"/>
    <w:rsid w:val="008F7963"/>
    <w:rsid w:val="00902730"/>
    <w:rsid w:val="00903622"/>
    <w:rsid w:val="009038A2"/>
    <w:rsid w:val="0090425E"/>
    <w:rsid w:val="00905C3B"/>
    <w:rsid w:val="00906933"/>
    <w:rsid w:val="00910442"/>
    <w:rsid w:val="009158EC"/>
    <w:rsid w:val="0091662B"/>
    <w:rsid w:val="009169BA"/>
    <w:rsid w:val="009222F3"/>
    <w:rsid w:val="009237B4"/>
    <w:rsid w:val="00925963"/>
    <w:rsid w:val="00931451"/>
    <w:rsid w:val="00934327"/>
    <w:rsid w:val="0094043F"/>
    <w:rsid w:val="00940625"/>
    <w:rsid w:val="00944E14"/>
    <w:rsid w:val="00945FB4"/>
    <w:rsid w:val="009469B2"/>
    <w:rsid w:val="00952E28"/>
    <w:rsid w:val="009530C3"/>
    <w:rsid w:val="00960443"/>
    <w:rsid w:val="00962622"/>
    <w:rsid w:val="00963481"/>
    <w:rsid w:val="00964D2E"/>
    <w:rsid w:val="009666BC"/>
    <w:rsid w:val="00967B3D"/>
    <w:rsid w:val="00970CE3"/>
    <w:rsid w:val="00975430"/>
    <w:rsid w:val="00975B4B"/>
    <w:rsid w:val="00975FF6"/>
    <w:rsid w:val="0097778E"/>
    <w:rsid w:val="00980BD8"/>
    <w:rsid w:val="00980D55"/>
    <w:rsid w:val="00982DCD"/>
    <w:rsid w:val="009832CA"/>
    <w:rsid w:val="009841DD"/>
    <w:rsid w:val="00984E93"/>
    <w:rsid w:val="00986AA0"/>
    <w:rsid w:val="009879C5"/>
    <w:rsid w:val="00990576"/>
    <w:rsid w:val="00990D97"/>
    <w:rsid w:val="009914FA"/>
    <w:rsid w:val="009929EE"/>
    <w:rsid w:val="00992DF3"/>
    <w:rsid w:val="00993C6A"/>
    <w:rsid w:val="00993F92"/>
    <w:rsid w:val="0099604A"/>
    <w:rsid w:val="009A0D2E"/>
    <w:rsid w:val="009A13AD"/>
    <w:rsid w:val="009A5F0A"/>
    <w:rsid w:val="009B038D"/>
    <w:rsid w:val="009B1E95"/>
    <w:rsid w:val="009B31C6"/>
    <w:rsid w:val="009B3354"/>
    <w:rsid w:val="009B51E5"/>
    <w:rsid w:val="009C0CE1"/>
    <w:rsid w:val="009C16E2"/>
    <w:rsid w:val="009C5BD4"/>
    <w:rsid w:val="009C78F8"/>
    <w:rsid w:val="009D0774"/>
    <w:rsid w:val="009D1AF5"/>
    <w:rsid w:val="009D3DE2"/>
    <w:rsid w:val="009D4218"/>
    <w:rsid w:val="009D54B4"/>
    <w:rsid w:val="009D6766"/>
    <w:rsid w:val="009E235F"/>
    <w:rsid w:val="009E2EF7"/>
    <w:rsid w:val="009E344F"/>
    <w:rsid w:val="009E4EE0"/>
    <w:rsid w:val="009E5E56"/>
    <w:rsid w:val="009E7D24"/>
    <w:rsid w:val="009F0087"/>
    <w:rsid w:val="009F00F2"/>
    <w:rsid w:val="009F061A"/>
    <w:rsid w:val="009F301B"/>
    <w:rsid w:val="00A00F55"/>
    <w:rsid w:val="00A01E6B"/>
    <w:rsid w:val="00A033D6"/>
    <w:rsid w:val="00A04120"/>
    <w:rsid w:val="00A0441F"/>
    <w:rsid w:val="00A04B78"/>
    <w:rsid w:val="00A04BFD"/>
    <w:rsid w:val="00A05933"/>
    <w:rsid w:val="00A0792E"/>
    <w:rsid w:val="00A13E0B"/>
    <w:rsid w:val="00A142E1"/>
    <w:rsid w:val="00A14518"/>
    <w:rsid w:val="00A1492F"/>
    <w:rsid w:val="00A14B91"/>
    <w:rsid w:val="00A162CA"/>
    <w:rsid w:val="00A24AC6"/>
    <w:rsid w:val="00A2593E"/>
    <w:rsid w:val="00A278C8"/>
    <w:rsid w:val="00A30688"/>
    <w:rsid w:val="00A312EC"/>
    <w:rsid w:val="00A33A53"/>
    <w:rsid w:val="00A34DF9"/>
    <w:rsid w:val="00A35199"/>
    <w:rsid w:val="00A35540"/>
    <w:rsid w:val="00A36218"/>
    <w:rsid w:val="00A40A1A"/>
    <w:rsid w:val="00A43DDC"/>
    <w:rsid w:val="00A441D6"/>
    <w:rsid w:val="00A46F9E"/>
    <w:rsid w:val="00A47F74"/>
    <w:rsid w:val="00A533A1"/>
    <w:rsid w:val="00A57535"/>
    <w:rsid w:val="00A60A0D"/>
    <w:rsid w:val="00A616FE"/>
    <w:rsid w:val="00A61B07"/>
    <w:rsid w:val="00A61F7A"/>
    <w:rsid w:val="00A61FED"/>
    <w:rsid w:val="00A62E19"/>
    <w:rsid w:val="00A676FF"/>
    <w:rsid w:val="00A67BAC"/>
    <w:rsid w:val="00A75D98"/>
    <w:rsid w:val="00A76A14"/>
    <w:rsid w:val="00A76C63"/>
    <w:rsid w:val="00A77851"/>
    <w:rsid w:val="00A82EDD"/>
    <w:rsid w:val="00A84077"/>
    <w:rsid w:val="00A845C1"/>
    <w:rsid w:val="00A85FAF"/>
    <w:rsid w:val="00A94278"/>
    <w:rsid w:val="00A96B77"/>
    <w:rsid w:val="00A96D0C"/>
    <w:rsid w:val="00A97215"/>
    <w:rsid w:val="00AA0D88"/>
    <w:rsid w:val="00AA12A6"/>
    <w:rsid w:val="00AA2D4B"/>
    <w:rsid w:val="00AA2E7B"/>
    <w:rsid w:val="00AA2F42"/>
    <w:rsid w:val="00AA4185"/>
    <w:rsid w:val="00AB0BCF"/>
    <w:rsid w:val="00AB10FD"/>
    <w:rsid w:val="00AB2534"/>
    <w:rsid w:val="00AB3238"/>
    <w:rsid w:val="00AB352D"/>
    <w:rsid w:val="00AB4715"/>
    <w:rsid w:val="00AC2CBC"/>
    <w:rsid w:val="00AC5C57"/>
    <w:rsid w:val="00AD0F96"/>
    <w:rsid w:val="00AD306B"/>
    <w:rsid w:val="00AD34FB"/>
    <w:rsid w:val="00AD5809"/>
    <w:rsid w:val="00AD747A"/>
    <w:rsid w:val="00AE0FF2"/>
    <w:rsid w:val="00AE1300"/>
    <w:rsid w:val="00AE3137"/>
    <w:rsid w:val="00AE32B1"/>
    <w:rsid w:val="00AE568C"/>
    <w:rsid w:val="00AE6240"/>
    <w:rsid w:val="00AE6699"/>
    <w:rsid w:val="00AF01C8"/>
    <w:rsid w:val="00AF3479"/>
    <w:rsid w:val="00AF6057"/>
    <w:rsid w:val="00AF7F82"/>
    <w:rsid w:val="00B015A6"/>
    <w:rsid w:val="00B02076"/>
    <w:rsid w:val="00B04A2D"/>
    <w:rsid w:val="00B05235"/>
    <w:rsid w:val="00B108C4"/>
    <w:rsid w:val="00B10E78"/>
    <w:rsid w:val="00B13CD1"/>
    <w:rsid w:val="00B16D4C"/>
    <w:rsid w:val="00B1701C"/>
    <w:rsid w:val="00B207BB"/>
    <w:rsid w:val="00B2081D"/>
    <w:rsid w:val="00B21220"/>
    <w:rsid w:val="00B30CFA"/>
    <w:rsid w:val="00B31DD8"/>
    <w:rsid w:val="00B33BCA"/>
    <w:rsid w:val="00B34168"/>
    <w:rsid w:val="00B34EC0"/>
    <w:rsid w:val="00B37D22"/>
    <w:rsid w:val="00B40426"/>
    <w:rsid w:val="00B42912"/>
    <w:rsid w:val="00B4407E"/>
    <w:rsid w:val="00B44722"/>
    <w:rsid w:val="00B4479E"/>
    <w:rsid w:val="00B459D3"/>
    <w:rsid w:val="00B5072E"/>
    <w:rsid w:val="00B50855"/>
    <w:rsid w:val="00B522BE"/>
    <w:rsid w:val="00B54B26"/>
    <w:rsid w:val="00B566D2"/>
    <w:rsid w:val="00B61353"/>
    <w:rsid w:val="00B6207F"/>
    <w:rsid w:val="00B62719"/>
    <w:rsid w:val="00B64027"/>
    <w:rsid w:val="00B64531"/>
    <w:rsid w:val="00B645A7"/>
    <w:rsid w:val="00B67BDA"/>
    <w:rsid w:val="00B71F7B"/>
    <w:rsid w:val="00B72560"/>
    <w:rsid w:val="00B73E21"/>
    <w:rsid w:val="00B74246"/>
    <w:rsid w:val="00B74317"/>
    <w:rsid w:val="00B74A62"/>
    <w:rsid w:val="00B7734C"/>
    <w:rsid w:val="00B8001D"/>
    <w:rsid w:val="00B80F93"/>
    <w:rsid w:val="00B82D0F"/>
    <w:rsid w:val="00B84CD8"/>
    <w:rsid w:val="00B871A4"/>
    <w:rsid w:val="00B8758C"/>
    <w:rsid w:val="00B92619"/>
    <w:rsid w:val="00B92D49"/>
    <w:rsid w:val="00B93292"/>
    <w:rsid w:val="00B96E02"/>
    <w:rsid w:val="00BA0019"/>
    <w:rsid w:val="00BA1139"/>
    <w:rsid w:val="00BA18E5"/>
    <w:rsid w:val="00BA3E01"/>
    <w:rsid w:val="00BA7E88"/>
    <w:rsid w:val="00BB04F9"/>
    <w:rsid w:val="00BB0B4E"/>
    <w:rsid w:val="00BB220C"/>
    <w:rsid w:val="00BB5C93"/>
    <w:rsid w:val="00BB6A74"/>
    <w:rsid w:val="00BB6E96"/>
    <w:rsid w:val="00BB7B7B"/>
    <w:rsid w:val="00BC3D1F"/>
    <w:rsid w:val="00BC4AAA"/>
    <w:rsid w:val="00BC7B54"/>
    <w:rsid w:val="00BD063B"/>
    <w:rsid w:val="00BD2002"/>
    <w:rsid w:val="00BD2110"/>
    <w:rsid w:val="00BD39B2"/>
    <w:rsid w:val="00BD41B6"/>
    <w:rsid w:val="00BD5FAC"/>
    <w:rsid w:val="00BD6E85"/>
    <w:rsid w:val="00BD7B45"/>
    <w:rsid w:val="00BE0270"/>
    <w:rsid w:val="00BE24DE"/>
    <w:rsid w:val="00BF08E8"/>
    <w:rsid w:val="00BF0B32"/>
    <w:rsid w:val="00BF5563"/>
    <w:rsid w:val="00BF5D6D"/>
    <w:rsid w:val="00C003B1"/>
    <w:rsid w:val="00C01533"/>
    <w:rsid w:val="00C04405"/>
    <w:rsid w:val="00C06914"/>
    <w:rsid w:val="00C117FE"/>
    <w:rsid w:val="00C11A77"/>
    <w:rsid w:val="00C12DF9"/>
    <w:rsid w:val="00C14F7E"/>
    <w:rsid w:val="00C17167"/>
    <w:rsid w:val="00C176B3"/>
    <w:rsid w:val="00C200BD"/>
    <w:rsid w:val="00C200F9"/>
    <w:rsid w:val="00C215B9"/>
    <w:rsid w:val="00C2799A"/>
    <w:rsid w:val="00C308CF"/>
    <w:rsid w:val="00C33A35"/>
    <w:rsid w:val="00C34B03"/>
    <w:rsid w:val="00C37BA3"/>
    <w:rsid w:val="00C41BCE"/>
    <w:rsid w:val="00C438BD"/>
    <w:rsid w:val="00C446E1"/>
    <w:rsid w:val="00C46443"/>
    <w:rsid w:val="00C47399"/>
    <w:rsid w:val="00C47F2C"/>
    <w:rsid w:val="00C51340"/>
    <w:rsid w:val="00C519D0"/>
    <w:rsid w:val="00C51F1C"/>
    <w:rsid w:val="00C544F8"/>
    <w:rsid w:val="00C5641E"/>
    <w:rsid w:val="00C57FE1"/>
    <w:rsid w:val="00C61392"/>
    <w:rsid w:val="00C61BE4"/>
    <w:rsid w:val="00C63D68"/>
    <w:rsid w:val="00C648DC"/>
    <w:rsid w:val="00C65EEB"/>
    <w:rsid w:val="00C66FA5"/>
    <w:rsid w:val="00C7285F"/>
    <w:rsid w:val="00C75112"/>
    <w:rsid w:val="00C8033B"/>
    <w:rsid w:val="00C81E75"/>
    <w:rsid w:val="00C849F1"/>
    <w:rsid w:val="00C851A0"/>
    <w:rsid w:val="00C868CC"/>
    <w:rsid w:val="00C91EE9"/>
    <w:rsid w:val="00C97402"/>
    <w:rsid w:val="00CA186D"/>
    <w:rsid w:val="00CA269E"/>
    <w:rsid w:val="00CA3FA3"/>
    <w:rsid w:val="00CA3FA6"/>
    <w:rsid w:val="00CA4861"/>
    <w:rsid w:val="00CA4BF5"/>
    <w:rsid w:val="00CA5753"/>
    <w:rsid w:val="00CA5F7C"/>
    <w:rsid w:val="00CA639C"/>
    <w:rsid w:val="00CB042A"/>
    <w:rsid w:val="00CB04F2"/>
    <w:rsid w:val="00CB0E66"/>
    <w:rsid w:val="00CB2D9B"/>
    <w:rsid w:val="00CB6843"/>
    <w:rsid w:val="00CB7750"/>
    <w:rsid w:val="00CC0E8B"/>
    <w:rsid w:val="00CC161D"/>
    <w:rsid w:val="00CC1B40"/>
    <w:rsid w:val="00CC2149"/>
    <w:rsid w:val="00CC3135"/>
    <w:rsid w:val="00CC7644"/>
    <w:rsid w:val="00CD1A1B"/>
    <w:rsid w:val="00CD397B"/>
    <w:rsid w:val="00CD457B"/>
    <w:rsid w:val="00CD71A6"/>
    <w:rsid w:val="00CE1242"/>
    <w:rsid w:val="00CE41FB"/>
    <w:rsid w:val="00CE7C4A"/>
    <w:rsid w:val="00CF03A4"/>
    <w:rsid w:val="00CF1796"/>
    <w:rsid w:val="00CF1D46"/>
    <w:rsid w:val="00CF218E"/>
    <w:rsid w:val="00CF30F4"/>
    <w:rsid w:val="00CF5CD1"/>
    <w:rsid w:val="00CF5D6E"/>
    <w:rsid w:val="00CF62A5"/>
    <w:rsid w:val="00D00864"/>
    <w:rsid w:val="00D00909"/>
    <w:rsid w:val="00D01180"/>
    <w:rsid w:val="00D01FF7"/>
    <w:rsid w:val="00D04B25"/>
    <w:rsid w:val="00D07CC6"/>
    <w:rsid w:val="00D13CCF"/>
    <w:rsid w:val="00D15553"/>
    <w:rsid w:val="00D15EBB"/>
    <w:rsid w:val="00D16399"/>
    <w:rsid w:val="00D167AA"/>
    <w:rsid w:val="00D17AF1"/>
    <w:rsid w:val="00D21B68"/>
    <w:rsid w:val="00D22A5A"/>
    <w:rsid w:val="00D23513"/>
    <w:rsid w:val="00D24566"/>
    <w:rsid w:val="00D30733"/>
    <w:rsid w:val="00D31436"/>
    <w:rsid w:val="00D32BB8"/>
    <w:rsid w:val="00D352F3"/>
    <w:rsid w:val="00D36B68"/>
    <w:rsid w:val="00D37A72"/>
    <w:rsid w:val="00D4102B"/>
    <w:rsid w:val="00D4301A"/>
    <w:rsid w:val="00D43270"/>
    <w:rsid w:val="00D50C2B"/>
    <w:rsid w:val="00D50EBE"/>
    <w:rsid w:val="00D51114"/>
    <w:rsid w:val="00D51A7E"/>
    <w:rsid w:val="00D52067"/>
    <w:rsid w:val="00D53EF8"/>
    <w:rsid w:val="00D54296"/>
    <w:rsid w:val="00D54B2A"/>
    <w:rsid w:val="00D552E1"/>
    <w:rsid w:val="00D57DC8"/>
    <w:rsid w:val="00D60376"/>
    <w:rsid w:val="00D60F81"/>
    <w:rsid w:val="00D62EF7"/>
    <w:rsid w:val="00D6489D"/>
    <w:rsid w:val="00D6504A"/>
    <w:rsid w:val="00D65267"/>
    <w:rsid w:val="00D7143D"/>
    <w:rsid w:val="00D7420C"/>
    <w:rsid w:val="00D74941"/>
    <w:rsid w:val="00D754AA"/>
    <w:rsid w:val="00D80B79"/>
    <w:rsid w:val="00D84A02"/>
    <w:rsid w:val="00D86A0D"/>
    <w:rsid w:val="00D86E37"/>
    <w:rsid w:val="00D879D1"/>
    <w:rsid w:val="00D90DA8"/>
    <w:rsid w:val="00D9108B"/>
    <w:rsid w:val="00D92DDD"/>
    <w:rsid w:val="00D92F02"/>
    <w:rsid w:val="00DA502E"/>
    <w:rsid w:val="00DA6132"/>
    <w:rsid w:val="00DA6FC8"/>
    <w:rsid w:val="00DA70C0"/>
    <w:rsid w:val="00DB0DFA"/>
    <w:rsid w:val="00DB29EA"/>
    <w:rsid w:val="00DB7F6C"/>
    <w:rsid w:val="00DC14F1"/>
    <w:rsid w:val="00DC1A8A"/>
    <w:rsid w:val="00DC5623"/>
    <w:rsid w:val="00DC5EE1"/>
    <w:rsid w:val="00DC7C82"/>
    <w:rsid w:val="00DC7D6D"/>
    <w:rsid w:val="00DD2CD6"/>
    <w:rsid w:val="00DD43FC"/>
    <w:rsid w:val="00DD6231"/>
    <w:rsid w:val="00DE1B54"/>
    <w:rsid w:val="00DE490A"/>
    <w:rsid w:val="00DE69FD"/>
    <w:rsid w:val="00DE796F"/>
    <w:rsid w:val="00DF0A37"/>
    <w:rsid w:val="00DF3396"/>
    <w:rsid w:val="00DF6944"/>
    <w:rsid w:val="00E00F31"/>
    <w:rsid w:val="00E0221C"/>
    <w:rsid w:val="00E028B2"/>
    <w:rsid w:val="00E044A7"/>
    <w:rsid w:val="00E04C12"/>
    <w:rsid w:val="00E05467"/>
    <w:rsid w:val="00E05920"/>
    <w:rsid w:val="00E14594"/>
    <w:rsid w:val="00E17557"/>
    <w:rsid w:val="00E20F66"/>
    <w:rsid w:val="00E21E0F"/>
    <w:rsid w:val="00E21ED5"/>
    <w:rsid w:val="00E2577A"/>
    <w:rsid w:val="00E25BEA"/>
    <w:rsid w:val="00E31AE1"/>
    <w:rsid w:val="00E32C40"/>
    <w:rsid w:val="00E354E3"/>
    <w:rsid w:val="00E3575F"/>
    <w:rsid w:val="00E4237E"/>
    <w:rsid w:val="00E4460D"/>
    <w:rsid w:val="00E46FAB"/>
    <w:rsid w:val="00E51EDB"/>
    <w:rsid w:val="00E52D48"/>
    <w:rsid w:val="00E534A9"/>
    <w:rsid w:val="00E53744"/>
    <w:rsid w:val="00E542EA"/>
    <w:rsid w:val="00E54931"/>
    <w:rsid w:val="00E55C07"/>
    <w:rsid w:val="00E562EA"/>
    <w:rsid w:val="00E57230"/>
    <w:rsid w:val="00E612D4"/>
    <w:rsid w:val="00E6149A"/>
    <w:rsid w:val="00E61E8D"/>
    <w:rsid w:val="00E6790A"/>
    <w:rsid w:val="00E67A37"/>
    <w:rsid w:val="00E706B4"/>
    <w:rsid w:val="00E71995"/>
    <w:rsid w:val="00E71DA6"/>
    <w:rsid w:val="00E71E7C"/>
    <w:rsid w:val="00E720B1"/>
    <w:rsid w:val="00E81621"/>
    <w:rsid w:val="00E81CA4"/>
    <w:rsid w:val="00E83504"/>
    <w:rsid w:val="00E86026"/>
    <w:rsid w:val="00E86E5A"/>
    <w:rsid w:val="00E87326"/>
    <w:rsid w:val="00E879B4"/>
    <w:rsid w:val="00E87B03"/>
    <w:rsid w:val="00E91474"/>
    <w:rsid w:val="00E956B0"/>
    <w:rsid w:val="00E965FD"/>
    <w:rsid w:val="00E96971"/>
    <w:rsid w:val="00EA1628"/>
    <w:rsid w:val="00EA3089"/>
    <w:rsid w:val="00EA33C0"/>
    <w:rsid w:val="00EA3765"/>
    <w:rsid w:val="00EA5578"/>
    <w:rsid w:val="00EA641D"/>
    <w:rsid w:val="00EA77A8"/>
    <w:rsid w:val="00EB1A86"/>
    <w:rsid w:val="00EB488E"/>
    <w:rsid w:val="00EB7A50"/>
    <w:rsid w:val="00EC0878"/>
    <w:rsid w:val="00EC0B2F"/>
    <w:rsid w:val="00EC5747"/>
    <w:rsid w:val="00EC733C"/>
    <w:rsid w:val="00ED0E19"/>
    <w:rsid w:val="00ED1477"/>
    <w:rsid w:val="00ED1756"/>
    <w:rsid w:val="00ED1C25"/>
    <w:rsid w:val="00ED2257"/>
    <w:rsid w:val="00ED2E07"/>
    <w:rsid w:val="00ED3497"/>
    <w:rsid w:val="00ED496B"/>
    <w:rsid w:val="00ED4E08"/>
    <w:rsid w:val="00ED6667"/>
    <w:rsid w:val="00ED6DD5"/>
    <w:rsid w:val="00ED790A"/>
    <w:rsid w:val="00EF51F0"/>
    <w:rsid w:val="00EF5E9E"/>
    <w:rsid w:val="00EF7A6D"/>
    <w:rsid w:val="00F006B2"/>
    <w:rsid w:val="00F00912"/>
    <w:rsid w:val="00F02253"/>
    <w:rsid w:val="00F02E3A"/>
    <w:rsid w:val="00F049E2"/>
    <w:rsid w:val="00F0778C"/>
    <w:rsid w:val="00F11406"/>
    <w:rsid w:val="00F119FA"/>
    <w:rsid w:val="00F11DC1"/>
    <w:rsid w:val="00F13221"/>
    <w:rsid w:val="00F14ADE"/>
    <w:rsid w:val="00F15758"/>
    <w:rsid w:val="00F1657B"/>
    <w:rsid w:val="00F16C56"/>
    <w:rsid w:val="00F17582"/>
    <w:rsid w:val="00F20AFD"/>
    <w:rsid w:val="00F24464"/>
    <w:rsid w:val="00F25686"/>
    <w:rsid w:val="00F2587D"/>
    <w:rsid w:val="00F260CC"/>
    <w:rsid w:val="00F26F45"/>
    <w:rsid w:val="00F2776B"/>
    <w:rsid w:val="00F30121"/>
    <w:rsid w:val="00F32392"/>
    <w:rsid w:val="00F33498"/>
    <w:rsid w:val="00F367DC"/>
    <w:rsid w:val="00F3767A"/>
    <w:rsid w:val="00F42075"/>
    <w:rsid w:val="00F434EF"/>
    <w:rsid w:val="00F5139A"/>
    <w:rsid w:val="00F51BAF"/>
    <w:rsid w:val="00F51EDA"/>
    <w:rsid w:val="00F55397"/>
    <w:rsid w:val="00F56417"/>
    <w:rsid w:val="00F61CC8"/>
    <w:rsid w:val="00F6772A"/>
    <w:rsid w:val="00F7006D"/>
    <w:rsid w:val="00F725F2"/>
    <w:rsid w:val="00F741E8"/>
    <w:rsid w:val="00F7649B"/>
    <w:rsid w:val="00F807CA"/>
    <w:rsid w:val="00F80A5E"/>
    <w:rsid w:val="00F86793"/>
    <w:rsid w:val="00F86FEC"/>
    <w:rsid w:val="00F871E3"/>
    <w:rsid w:val="00F903D6"/>
    <w:rsid w:val="00F91790"/>
    <w:rsid w:val="00F91919"/>
    <w:rsid w:val="00F93F6F"/>
    <w:rsid w:val="00F947D8"/>
    <w:rsid w:val="00F94FFB"/>
    <w:rsid w:val="00F95143"/>
    <w:rsid w:val="00F95808"/>
    <w:rsid w:val="00FA081C"/>
    <w:rsid w:val="00FA1B03"/>
    <w:rsid w:val="00FA1D47"/>
    <w:rsid w:val="00FA29D8"/>
    <w:rsid w:val="00FA31AC"/>
    <w:rsid w:val="00FA451E"/>
    <w:rsid w:val="00FA5DAE"/>
    <w:rsid w:val="00FA7144"/>
    <w:rsid w:val="00FA7530"/>
    <w:rsid w:val="00FB19AA"/>
    <w:rsid w:val="00FB2A77"/>
    <w:rsid w:val="00FB31F1"/>
    <w:rsid w:val="00FB5C7C"/>
    <w:rsid w:val="00FC14B6"/>
    <w:rsid w:val="00FC20DC"/>
    <w:rsid w:val="00FC2B3D"/>
    <w:rsid w:val="00FC6940"/>
    <w:rsid w:val="00FC6B57"/>
    <w:rsid w:val="00FD09E0"/>
    <w:rsid w:val="00FD158D"/>
    <w:rsid w:val="00FD1B88"/>
    <w:rsid w:val="00FD22FD"/>
    <w:rsid w:val="00FD2BF1"/>
    <w:rsid w:val="00FD448A"/>
    <w:rsid w:val="00FD5BB2"/>
    <w:rsid w:val="00FD73C8"/>
    <w:rsid w:val="00FE0585"/>
    <w:rsid w:val="00FE0FC4"/>
    <w:rsid w:val="00FE31A9"/>
    <w:rsid w:val="00FE359B"/>
    <w:rsid w:val="00FE4B91"/>
    <w:rsid w:val="00FE77DC"/>
    <w:rsid w:val="00FF1128"/>
    <w:rsid w:val="00FF2B01"/>
    <w:rsid w:val="00FF5350"/>
    <w:rsid w:val="00FF589D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14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7">
    <w:name w:val="line number"/>
    <w:basedOn w:val="a1"/>
  </w:style>
  <w:style w:type="paragraph" w:styleId="a8">
    <w:name w:val="index heading"/>
    <w:basedOn w:val="a"/>
    <w:next w:val="11"/>
    <w:semiHidden/>
  </w:style>
  <w:style w:type="paragraph" w:styleId="a9">
    <w:name w:val="footer"/>
    <w:basedOn w:val="a"/>
    <w:pPr>
      <w:tabs>
        <w:tab w:val="center" w:pos="4819"/>
        <w:tab w:val="right" w:pos="9071"/>
      </w:tabs>
    </w:pPr>
  </w:style>
  <w:style w:type="paragraph" w:styleId="aa">
    <w:name w:val="header"/>
    <w:basedOn w:val="a"/>
    <w:pPr>
      <w:tabs>
        <w:tab w:val="center" w:pos="4819"/>
        <w:tab w:val="right" w:pos="9071"/>
      </w:tabs>
    </w:pPr>
  </w:style>
  <w:style w:type="character" w:styleId="ab">
    <w:name w:val="footnote reference"/>
    <w:semiHidden/>
    <w:rPr>
      <w:position w:val="6"/>
      <w:sz w:val="16"/>
    </w:rPr>
  </w:style>
  <w:style w:type="paragraph" w:styleId="ac">
    <w:name w:val="footnote text"/>
    <w:basedOn w:val="a"/>
    <w:semiHidden/>
    <w:rPr>
      <w:sz w:val="20"/>
    </w:rPr>
  </w:style>
  <w:style w:type="paragraph" w:styleId="ad">
    <w:name w:val="Body Text"/>
    <w:basedOn w:val="a"/>
    <w:pPr>
      <w:spacing w:after="120"/>
      <w:jc w:val="center"/>
    </w:pPr>
    <w:rPr>
      <w:b/>
      <w:sz w:val="16"/>
    </w:rPr>
  </w:style>
  <w:style w:type="paragraph" w:styleId="ae">
    <w:name w:val="Body Text Indent"/>
    <w:basedOn w:val="a"/>
    <w:pPr>
      <w:ind w:firstLine="284"/>
      <w:jc w:val="both"/>
    </w:pPr>
    <w:rPr>
      <w:sz w:val="16"/>
    </w:rPr>
  </w:style>
  <w:style w:type="character" w:styleId="af">
    <w:name w:val="page number"/>
    <w:basedOn w:val="a1"/>
  </w:style>
  <w:style w:type="paragraph" w:customStyle="1" w:styleId="af0">
    <w:name w:val="боковик"/>
    <w:basedOn w:val="a"/>
    <w:pPr>
      <w:spacing w:before="72"/>
      <w:jc w:val="both"/>
    </w:pPr>
    <w:rPr>
      <w:rFonts w:ascii="JournalRub" w:hAnsi="JournalRub"/>
      <w:sz w:val="20"/>
    </w:rPr>
  </w:style>
  <w:style w:type="paragraph" w:customStyle="1" w:styleId="12">
    <w:name w:val="боковик1"/>
    <w:basedOn w:val="af0"/>
    <w:pPr>
      <w:ind w:left="113"/>
    </w:pPr>
  </w:style>
  <w:style w:type="paragraph" w:customStyle="1" w:styleId="32">
    <w:name w:val="боковик3"/>
    <w:basedOn w:val="af0"/>
    <w:pPr>
      <w:jc w:val="center"/>
    </w:pPr>
    <w:rPr>
      <w:b/>
    </w:rPr>
  </w:style>
  <w:style w:type="paragraph" w:customStyle="1" w:styleId="22">
    <w:name w:val="боковик2"/>
    <w:basedOn w:val="af0"/>
    <w:pPr>
      <w:ind w:left="227"/>
    </w:pPr>
  </w:style>
  <w:style w:type="paragraph" w:customStyle="1" w:styleId="af1">
    <w:name w:val="цифры"/>
    <w:basedOn w:val="a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Pr>
      <w:sz w:val="16"/>
      <w:lang w:val="en-US"/>
    </w:rPr>
  </w:style>
  <w:style w:type="paragraph" w:customStyle="1" w:styleId="13">
    <w:name w:val="цифры1"/>
    <w:basedOn w:val="af1"/>
    <w:pPr>
      <w:spacing w:before="76"/>
      <w:ind w:right="113"/>
    </w:pPr>
    <w:rPr>
      <w:sz w:val="16"/>
    </w:rPr>
  </w:style>
  <w:style w:type="paragraph" w:styleId="23">
    <w:name w:val="Body Text 2"/>
    <w:basedOn w:val="a"/>
    <w:pPr>
      <w:spacing w:before="40"/>
    </w:pPr>
    <w:rPr>
      <w:b/>
    </w:rPr>
  </w:style>
  <w:style w:type="paragraph" w:customStyle="1" w:styleId="FR1">
    <w:name w:val="FR1"/>
    <w:pPr>
      <w:widowControl w:val="0"/>
      <w:spacing w:before="240"/>
      <w:ind w:right="200"/>
      <w:jc w:val="center"/>
    </w:pPr>
    <w:rPr>
      <w:rFonts w:ascii="Arial" w:hAnsi="Arial"/>
      <w:snapToGrid w:val="0"/>
      <w:sz w:val="12"/>
    </w:rPr>
  </w:style>
  <w:style w:type="paragraph" w:styleId="24">
    <w:name w:val="Body Text Indent 2"/>
    <w:basedOn w:val="a"/>
    <w:pPr>
      <w:spacing w:line="210" w:lineRule="exact"/>
      <w:ind w:firstLine="284"/>
      <w:jc w:val="both"/>
    </w:pPr>
  </w:style>
  <w:style w:type="paragraph" w:customStyle="1" w:styleId="14">
    <w:name w:val="Обычный1"/>
    <w:rPr>
      <w:snapToGrid w:val="0"/>
    </w:rPr>
  </w:style>
  <w:style w:type="paragraph" w:customStyle="1" w:styleId="15">
    <w:name w:val="Верхний колонтитул1"/>
    <w:basedOn w:val="14"/>
    <w:pPr>
      <w:tabs>
        <w:tab w:val="center" w:pos="4153"/>
        <w:tab w:val="right" w:pos="8306"/>
      </w:tabs>
    </w:pPr>
  </w:style>
  <w:style w:type="paragraph" w:styleId="33">
    <w:name w:val="Body Text 3"/>
    <w:basedOn w:val="a"/>
    <w:pPr>
      <w:spacing w:line="194" w:lineRule="exact"/>
      <w:jc w:val="both"/>
    </w:pPr>
    <w:rPr>
      <w:sz w:val="16"/>
    </w:rPr>
  </w:style>
  <w:style w:type="paragraph" w:styleId="34">
    <w:name w:val="Body Text Indent 3"/>
    <w:basedOn w:val="a"/>
    <w:pPr>
      <w:spacing w:line="172" w:lineRule="exact"/>
      <w:ind w:firstLine="284"/>
      <w:jc w:val="both"/>
    </w:pPr>
    <w:rPr>
      <w:color w:val="000000"/>
      <w:sz w:val="16"/>
    </w:rPr>
  </w:style>
  <w:style w:type="paragraph" w:styleId="af2">
    <w:name w:val="Balloon Text"/>
    <w:basedOn w:val="a"/>
    <w:link w:val="af3"/>
    <w:rsid w:val="00B74A6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B74A62"/>
    <w:rPr>
      <w:rFonts w:ascii="Tahoma" w:hAnsi="Tahoma" w:cs="Tahoma"/>
      <w:sz w:val="16"/>
      <w:szCs w:val="16"/>
    </w:rPr>
  </w:style>
  <w:style w:type="character" w:customStyle="1" w:styleId="a6">
    <w:name w:val="Текст примечания Знак"/>
    <w:link w:val="a5"/>
    <w:semiHidden/>
    <w:rsid w:val="0054026C"/>
    <w:rPr>
      <w:rFonts w:ascii="Arial" w:hAnsi="Arial"/>
    </w:rPr>
  </w:style>
  <w:style w:type="paragraph" w:customStyle="1" w:styleId="Normal1">
    <w:name w:val="Normal1"/>
    <w:rsid w:val="0054026C"/>
    <w:pPr>
      <w:widowControl w:val="0"/>
    </w:pPr>
    <w:rPr>
      <w:rFonts w:ascii="Arial" w:hAnsi="Arial"/>
    </w:rPr>
  </w:style>
  <w:style w:type="character" w:styleId="af4">
    <w:name w:val="Hyperlink"/>
    <w:basedOn w:val="a1"/>
    <w:rsid w:val="00A351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14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7">
    <w:name w:val="line number"/>
    <w:basedOn w:val="a1"/>
  </w:style>
  <w:style w:type="paragraph" w:styleId="a8">
    <w:name w:val="index heading"/>
    <w:basedOn w:val="a"/>
    <w:next w:val="11"/>
    <w:semiHidden/>
  </w:style>
  <w:style w:type="paragraph" w:styleId="a9">
    <w:name w:val="footer"/>
    <w:basedOn w:val="a"/>
    <w:pPr>
      <w:tabs>
        <w:tab w:val="center" w:pos="4819"/>
        <w:tab w:val="right" w:pos="9071"/>
      </w:tabs>
    </w:pPr>
  </w:style>
  <w:style w:type="paragraph" w:styleId="aa">
    <w:name w:val="header"/>
    <w:basedOn w:val="a"/>
    <w:pPr>
      <w:tabs>
        <w:tab w:val="center" w:pos="4819"/>
        <w:tab w:val="right" w:pos="9071"/>
      </w:tabs>
    </w:pPr>
  </w:style>
  <w:style w:type="character" w:styleId="ab">
    <w:name w:val="footnote reference"/>
    <w:semiHidden/>
    <w:rPr>
      <w:position w:val="6"/>
      <w:sz w:val="16"/>
    </w:rPr>
  </w:style>
  <w:style w:type="paragraph" w:styleId="ac">
    <w:name w:val="footnote text"/>
    <w:basedOn w:val="a"/>
    <w:semiHidden/>
    <w:rPr>
      <w:sz w:val="20"/>
    </w:rPr>
  </w:style>
  <w:style w:type="paragraph" w:styleId="ad">
    <w:name w:val="Body Text"/>
    <w:basedOn w:val="a"/>
    <w:pPr>
      <w:spacing w:after="120"/>
      <w:jc w:val="center"/>
    </w:pPr>
    <w:rPr>
      <w:b/>
      <w:sz w:val="16"/>
    </w:rPr>
  </w:style>
  <w:style w:type="paragraph" w:styleId="ae">
    <w:name w:val="Body Text Indent"/>
    <w:basedOn w:val="a"/>
    <w:pPr>
      <w:ind w:firstLine="284"/>
      <w:jc w:val="both"/>
    </w:pPr>
    <w:rPr>
      <w:sz w:val="16"/>
    </w:rPr>
  </w:style>
  <w:style w:type="character" w:styleId="af">
    <w:name w:val="page number"/>
    <w:basedOn w:val="a1"/>
  </w:style>
  <w:style w:type="paragraph" w:customStyle="1" w:styleId="af0">
    <w:name w:val="боковик"/>
    <w:basedOn w:val="a"/>
    <w:pPr>
      <w:spacing w:before="72"/>
      <w:jc w:val="both"/>
    </w:pPr>
    <w:rPr>
      <w:rFonts w:ascii="JournalRub" w:hAnsi="JournalRub"/>
      <w:sz w:val="20"/>
    </w:rPr>
  </w:style>
  <w:style w:type="paragraph" w:customStyle="1" w:styleId="12">
    <w:name w:val="боковик1"/>
    <w:basedOn w:val="af0"/>
    <w:pPr>
      <w:ind w:left="113"/>
    </w:pPr>
  </w:style>
  <w:style w:type="paragraph" w:customStyle="1" w:styleId="32">
    <w:name w:val="боковик3"/>
    <w:basedOn w:val="af0"/>
    <w:pPr>
      <w:jc w:val="center"/>
    </w:pPr>
    <w:rPr>
      <w:b/>
    </w:rPr>
  </w:style>
  <w:style w:type="paragraph" w:customStyle="1" w:styleId="22">
    <w:name w:val="боковик2"/>
    <w:basedOn w:val="af0"/>
    <w:pPr>
      <w:ind w:left="227"/>
    </w:pPr>
  </w:style>
  <w:style w:type="paragraph" w:customStyle="1" w:styleId="af1">
    <w:name w:val="цифры"/>
    <w:basedOn w:val="a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Pr>
      <w:sz w:val="16"/>
      <w:lang w:val="en-US"/>
    </w:rPr>
  </w:style>
  <w:style w:type="paragraph" w:customStyle="1" w:styleId="13">
    <w:name w:val="цифры1"/>
    <w:basedOn w:val="af1"/>
    <w:pPr>
      <w:spacing w:before="76"/>
      <w:ind w:right="113"/>
    </w:pPr>
    <w:rPr>
      <w:sz w:val="16"/>
    </w:rPr>
  </w:style>
  <w:style w:type="paragraph" w:styleId="23">
    <w:name w:val="Body Text 2"/>
    <w:basedOn w:val="a"/>
    <w:pPr>
      <w:spacing w:before="40"/>
    </w:pPr>
    <w:rPr>
      <w:b/>
    </w:rPr>
  </w:style>
  <w:style w:type="paragraph" w:customStyle="1" w:styleId="FR1">
    <w:name w:val="FR1"/>
    <w:pPr>
      <w:widowControl w:val="0"/>
      <w:spacing w:before="240"/>
      <w:ind w:right="200"/>
      <w:jc w:val="center"/>
    </w:pPr>
    <w:rPr>
      <w:rFonts w:ascii="Arial" w:hAnsi="Arial"/>
      <w:snapToGrid w:val="0"/>
      <w:sz w:val="12"/>
    </w:rPr>
  </w:style>
  <w:style w:type="paragraph" w:styleId="24">
    <w:name w:val="Body Text Indent 2"/>
    <w:basedOn w:val="a"/>
    <w:pPr>
      <w:spacing w:line="210" w:lineRule="exact"/>
      <w:ind w:firstLine="284"/>
      <w:jc w:val="both"/>
    </w:pPr>
  </w:style>
  <w:style w:type="paragraph" w:customStyle="1" w:styleId="14">
    <w:name w:val="Обычный1"/>
    <w:rPr>
      <w:snapToGrid w:val="0"/>
    </w:rPr>
  </w:style>
  <w:style w:type="paragraph" w:customStyle="1" w:styleId="15">
    <w:name w:val="Верхний колонтитул1"/>
    <w:basedOn w:val="14"/>
    <w:pPr>
      <w:tabs>
        <w:tab w:val="center" w:pos="4153"/>
        <w:tab w:val="right" w:pos="8306"/>
      </w:tabs>
    </w:pPr>
  </w:style>
  <w:style w:type="paragraph" w:styleId="33">
    <w:name w:val="Body Text 3"/>
    <w:basedOn w:val="a"/>
    <w:pPr>
      <w:spacing w:line="194" w:lineRule="exact"/>
      <w:jc w:val="both"/>
    </w:pPr>
    <w:rPr>
      <w:sz w:val="16"/>
    </w:rPr>
  </w:style>
  <w:style w:type="paragraph" w:styleId="34">
    <w:name w:val="Body Text Indent 3"/>
    <w:basedOn w:val="a"/>
    <w:pPr>
      <w:spacing w:line="172" w:lineRule="exact"/>
      <w:ind w:firstLine="284"/>
      <w:jc w:val="both"/>
    </w:pPr>
    <w:rPr>
      <w:color w:val="000000"/>
      <w:sz w:val="16"/>
    </w:rPr>
  </w:style>
  <w:style w:type="paragraph" w:styleId="af2">
    <w:name w:val="Balloon Text"/>
    <w:basedOn w:val="a"/>
    <w:link w:val="af3"/>
    <w:rsid w:val="00B74A6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B74A62"/>
    <w:rPr>
      <w:rFonts w:ascii="Tahoma" w:hAnsi="Tahoma" w:cs="Tahoma"/>
      <w:sz w:val="16"/>
      <w:szCs w:val="16"/>
    </w:rPr>
  </w:style>
  <w:style w:type="character" w:customStyle="1" w:styleId="a6">
    <w:name w:val="Текст примечания Знак"/>
    <w:link w:val="a5"/>
    <w:semiHidden/>
    <w:rsid w:val="0054026C"/>
    <w:rPr>
      <w:rFonts w:ascii="Arial" w:hAnsi="Arial"/>
    </w:rPr>
  </w:style>
  <w:style w:type="paragraph" w:customStyle="1" w:styleId="Normal1">
    <w:name w:val="Normal1"/>
    <w:rsid w:val="0054026C"/>
    <w:pPr>
      <w:widowControl w:val="0"/>
    </w:pPr>
    <w:rPr>
      <w:rFonts w:ascii="Arial" w:hAnsi="Arial"/>
    </w:rPr>
  </w:style>
  <w:style w:type="character" w:styleId="af4">
    <w:name w:val="Hyperlink"/>
    <w:basedOn w:val="a1"/>
    <w:rsid w:val="00A35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4AEFB-4348-4954-B3ED-D7F8670A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3</Pages>
  <Words>1198</Words>
  <Characters>9272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СОЦИАЛЬНО-ЭКОНОМИЧЕСКОЕ РАЗВИТИЕ И ИНДИКАТОРЫ УРОВНЯ ЖИЗНИ НАСЕЛЕНИЯ</vt:lpstr>
    </vt:vector>
  </TitlesOfParts>
  <Company>ВЦ Госкомстата РФ</Company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СОЦИАЛЬНО-ЭКОНОМИЧЕСКОЕ РАЗВИТИЕ И ИНДИКАТОРЫ УРОВНЯ ЖИЗНИ НАСЕЛЕНИЯ</dc:title>
  <dc:creator>Boris</dc:creator>
  <cp:lastModifiedBy>Сергеева Тамара Васильевна</cp:lastModifiedBy>
  <cp:revision>200</cp:revision>
  <cp:lastPrinted>2021-08-31T12:11:00Z</cp:lastPrinted>
  <dcterms:created xsi:type="dcterms:W3CDTF">2019-11-22T07:30:00Z</dcterms:created>
  <dcterms:modified xsi:type="dcterms:W3CDTF">2024-03-13T08:58:00Z</dcterms:modified>
</cp:coreProperties>
</file>