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DD" w:rsidRDefault="008916DD" w:rsidP="003B5BCA">
      <w:pPr>
        <w:pBdr>
          <w:bottom w:val="single" w:sz="12" w:space="1" w:color="auto"/>
        </w:pBdr>
        <w:spacing w:after="48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5. УРОВЕНЬ И УСЛОВИЯ ЖИЗНИ НАСЕЛЕНИЯ</w:t>
      </w:r>
    </w:p>
    <w:p w:rsidR="008916DD" w:rsidRDefault="008916DD" w:rsidP="003B5BCA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Раздел дает общее представление об уровне и качественных сторонах жизни населения России и зарубежных стран. Публикуемая информация позволяет произвести сравнительный анализ распределения доходов, уровня и структуры потребления населения, динамики инфляционных процессов в различных странах мира.</w:t>
      </w:r>
    </w:p>
    <w:p w:rsidR="008916DD" w:rsidRDefault="008916DD" w:rsidP="003B5BCA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Индекс концентрации доходов (коэффициент Джини)</w:t>
      </w:r>
      <w:r>
        <w:rPr>
          <w:rFonts w:ascii="Arial" w:hAnsi="Arial"/>
          <w:sz w:val="16"/>
        </w:rPr>
        <w:t xml:space="preserve"> характеризует степень отклонения фактического распределения общего объема доходов (потребительских расходов) населения от равномерного распределения. Величина коэффициента может варьировать от 0 до 1 (или от 0% до 100%), при этом, чем выше значение показателя, тем более неравномерно распределены доходы в обществе.</w:t>
      </w:r>
    </w:p>
    <w:p w:rsidR="008916DD" w:rsidRDefault="008916DD" w:rsidP="003B5BCA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Индекс реальной заработной платы работников </w:t>
      </w:r>
      <w:r>
        <w:rPr>
          <w:rFonts w:ascii="Arial" w:hAnsi="Arial"/>
          <w:sz w:val="16"/>
        </w:rPr>
        <w:t>исчисляется путем деления индекса среднемесячной номинальной начисленной заработной платы на индекс потребительских цен (тарифов) на товары и услуги (за тот же период, что и индекс номинальной начисленной заработной платы).</w:t>
      </w:r>
    </w:p>
    <w:p w:rsidR="008916DD" w:rsidRDefault="008916DD" w:rsidP="003B5BCA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Данные об </w:t>
      </w:r>
      <w:r>
        <w:rPr>
          <w:rFonts w:ascii="Arial" w:hAnsi="Arial"/>
          <w:b/>
          <w:sz w:val="16"/>
        </w:rPr>
        <w:t>удельном весе населения, находящегося за чертой бедности</w:t>
      </w:r>
      <w:r>
        <w:rPr>
          <w:rFonts w:ascii="Arial" w:hAnsi="Arial"/>
          <w:sz w:val="16"/>
        </w:rPr>
        <w:t xml:space="preserve">, основаны на национальных оценках уровня бедности и представляют собой процент населения, имеющего уровень потребления или дохода ниже официально установленной черты бедности. В различных странах применяются разные методологические подходы к определению минимально допустимого уровня потребления (дохода), называемого чертой бедности, прожиточным минимумом </w:t>
      </w:r>
      <w:r>
        <w:rPr>
          <w:rFonts w:ascii="Arial" w:hAnsi="Arial"/>
          <w:sz w:val="16"/>
        </w:rPr>
        <w:br/>
        <w:t xml:space="preserve">для населения или границей бедности. </w:t>
      </w:r>
      <w:proofErr w:type="gramStart"/>
      <w:r>
        <w:rPr>
          <w:rFonts w:ascii="Arial" w:hAnsi="Arial"/>
          <w:sz w:val="16"/>
        </w:rPr>
        <w:t>В ряде стран СНГ к населению за чертой бедности относятся лица со среднедушевыми денежными доходами ниже установленной величины прожиточного минимума, в России – ниже границы бедности (начиная с 2021 г.), в ряде других стран основным критерием отнесения к бедным слоям является недостаточный относительно среднего достигнутого в данном обществе уровня благосостояния размер потребления (дохода).</w:t>
      </w:r>
      <w:proofErr w:type="gramEnd"/>
    </w:p>
    <w:p w:rsidR="008916DD" w:rsidRDefault="008916DD" w:rsidP="003B5BCA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Данные об </w:t>
      </w:r>
      <w:r>
        <w:rPr>
          <w:rFonts w:ascii="Arial" w:hAnsi="Arial"/>
          <w:b/>
          <w:sz w:val="16"/>
        </w:rPr>
        <w:t>удельном весе населения, живущего менее чем на 2,15 и на 3,65 доллара в день,</w:t>
      </w:r>
      <w:r>
        <w:rPr>
          <w:rFonts w:ascii="Arial" w:hAnsi="Arial"/>
          <w:sz w:val="16"/>
        </w:rPr>
        <w:t xml:space="preserve"> являются оценками Всемирного банка и основаны на международных стандартах в определении черты бедности для населения. </w:t>
      </w:r>
    </w:p>
    <w:p w:rsidR="008916DD" w:rsidRDefault="008916DD" w:rsidP="003B5BCA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Потребление основных продуктов питания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на душу населения</w:t>
      </w:r>
      <w:r>
        <w:rPr>
          <w:rFonts w:ascii="Arial" w:hAnsi="Arial"/>
          <w:sz w:val="16"/>
        </w:rPr>
        <w:t xml:space="preserve">  определяется </w:t>
      </w:r>
      <w:r>
        <w:rPr>
          <w:rFonts w:ascii="Arial" w:hAnsi="Arial"/>
          <w:sz w:val="16"/>
        </w:rPr>
        <w:br/>
        <w:t xml:space="preserve">с учетом потребления как произведенных в стране, так и импортированных продуктов, независимо от вида потребления и способа продажи продуктов населению. </w:t>
      </w:r>
      <w:r>
        <w:rPr>
          <w:rFonts w:ascii="Arial" w:hAnsi="Arial"/>
          <w:sz w:val="16"/>
        </w:rPr>
        <w:br/>
        <w:t>При расчетах потребления продуктов питания на душу населения используются данные о среднегодовой численности населения в соответствующем году.</w:t>
      </w:r>
    </w:p>
    <w:p w:rsidR="008916DD" w:rsidRDefault="008916DD" w:rsidP="003B5BCA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b/>
          <w:sz w:val="16"/>
        </w:rPr>
        <w:t xml:space="preserve">Расходы на конечное потребление домашних хозяйств </w:t>
      </w:r>
      <w:r>
        <w:rPr>
          <w:rFonts w:ascii="Arial" w:hAnsi="Arial"/>
          <w:sz w:val="16"/>
        </w:rPr>
        <w:t xml:space="preserve">включают в себя покупки потребительских товаров и услуг домашними хозяйствами-резидентами, </w:t>
      </w:r>
      <w:r>
        <w:rPr>
          <w:rFonts w:ascii="Arial" w:hAnsi="Arial"/>
          <w:sz w:val="16"/>
        </w:rPr>
        <w:br/>
        <w:t xml:space="preserve">а также потребление в натуральной форме товаров и услуг, производимых домашними хозяйствами для собственного потребления или получаемых наемными работниками </w:t>
      </w:r>
      <w:r>
        <w:rPr>
          <w:rFonts w:ascii="Arial" w:hAnsi="Arial"/>
          <w:sz w:val="16"/>
        </w:rPr>
        <w:br/>
        <w:t xml:space="preserve">в качестве оплаты труда в натуральной форме, а также в виде трансфертов </w:t>
      </w:r>
      <w:r>
        <w:rPr>
          <w:rFonts w:ascii="Arial" w:hAnsi="Arial"/>
          <w:sz w:val="16"/>
        </w:rPr>
        <w:br/>
        <w:t>в натуральной форме (кроме социальных трансфертов в натуральной форме).</w:t>
      </w:r>
      <w:proofErr w:type="gramEnd"/>
    </w:p>
    <w:p w:rsidR="008916DD" w:rsidRDefault="008916DD" w:rsidP="003B5BCA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Расходы на конечное потребление некоммерческих организаций, обслуживающих домашние хозяйства, </w:t>
      </w:r>
      <w:r>
        <w:rPr>
          <w:rFonts w:ascii="Arial" w:hAnsi="Arial"/>
          <w:sz w:val="16"/>
        </w:rPr>
        <w:t>включают в себя расходы общественных организаций (политических партий, религиозных организаций, профсоюзов, общественных объединений), в отношении которых условно считается, что они предоставляют только индивидуальные товары и услуги. Сюда же включаются бесплатные услуги (социального характера), оказываемые коммерческими организациями своим работникам.</w:t>
      </w:r>
    </w:p>
    <w:p w:rsidR="008916DD" w:rsidRDefault="008916DD" w:rsidP="003B5BCA">
      <w:pPr>
        <w:spacing w:after="0" w:line="240" w:lineRule="auto"/>
        <w:ind w:firstLine="284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bCs/>
          <w:sz w:val="16"/>
        </w:rPr>
        <w:lastRenderedPageBreak/>
        <w:t>Фактическое конечное потребление домашних хозяй</w:t>
      </w:r>
      <w:proofErr w:type="gramStart"/>
      <w:r>
        <w:rPr>
          <w:rFonts w:ascii="Arial" w:hAnsi="Arial"/>
          <w:b/>
          <w:bCs/>
          <w:sz w:val="16"/>
        </w:rPr>
        <w:t xml:space="preserve">ств </w:t>
      </w:r>
      <w:r>
        <w:rPr>
          <w:rFonts w:ascii="Arial" w:hAnsi="Arial"/>
          <w:sz w:val="16"/>
        </w:rPr>
        <w:t>пр</w:t>
      </w:r>
      <w:proofErr w:type="gramEnd"/>
      <w:r>
        <w:rPr>
          <w:rFonts w:ascii="Arial" w:hAnsi="Arial"/>
          <w:sz w:val="16"/>
        </w:rPr>
        <w:t xml:space="preserve">едставляет собой стоимость всех товаров и услуг, приобретенных домашними хозяйствами </w:t>
      </w:r>
      <w:r>
        <w:rPr>
          <w:rFonts w:ascii="Arial" w:hAnsi="Arial"/>
          <w:sz w:val="16"/>
        </w:rPr>
        <w:br/>
        <w:t xml:space="preserve">для индивидуального потребления, независимо от источника финансирования. </w:t>
      </w:r>
      <w:r>
        <w:rPr>
          <w:rFonts w:ascii="Arial" w:hAnsi="Arial"/>
          <w:sz w:val="16"/>
        </w:rPr>
        <w:br/>
        <w:t xml:space="preserve">Для домашних хозяйств оно включает их расходы на покупку потребительских товаров </w:t>
      </w:r>
      <w:r>
        <w:rPr>
          <w:rFonts w:ascii="Arial" w:hAnsi="Arial"/>
          <w:sz w:val="16"/>
        </w:rPr>
        <w:br/>
        <w:t xml:space="preserve">и услуг и </w:t>
      </w:r>
      <w:r>
        <w:rPr>
          <w:rFonts w:ascii="Arial" w:hAnsi="Arial"/>
          <w:spacing w:val="-2"/>
          <w:sz w:val="16"/>
        </w:rPr>
        <w:t>стоимость индивидуальных товаров и услуг, полученных домашними хозяйствами от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 xml:space="preserve">сектора государственного управления и от некоммерческих организаций, обслуживающих домашние хозяйства, бесплатно в качестве социальных трансфертов </w:t>
      </w:r>
      <w:r>
        <w:rPr>
          <w:rFonts w:ascii="Arial" w:hAnsi="Arial"/>
          <w:spacing w:val="-2"/>
          <w:sz w:val="16"/>
        </w:rPr>
        <w:br/>
        <w:t>в натуральной форме.</w:t>
      </w:r>
    </w:p>
    <w:p w:rsidR="008916DD" w:rsidRDefault="008916DD" w:rsidP="003B5BCA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b/>
          <w:sz w:val="16"/>
        </w:rPr>
        <w:t>Расходы на конечное потребление сектора государственного управления</w:t>
      </w:r>
      <w:r>
        <w:rPr>
          <w:rFonts w:ascii="Arial" w:hAnsi="Arial"/>
          <w:sz w:val="16"/>
        </w:rPr>
        <w:t xml:space="preserve"> охватывают расходы институциональных единиц, включенных в этот сектор, понесенные ими на предоставление индивидуальных потребительских товаров и услуг (в области  образования, здравоохранения, культуры и искусства, социальной защиты населения) и коллективных потребительских услуг (в области общего государственного управления, обеспечения национальной безопасности и общественного порядка, защиты окружающей среды и др.).</w:t>
      </w:r>
      <w:proofErr w:type="gramEnd"/>
      <w:r>
        <w:rPr>
          <w:rFonts w:ascii="Arial" w:hAnsi="Arial"/>
          <w:sz w:val="16"/>
        </w:rPr>
        <w:t xml:space="preserve"> Индивидуальные потребительские товары и услуги образуют элемент фактического конечного потребления домашних хозяйств.</w:t>
      </w:r>
    </w:p>
    <w:p w:rsidR="008916DD" w:rsidRDefault="008916DD" w:rsidP="003B5BCA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исчислении показателя "</w:t>
      </w:r>
      <w:r>
        <w:rPr>
          <w:rFonts w:ascii="Arial" w:hAnsi="Arial"/>
          <w:b/>
          <w:sz w:val="16"/>
        </w:rPr>
        <w:t>число построенных квартир"</w:t>
      </w:r>
      <w:r>
        <w:rPr>
          <w:rFonts w:ascii="Arial" w:hAnsi="Arial"/>
          <w:sz w:val="16"/>
        </w:rPr>
        <w:t xml:space="preserve"> понятие </w:t>
      </w:r>
      <w:r>
        <w:rPr>
          <w:rFonts w:ascii="Arial" w:hAnsi="Arial"/>
          <w:b/>
          <w:sz w:val="16"/>
        </w:rPr>
        <w:t>"квартира"</w:t>
      </w:r>
      <w:r>
        <w:rPr>
          <w:rFonts w:ascii="Arial" w:hAnsi="Arial"/>
          <w:sz w:val="16"/>
        </w:rPr>
        <w:t xml:space="preserve"> определяется как комната или ряд комнат (дом) с удобствами в здании постоянного типа, предназначенном для жилья. Квартира должна иметь отдельный выход на улицу или на общее пространство внутри здания (лестница, коридор и т.п.).</w:t>
      </w:r>
    </w:p>
    <w:p w:rsidR="008916DD" w:rsidRDefault="008916DD" w:rsidP="003B5BCA">
      <w:pPr>
        <w:pStyle w:val="a3"/>
        <w:spacing w:line="240" w:lineRule="auto"/>
        <w:rPr>
          <w:spacing w:val="-2"/>
        </w:rPr>
      </w:pPr>
      <w:r>
        <w:rPr>
          <w:spacing w:val="-2"/>
        </w:rPr>
        <w:t>Динамика показателей жилищного строительства и характеристика благоустройства жилья дают информацию об изменении качественных сторон уровня жизни населения.</w:t>
      </w:r>
    </w:p>
    <w:p w:rsidR="008916DD" w:rsidRDefault="008916DD" w:rsidP="003B5BCA">
      <w:pPr>
        <w:pStyle w:val="a3"/>
        <w:spacing w:line="240" w:lineRule="auto"/>
        <w:rPr>
          <w:spacing w:val="-2"/>
        </w:rPr>
      </w:pPr>
      <w:r>
        <w:rPr>
          <w:b/>
          <w:bCs/>
          <w:spacing w:val="-2"/>
        </w:rPr>
        <w:t xml:space="preserve">Индекс потребительской уверенности </w:t>
      </w:r>
      <w:r>
        <w:rPr>
          <w:spacing w:val="-2"/>
        </w:rPr>
        <w:t xml:space="preserve">– обобщающий показатель, отражающий совокупные потребительские ожидания и намерения населения. Информация </w:t>
      </w:r>
      <w:r>
        <w:rPr>
          <w:spacing w:val="-2"/>
        </w:rPr>
        <w:br/>
        <w:t xml:space="preserve">о потребительских ожиданиях собирается путем проведения регулярных обследований домашних хозяйств. Данный индекс рассчитывается как </w:t>
      </w:r>
      <w:proofErr w:type="gramStart"/>
      <w:r>
        <w:rPr>
          <w:spacing w:val="-2"/>
        </w:rPr>
        <w:t>средняя</w:t>
      </w:r>
      <w:proofErr w:type="gramEnd"/>
      <w:r>
        <w:rPr>
          <w:spacing w:val="-2"/>
        </w:rPr>
        <w:t xml:space="preserve"> арифметическая процентных балансов оценок населением изменения материального положения, экономической ситуации, благоприятных условий для крупных покупок.</w:t>
      </w:r>
    </w:p>
    <w:p w:rsidR="000F5415" w:rsidRDefault="008916DD" w:rsidP="003B5BCA">
      <w:pPr>
        <w:pStyle w:val="a3"/>
        <w:spacing w:line="240" w:lineRule="auto"/>
      </w:pPr>
      <w:r>
        <w:rPr>
          <w:spacing w:val="-2"/>
        </w:rPr>
        <w:t xml:space="preserve">Значения частных и обобщающего индексов могут изменяться в пределах </w:t>
      </w:r>
      <w:r>
        <w:rPr>
          <w:spacing w:val="-2"/>
        </w:rPr>
        <w:br/>
        <w:t>от – 100 до + 100: отрицательная величина индекса означает преобладание негативных оценок в обществе, положительная – позитивных.</w:t>
      </w:r>
      <w:bookmarkStart w:id="0" w:name="_GoBack"/>
      <w:bookmarkEnd w:id="0"/>
    </w:p>
    <w:sectPr w:rsidR="000F5415" w:rsidSect="008916DD">
      <w:pgSz w:w="11906" w:h="16838"/>
      <w:pgMar w:top="3657" w:right="2637" w:bottom="3657" w:left="26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E4"/>
    <w:rsid w:val="000F5415"/>
    <w:rsid w:val="003B5BCA"/>
    <w:rsid w:val="00656B94"/>
    <w:rsid w:val="008916DD"/>
    <w:rsid w:val="00E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6DD"/>
    <w:pPr>
      <w:spacing w:after="0" w:line="176" w:lineRule="exact"/>
      <w:ind w:firstLine="28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916DD"/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6DD"/>
    <w:pPr>
      <w:spacing w:after="0" w:line="176" w:lineRule="exact"/>
      <w:ind w:firstLine="28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916DD"/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Алёна Владимировна</dc:creator>
  <cp:keywords/>
  <dc:description/>
  <cp:lastModifiedBy>user</cp:lastModifiedBy>
  <cp:revision>3</cp:revision>
  <dcterms:created xsi:type="dcterms:W3CDTF">2024-04-16T12:30:00Z</dcterms:created>
  <dcterms:modified xsi:type="dcterms:W3CDTF">2024-04-26T11:37:00Z</dcterms:modified>
</cp:coreProperties>
</file>