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4E" w:rsidRPr="0039330B" w:rsidRDefault="001B774E" w:rsidP="0007182A">
      <w:pPr>
        <w:pBdr>
          <w:bottom w:val="single" w:sz="12" w:space="1" w:color="auto"/>
        </w:pBdr>
        <w:spacing w:after="480" w:line="240" w:lineRule="auto"/>
        <w:jc w:val="center"/>
        <w:rPr>
          <w:rFonts w:ascii="Arial" w:hAnsi="Arial"/>
          <w:b/>
          <w:sz w:val="24"/>
        </w:rPr>
      </w:pPr>
      <w:r w:rsidRPr="0039330B">
        <w:rPr>
          <w:rFonts w:ascii="Arial" w:hAnsi="Arial"/>
          <w:b/>
          <w:spacing w:val="-1"/>
          <w:sz w:val="24"/>
        </w:rPr>
        <w:t>11. СВЯЗЬ И СРЕДСТВА ИНФОРМАТИЗАЦИИ</w:t>
      </w:r>
    </w:p>
    <w:p w:rsidR="001B774E" w:rsidRPr="0039330B" w:rsidRDefault="001B774E" w:rsidP="00A645F6">
      <w:pPr>
        <w:pStyle w:val="1"/>
        <w:shd w:val="clear" w:color="auto" w:fill="FFFFFF"/>
        <w:ind w:firstLine="284"/>
        <w:jc w:val="both"/>
        <w:rPr>
          <w:i w:val="0"/>
          <w:spacing w:val="-6"/>
          <w:sz w:val="16"/>
        </w:rPr>
      </w:pPr>
      <w:bookmarkStart w:id="0" w:name="_GoBack"/>
      <w:r w:rsidRPr="0039330B">
        <w:rPr>
          <w:i w:val="0"/>
          <w:spacing w:val="-2"/>
          <w:sz w:val="16"/>
        </w:rPr>
        <w:t xml:space="preserve">В разделе представлены статистические данные, характеризующие развитие системы связи и информатизации </w:t>
      </w:r>
      <w:r w:rsidRPr="0039330B">
        <w:rPr>
          <w:i w:val="0"/>
          <w:spacing w:val="-6"/>
          <w:sz w:val="16"/>
        </w:rPr>
        <w:t>общества.</w:t>
      </w:r>
      <w:r w:rsidRPr="0039330B">
        <w:rPr>
          <w:i w:val="0"/>
          <w:spacing w:val="-4"/>
          <w:sz w:val="16"/>
        </w:rPr>
        <w:t xml:space="preserve"> Приводится показатель телефонной плотности – </w:t>
      </w:r>
      <w:r w:rsidRPr="0039330B">
        <w:rPr>
          <w:b/>
          <w:i w:val="0"/>
          <w:spacing w:val="-4"/>
          <w:sz w:val="16"/>
        </w:rPr>
        <w:t xml:space="preserve">число установленных телефонных аппаратов </w:t>
      </w:r>
      <w:r w:rsidRPr="0039330B">
        <w:rPr>
          <w:b/>
          <w:i w:val="0"/>
          <w:spacing w:val="-3"/>
          <w:sz w:val="16"/>
        </w:rPr>
        <w:t>на 100 человек населения</w:t>
      </w:r>
      <w:r w:rsidRPr="0039330B">
        <w:rPr>
          <w:i w:val="0"/>
          <w:spacing w:val="-3"/>
          <w:sz w:val="16"/>
        </w:rPr>
        <w:t>.</w:t>
      </w:r>
      <w:r w:rsidRPr="0039330B">
        <w:rPr>
          <w:sz w:val="16"/>
        </w:rPr>
        <w:t xml:space="preserve"> </w:t>
      </w:r>
      <w:r w:rsidRPr="0039330B">
        <w:rPr>
          <w:i w:val="0"/>
          <w:spacing w:val="-3"/>
          <w:sz w:val="16"/>
        </w:rPr>
        <w:t xml:space="preserve">По странам СНГ показана обеспеченность населения телефонными аппаратами, исходя из </w:t>
      </w:r>
      <w:r w:rsidRPr="0039330B">
        <w:rPr>
          <w:i w:val="0"/>
          <w:spacing w:val="-5"/>
          <w:sz w:val="16"/>
        </w:rPr>
        <w:t xml:space="preserve">числа телефонных аппаратов телефонной сети общего пользования или имеющих на нее выход на 100 человек постоянного </w:t>
      </w:r>
      <w:r w:rsidRPr="0039330B">
        <w:rPr>
          <w:i w:val="0"/>
          <w:spacing w:val="-6"/>
          <w:sz w:val="16"/>
        </w:rPr>
        <w:t>населения.</w:t>
      </w:r>
    </w:p>
    <w:p w:rsidR="001B774E" w:rsidRPr="0039330B" w:rsidRDefault="001B774E" w:rsidP="00A645F6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 w:rsidRPr="0039330B">
        <w:rPr>
          <w:rFonts w:ascii="Arial" w:hAnsi="Arial"/>
          <w:sz w:val="16"/>
        </w:rPr>
        <w:t xml:space="preserve">Под </w:t>
      </w:r>
      <w:r w:rsidRPr="0039330B">
        <w:rPr>
          <w:rFonts w:ascii="Arial" w:hAnsi="Arial"/>
          <w:b/>
          <w:sz w:val="16"/>
        </w:rPr>
        <w:t>информационными и коммуникационными технологиями (ИКТ)</w:t>
      </w:r>
      <w:r w:rsidRPr="0039330B">
        <w:rPr>
          <w:rFonts w:ascii="Arial" w:hAnsi="Arial"/>
          <w:sz w:val="16"/>
        </w:rPr>
        <w:t xml:space="preserve"> понимаются технологии, использующие средства микроэлектроники для сбора, хранения, обработки, поиска, передачи и представления данных, текстов, образов </w:t>
      </w:r>
      <w:r w:rsidRPr="0039330B">
        <w:rPr>
          <w:rFonts w:ascii="Arial" w:hAnsi="Arial"/>
          <w:sz w:val="16"/>
        </w:rPr>
        <w:br/>
        <w:t>и звука.</w:t>
      </w:r>
    </w:p>
    <w:p w:rsidR="001B774E" w:rsidRPr="0039330B" w:rsidRDefault="001B774E" w:rsidP="00A645F6">
      <w:pPr>
        <w:pStyle w:val="1"/>
        <w:shd w:val="clear" w:color="auto" w:fill="FFFFFF"/>
        <w:ind w:firstLine="284"/>
        <w:jc w:val="both"/>
        <w:rPr>
          <w:i w:val="0"/>
          <w:spacing w:val="-2"/>
          <w:sz w:val="16"/>
        </w:rPr>
      </w:pPr>
      <w:r w:rsidRPr="0039330B">
        <w:rPr>
          <w:b/>
          <w:i w:val="0"/>
          <w:spacing w:val="-2"/>
          <w:sz w:val="16"/>
        </w:rPr>
        <w:t>Широкополосный доступ к сети Интернет</w:t>
      </w:r>
      <w:r w:rsidRPr="0039330B">
        <w:rPr>
          <w:i w:val="0"/>
          <w:spacing w:val="-2"/>
          <w:sz w:val="16"/>
        </w:rPr>
        <w:t xml:space="preserve"> – высокоскоростной доступ к сети Интернет, обеспечиваемый использованием расширенной полосы частот для передачи информации и позволяющий за единицу времени передавать большее количество информации. </w:t>
      </w:r>
      <w:proofErr w:type="gramStart"/>
      <w:r w:rsidRPr="0039330B">
        <w:rPr>
          <w:i w:val="0"/>
          <w:spacing w:val="-2"/>
          <w:sz w:val="16"/>
        </w:rPr>
        <w:t xml:space="preserve">Широкополосный доступ к сети Интернет определяется видом подключения и включает: </w:t>
      </w:r>
      <w:proofErr w:type="spellStart"/>
      <w:r w:rsidRPr="0039330B">
        <w:rPr>
          <w:i w:val="0"/>
          <w:spacing w:val="-2"/>
          <w:sz w:val="16"/>
        </w:rPr>
        <w:t>xDSL</w:t>
      </w:r>
      <w:proofErr w:type="spellEnd"/>
      <w:r w:rsidRPr="0039330B">
        <w:rPr>
          <w:i w:val="0"/>
          <w:spacing w:val="-2"/>
          <w:sz w:val="16"/>
        </w:rPr>
        <w:t>-технологии, подключение по сети кабельного телевидения, выделенные линии, подключение по оптоволоконным каналам, спутниковое подключение, расширенный фиксированный проводной и беспроводной доступ (</w:t>
      </w:r>
      <w:proofErr w:type="spellStart"/>
      <w:r w:rsidRPr="0039330B">
        <w:rPr>
          <w:i w:val="0"/>
          <w:spacing w:val="-2"/>
          <w:sz w:val="16"/>
        </w:rPr>
        <w:t>Wi</w:t>
      </w:r>
      <w:proofErr w:type="spellEnd"/>
      <w:r w:rsidRPr="0039330B">
        <w:rPr>
          <w:i w:val="0"/>
          <w:spacing w:val="-2"/>
          <w:sz w:val="16"/>
        </w:rPr>
        <w:t>-</w:t>
      </w:r>
      <w:r w:rsidRPr="0039330B">
        <w:rPr>
          <w:i w:val="0"/>
          <w:spacing w:val="-2"/>
          <w:sz w:val="16"/>
          <w:lang w:val="en-US"/>
        </w:rPr>
        <w:t>F</w:t>
      </w:r>
      <w:r w:rsidRPr="0039330B">
        <w:rPr>
          <w:i w:val="0"/>
          <w:spacing w:val="-2"/>
          <w:sz w:val="16"/>
        </w:rPr>
        <w:t>i подключение и др.), подключение по скоростным мобильным телефонным сетям и другие виды доступа с рекламируемой скоростью загрузки более или равной 256 Кбит/сек.</w:t>
      </w:r>
      <w:proofErr w:type="gramEnd"/>
    </w:p>
    <w:p w:rsidR="001B774E" w:rsidRPr="0039330B" w:rsidRDefault="001B774E" w:rsidP="00A645F6">
      <w:pPr>
        <w:pStyle w:val="1"/>
        <w:shd w:val="clear" w:color="auto" w:fill="FFFFFF"/>
        <w:ind w:firstLine="284"/>
        <w:jc w:val="both"/>
        <w:rPr>
          <w:i w:val="0"/>
          <w:spacing w:val="-2"/>
          <w:sz w:val="16"/>
        </w:rPr>
      </w:pPr>
      <w:r w:rsidRPr="0039330B">
        <w:rPr>
          <w:b/>
          <w:i w:val="0"/>
          <w:spacing w:val="-2"/>
          <w:sz w:val="16"/>
        </w:rPr>
        <w:t>Абоненты доступа к сети Интернет</w:t>
      </w:r>
      <w:r w:rsidRPr="0039330B">
        <w:rPr>
          <w:i w:val="0"/>
          <w:spacing w:val="-2"/>
          <w:sz w:val="16"/>
        </w:rPr>
        <w:t xml:space="preserve"> – физические/ юридические лица, заключившие договор/договоры на пользование услугами сети передачи данных. Число абонентов фиксированного и мобильного доступа к сети Интернет определяется на основании количества заключенных с физическими/ юридическими лицами договоров на конец отчетного периода.</w:t>
      </w:r>
    </w:p>
    <w:p w:rsidR="001B774E" w:rsidRPr="0039330B" w:rsidRDefault="001B774E" w:rsidP="00A645F6">
      <w:pPr>
        <w:pStyle w:val="1"/>
        <w:shd w:val="clear" w:color="auto" w:fill="FFFFFF"/>
        <w:ind w:firstLine="284"/>
        <w:jc w:val="both"/>
        <w:rPr>
          <w:i w:val="0"/>
          <w:spacing w:val="-4"/>
          <w:sz w:val="16"/>
        </w:rPr>
      </w:pPr>
      <w:r w:rsidRPr="0039330B">
        <w:rPr>
          <w:b/>
          <w:i w:val="0"/>
          <w:spacing w:val="-4"/>
          <w:sz w:val="16"/>
        </w:rPr>
        <w:t>Удельный вес населения, пользующегося сетью Интернет</w:t>
      </w:r>
      <w:r w:rsidRPr="0039330B">
        <w:rPr>
          <w:i w:val="0"/>
          <w:spacing w:val="-4"/>
          <w:sz w:val="16"/>
        </w:rPr>
        <w:t xml:space="preserve"> – доля физических лиц, пользовавшихся сетью Интернет в последние 3 месяца дома, на работе или в любом другом месте через любое электронное устройство, например, компьютер, мобильный телефон, телевизор и т.д. (по данным обследований). По большинству зарубежных стран приводится информация о населении в возрасте 16–74 лет; по России – за 2013–2016 гг. – </w:t>
      </w:r>
      <w:r w:rsidRPr="0039330B">
        <w:rPr>
          <w:i w:val="0"/>
          <w:spacing w:val="-4"/>
          <w:sz w:val="16"/>
        </w:rPr>
        <w:br/>
        <w:t xml:space="preserve">в возрасте 15–72 лет, </w:t>
      </w:r>
      <w:r w:rsidRPr="0039330B">
        <w:rPr>
          <w:i w:val="0"/>
          <w:spacing w:val="-4"/>
          <w:sz w:val="16"/>
          <w:lang w:val="en-US"/>
        </w:rPr>
        <w:t>c</w:t>
      </w:r>
      <w:r w:rsidRPr="0039330B">
        <w:rPr>
          <w:i w:val="0"/>
          <w:spacing w:val="-4"/>
          <w:sz w:val="16"/>
        </w:rPr>
        <w:t xml:space="preserve">  2017 г. – в возрасте 15–74 лет; по Беларуси – в возрасте 6–72 лет; по Азербайджану – в возрасте 7 лет и старше.</w:t>
      </w:r>
    </w:p>
    <w:p w:rsidR="001B774E" w:rsidRPr="0039330B" w:rsidRDefault="001B774E" w:rsidP="00A645F6">
      <w:pPr>
        <w:pStyle w:val="Default"/>
        <w:autoSpaceDE/>
        <w:autoSpaceDN/>
        <w:adjustRightInd/>
        <w:ind w:firstLine="284"/>
        <w:jc w:val="both"/>
        <w:rPr>
          <w:rFonts w:ascii="Arial" w:eastAsia="Calibri" w:hAnsi="Arial"/>
          <w:color w:val="auto"/>
          <w:sz w:val="16"/>
          <w:szCs w:val="20"/>
          <w:lang w:eastAsia="ru-RU"/>
        </w:rPr>
      </w:pPr>
      <w:r w:rsidRPr="0039330B">
        <w:rPr>
          <w:rFonts w:ascii="Arial" w:eastAsia="Calibri" w:hAnsi="Arial"/>
          <w:b/>
          <w:color w:val="auto"/>
          <w:sz w:val="16"/>
          <w:szCs w:val="20"/>
          <w:lang w:eastAsia="ru-RU"/>
        </w:rPr>
        <w:t xml:space="preserve">ERP-система – </w:t>
      </w:r>
      <w:r w:rsidRPr="0039330B">
        <w:rPr>
          <w:rFonts w:ascii="Arial" w:eastAsia="Calibri" w:hAnsi="Arial"/>
          <w:color w:val="auto"/>
          <w:sz w:val="16"/>
          <w:szCs w:val="20"/>
          <w:lang w:eastAsia="ru-RU"/>
        </w:rPr>
        <w:t xml:space="preserve">система планирования ресурсов организации, включающая одно или несколько программных приложений, которые позволяют интегрировать информацию и производственные процессы (функции) подразделений организации. </w:t>
      </w:r>
      <w:proofErr w:type="gramStart"/>
      <w:r w:rsidRPr="0039330B">
        <w:rPr>
          <w:rFonts w:ascii="Arial" w:eastAsia="Calibri" w:hAnsi="Arial"/>
          <w:color w:val="auto"/>
          <w:sz w:val="16"/>
          <w:szCs w:val="20"/>
          <w:lang w:eastAsia="ru-RU"/>
        </w:rPr>
        <w:t xml:space="preserve">ERP-система объединяет планирование, закупки, сбыт, маркетинг, взаимодействие </w:t>
      </w:r>
      <w:r>
        <w:rPr>
          <w:rFonts w:ascii="Arial" w:eastAsia="Calibri" w:hAnsi="Arial"/>
          <w:color w:val="auto"/>
          <w:sz w:val="16"/>
          <w:szCs w:val="20"/>
          <w:lang w:eastAsia="ru-RU"/>
        </w:rPr>
        <w:br/>
      </w:r>
      <w:r w:rsidRPr="0039330B">
        <w:rPr>
          <w:rFonts w:ascii="Arial" w:eastAsia="Calibri" w:hAnsi="Arial"/>
          <w:color w:val="auto"/>
          <w:sz w:val="16"/>
          <w:szCs w:val="20"/>
          <w:lang w:eastAsia="ru-RU"/>
        </w:rPr>
        <w:t>с заказчиками, финансы, кадровые ресурсы и т.п.</w:t>
      </w:r>
      <w:proofErr w:type="gramEnd"/>
    </w:p>
    <w:p w:rsidR="001B774E" w:rsidRPr="0039330B" w:rsidRDefault="001B774E" w:rsidP="00A645F6">
      <w:pPr>
        <w:pStyle w:val="Default"/>
        <w:widowControl w:val="0"/>
        <w:autoSpaceDE/>
        <w:autoSpaceDN/>
        <w:adjustRightInd/>
        <w:ind w:firstLine="284"/>
        <w:jc w:val="both"/>
        <w:rPr>
          <w:rFonts w:ascii="Arial" w:eastAsia="Times New Roman" w:hAnsi="Arial"/>
          <w:color w:val="auto"/>
          <w:sz w:val="16"/>
          <w:szCs w:val="20"/>
          <w:lang w:eastAsia="ru-RU"/>
        </w:rPr>
      </w:pPr>
      <w:r w:rsidRPr="0039330B">
        <w:rPr>
          <w:rFonts w:ascii="Arial" w:eastAsia="Times New Roman" w:hAnsi="Arial"/>
          <w:b/>
          <w:color w:val="auto"/>
          <w:sz w:val="16"/>
          <w:szCs w:val="20"/>
          <w:lang w:eastAsia="ru-RU"/>
        </w:rPr>
        <w:t>Интернет вещей</w:t>
      </w:r>
      <w:r w:rsidRPr="0039330B">
        <w:rPr>
          <w:rFonts w:ascii="Arial" w:eastAsia="Times New Roman" w:hAnsi="Arial"/>
          <w:color w:val="auto"/>
          <w:sz w:val="16"/>
          <w:szCs w:val="20"/>
          <w:lang w:eastAsia="ru-RU"/>
        </w:rPr>
        <w:t xml:space="preserve"> – совокупность объединенных в единую сеть устройств </w:t>
      </w:r>
      <w:r>
        <w:rPr>
          <w:rFonts w:ascii="Arial" w:eastAsia="Times New Roman" w:hAnsi="Arial"/>
          <w:color w:val="auto"/>
          <w:sz w:val="16"/>
          <w:szCs w:val="20"/>
          <w:lang w:eastAsia="ru-RU"/>
        </w:rPr>
        <w:br/>
      </w:r>
      <w:r w:rsidRPr="0039330B">
        <w:rPr>
          <w:rFonts w:ascii="Arial" w:eastAsia="Times New Roman" w:hAnsi="Arial"/>
          <w:color w:val="auto"/>
          <w:sz w:val="16"/>
          <w:szCs w:val="20"/>
          <w:lang w:eastAsia="ru-RU"/>
        </w:rPr>
        <w:t>или систем, которые осуществляют сбор и обмен данных и могут контролироваться удаленно через сеть Интернет с помощью программного обеспечения на любом типе компьютеров, смартфонов или через интерфейсы.</w:t>
      </w:r>
    </w:p>
    <w:p w:rsidR="001B774E" w:rsidRPr="0039330B" w:rsidRDefault="001B774E" w:rsidP="00A645F6">
      <w:pPr>
        <w:pStyle w:val="Default"/>
        <w:widowControl w:val="0"/>
        <w:autoSpaceDE/>
        <w:autoSpaceDN/>
        <w:adjustRightInd/>
        <w:ind w:firstLine="284"/>
        <w:jc w:val="both"/>
        <w:rPr>
          <w:rFonts w:ascii="Arial" w:eastAsia="Times New Roman" w:hAnsi="Arial"/>
          <w:color w:val="auto"/>
          <w:sz w:val="16"/>
          <w:szCs w:val="20"/>
          <w:lang w:eastAsia="ru-RU"/>
        </w:rPr>
      </w:pPr>
      <w:r w:rsidRPr="0039330B">
        <w:rPr>
          <w:rFonts w:ascii="Arial" w:eastAsia="Times New Roman" w:hAnsi="Arial"/>
          <w:b/>
          <w:color w:val="auto"/>
          <w:sz w:val="16"/>
          <w:szCs w:val="20"/>
          <w:lang w:eastAsia="ru-RU"/>
        </w:rPr>
        <w:t>Искусственный интеллект</w:t>
      </w:r>
      <w:r w:rsidRPr="0039330B">
        <w:rPr>
          <w:rFonts w:ascii="Arial" w:eastAsia="Times New Roman" w:hAnsi="Arial"/>
          <w:color w:val="auto"/>
          <w:sz w:val="16"/>
          <w:szCs w:val="20"/>
          <w:lang w:eastAsia="ru-RU"/>
        </w:rPr>
        <w:t xml:space="preserve"> – комплекс технологических решений, позволяющий имитировать когнитивные функции человека (включая самообучение и поиск решений без заранее заданного алгоритма) и получать при выполнении конкретных задач результаты, как минимум сопоставимые с результатами интеллектуальной деятельности человека.</w:t>
      </w:r>
    </w:p>
    <w:p w:rsidR="001B774E" w:rsidRPr="0039330B" w:rsidRDefault="001B774E" w:rsidP="00A645F6">
      <w:pPr>
        <w:pStyle w:val="1"/>
        <w:shd w:val="clear" w:color="auto" w:fill="FFFFFF"/>
        <w:ind w:firstLine="284"/>
        <w:jc w:val="both"/>
        <w:rPr>
          <w:i w:val="0"/>
          <w:spacing w:val="-2"/>
          <w:sz w:val="16"/>
        </w:rPr>
      </w:pPr>
      <w:r w:rsidRPr="0039330B">
        <w:rPr>
          <w:b/>
          <w:i w:val="0"/>
          <w:sz w:val="16"/>
        </w:rPr>
        <w:t>Организации, использовавшие «облачные» сервисы</w:t>
      </w:r>
      <w:r w:rsidRPr="0039330B">
        <w:rPr>
          <w:i w:val="0"/>
          <w:sz w:val="16"/>
        </w:rPr>
        <w:t xml:space="preserve"> – организации, использовавшие</w:t>
      </w:r>
      <w:r w:rsidRPr="0039330B">
        <w:rPr>
          <w:i w:val="0"/>
          <w:spacing w:val="-2"/>
          <w:sz w:val="16"/>
        </w:rPr>
        <w:t xml:space="preserve"> услуги сторонних организаций для получения доступа по глобальным </w:t>
      </w:r>
      <w:r w:rsidRPr="0039330B">
        <w:rPr>
          <w:i w:val="0"/>
          <w:spacing w:val="-2"/>
          <w:sz w:val="16"/>
        </w:rPr>
        <w:lastRenderedPageBreak/>
        <w:t>информационным сетям к программному обеспечению, вычислительным мощностям, хранилищам информации и другим информационным ресурсам.</w:t>
      </w:r>
    </w:p>
    <w:p w:rsidR="00485BAB" w:rsidRDefault="001B774E" w:rsidP="00A645F6">
      <w:pPr>
        <w:spacing w:after="0" w:line="240" w:lineRule="auto"/>
        <w:ind w:firstLine="284"/>
        <w:jc w:val="both"/>
      </w:pPr>
      <w:r w:rsidRPr="0039330B">
        <w:rPr>
          <w:rFonts w:ascii="Arial" w:hAnsi="Arial"/>
          <w:b/>
          <w:sz w:val="16"/>
        </w:rPr>
        <w:t>Организации, осуществлявшие онлайн-продажи товаров (работ, услуг)</w:t>
      </w:r>
      <w:r w:rsidRPr="0039330B">
        <w:rPr>
          <w:rFonts w:ascii="Arial" w:hAnsi="Arial"/>
          <w:sz w:val="16"/>
        </w:rPr>
        <w:t xml:space="preserve"> – </w:t>
      </w:r>
      <w:r w:rsidRPr="0039330B">
        <w:rPr>
          <w:rFonts w:ascii="Arial" w:hAnsi="Arial"/>
          <w:sz w:val="16"/>
        </w:rPr>
        <w:br/>
        <w:t>организации, осуществляющие продажу товаров (работ, услуг) по заказам, полученным в результате заполнения в интерактивном режиме формы, размещенной на веб-сайте, или с использованием другого специализированного программного обеспечения. Заказы, переданные в виде обычного сообщения электронной почты, не учи</w:t>
      </w:r>
      <w:bookmarkEnd w:id="0"/>
      <w:r w:rsidRPr="0039330B">
        <w:rPr>
          <w:rFonts w:ascii="Arial" w:hAnsi="Arial"/>
          <w:sz w:val="16"/>
        </w:rPr>
        <w:t>тываются.</w:t>
      </w:r>
    </w:p>
    <w:sectPr w:rsidR="00485BAB" w:rsidSect="001B774E">
      <w:pgSz w:w="11906" w:h="16838"/>
      <w:pgMar w:top="3657" w:right="2637" w:bottom="3657" w:left="26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19"/>
    <w:rsid w:val="0007182A"/>
    <w:rsid w:val="001B774E"/>
    <w:rsid w:val="00485BAB"/>
    <w:rsid w:val="00A645F6"/>
    <w:rsid w:val="00EA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774E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paragraph" w:customStyle="1" w:styleId="Default">
    <w:name w:val="Default"/>
    <w:rsid w:val="001B7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774E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paragraph" w:customStyle="1" w:styleId="Default">
    <w:name w:val="Default"/>
    <w:rsid w:val="001B7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Крыжановская Алёна Владимировна</dc:creator>
  <cp:keywords/>
  <dc:description/>
  <cp:lastModifiedBy>user</cp:lastModifiedBy>
  <cp:revision>4</cp:revision>
  <dcterms:created xsi:type="dcterms:W3CDTF">2024-04-19T09:04:00Z</dcterms:created>
  <dcterms:modified xsi:type="dcterms:W3CDTF">2024-04-26T11:42:00Z</dcterms:modified>
</cp:coreProperties>
</file>