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bookmarkStart w:id="0" w:name="_GoBack"/>
      <w:bookmarkEnd w:id="0"/>
      <w:r w:rsidRPr="008570DE">
        <w:rPr>
          <w:b/>
          <w:bCs/>
          <w:szCs w:val="20"/>
        </w:rPr>
        <w:t>МИНЭКОНОМРАЗВИТИЯ РОССИИ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ФЕДЕРАЛЬНАЯ СЛУЖБА ГОСУДАРСТВЕННОЙ СТАТИСТИКИ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8570DE">
        <w:rPr>
          <w:b/>
          <w:szCs w:val="20"/>
        </w:rPr>
        <w:t>(Росстат)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8570DE" w:rsidRPr="008570DE" w:rsidRDefault="008570DE" w:rsidP="008570DE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8570DE">
        <w:rPr>
          <w:b/>
          <w:bCs/>
          <w:iCs/>
          <w:sz w:val="32"/>
        </w:rPr>
        <w:t>П</w:t>
      </w:r>
      <w:proofErr w:type="gramEnd"/>
      <w:r w:rsidRPr="008570DE">
        <w:rPr>
          <w:b/>
          <w:bCs/>
          <w:iCs/>
          <w:sz w:val="32"/>
        </w:rPr>
        <w:t xml:space="preserve"> Р И К А З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AF37A3" w:rsidP="008570DE">
      <w:pPr>
        <w:autoSpaceDE/>
        <w:autoSpaceDN/>
        <w:adjustRightInd/>
        <w:ind w:firstLine="0"/>
        <w:jc w:val="left"/>
        <w:rPr>
          <w:szCs w:val="20"/>
        </w:rPr>
      </w:pPr>
      <w:r>
        <w:rPr>
          <w:b/>
          <w:u w:val="single"/>
        </w:rPr>
        <w:t>30</w:t>
      </w:r>
      <w:r w:rsidR="008570DE" w:rsidRPr="008570DE">
        <w:rPr>
          <w:b/>
          <w:u w:val="single"/>
        </w:rPr>
        <w:t xml:space="preserve"> июля 2021 г.</w:t>
      </w:r>
      <w:r w:rsidR="008570DE" w:rsidRPr="008570DE">
        <w:t xml:space="preserve">                                  Москва                                                </w:t>
      </w:r>
      <w:r w:rsidR="008570DE" w:rsidRPr="008570DE">
        <w:rPr>
          <w:b/>
          <w:u w:val="single"/>
        </w:rPr>
        <w:t>№ 4</w:t>
      </w:r>
      <w:r w:rsidR="00AB0293">
        <w:rPr>
          <w:b/>
          <w:u w:val="single"/>
          <w:lang w:val="en-US"/>
        </w:rPr>
        <w:t>58</w:t>
      </w:r>
      <w:r w:rsidR="008570DE" w:rsidRPr="008570DE">
        <w:rPr>
          <w:szCs w:val="20"/>
        </w:rPr>
        <w:t xml:space="preserve"> </w:t>
      </w:r>
    </w:p>
    <w:p w:rsidR="008570DE" w:rsidRDefault="008570DE">
      <w:pPr>
        <w:rPr>
          <w:lang w:val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570DE" w:rsidTr="00C25CCF">
        <w:sdt>
          <w:sdtPr>
            <w:rPr>
              <w:b/>
            </w:rPr>
            <w:id w:val="-850257493"/>
            <w:placeholder>
              <w:docPart w:val="0E3AA6E1A1374001AB6F42B42BCFEAE4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8570DE" w:rsidRPr="002C68AD" w:rsidRDefault="00AB0293" w:rsidP="00AB0293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 w:rsidRPr="00ED5D68">
                  <w:rPr>
                    <w:b/>
                  </w:rPr>
                  <w:t xml:space="preserve">Об утверждении форм федерального  статистического наблюдения для организации федерального статистического наблюдения за внутренней </w:t>
                </w:r>
                <w:r>
                  <w:rPr>
                    <w:b/>
                  </w:rPr>
                  <w:br/>
                </w:r>
                <w:r w:rsidRPr="00ED5D68">
                  <w:rPr>
                    <w:b/>
                  </w:rPr>
                  <w:t xml:space="preserve">и внешней торговлей, платными услугами населению, транспортом </w:t>
                </w:r>
                <w:r>
                  <w:rPr>
                    <w:b/>
                  </w:rPr>
                  <w:br/>
                </w:r>
                <w:r w:rsidRPr="00ED5D68">
                  <w:rPr>
                    <w:b/>
                  </w:rPr>
                  <w:t>и административными правонарушениями в сфере экономики</w:t>
                </w:r>
              </w:p>
            </w:tc>
          </w:sdtContent>
        </w:sdt>
      </w:tr>
    </w:tbl>
    <w:p w:rsidR="00AB0293" w:rsidRPr="000B7826" w:rsidRDefault="00AB0293" w:rsidP="00AB0293">
      <w:pPr>
        <w:autoSpaceDE/>
        <w:autoSpaceDN/>
        <w:adjustRightInd/>
        <w:spacing w:line="312" w:lineRule="auto"/>
      </w:pPr>
      <w:r w:rsidRPr="000B7826"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0B7826">
          <w:t>2008 г</w:t>
        </w:r>
      </w:smartTag>
      <w:r w:rsidRPr="000B7826">
        <w:t>. № 420, и во исполнение раздела 1.1 Федерального плана статистических работ, утвержденного распоряжением Правительства Российской Федерации от 6 мая 2008 г. № 671-р,</w:t>
      </w:r>
      <w:r w:rsidRPr="000B7826">
        <w:rPr>
          <w:b/>
          <w:bCs/>
          <w:spacing w:val="40"/>
        </w:rPr>
        <w:t xml:space="preserve"> </w:t>
      </w:r>
      <w:r w:rsidRPr="000B7826">
        <w:rPr>
          <w:bCs/>
          <w:spacing w:val="40"/>
        </w:rPr>
        <w:t>приказыва</w:t>
      </w:r>
      <w:r w:rsidRPr="000B7826">
        <w:rPr>
          <w:bCs/>
        </w:rPr>
        <w:t>ю</w:t>
      </w:r>
      <w:r w:rsidRPr="000B7826">
        <w:t>: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1.</w:t>
      </w:r>
      <w:r w:rsidRPr="000B7826">
        <w:rPr>
          <w:lang w:val="en-US"/>
        </w:rPr>
        <w:t> </w:t>
      </w:r>
      <w:r w:rsidRPr="000B7826"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AB0293" w:rsidRPr="000B7826" w:rsidRDefault="00AB0293" w:rsidP="00AB0293">
      <w:pPr>
        <w:spacing w:line="312" w:lineRule="auto"/>
      </w:pPr>
      <w:proofErr w:type="gramStart"/>
      <w:r w:rsidRPr="000B7826">
        <w:t>годовые</w:t>
      </w:r>
      <w:proofErr w:type="gramEnd"/>
      <w:r w:rsidRPr="000B7826">
        <w:t xml:space="preserve"> с отчета за 2021 год:</w:t>
      </w:r>
    </w:p>
    <w:p w:rsidR="00AB0293" w:rsidRPr="000B7826" w:rsidRDefault="00AB0293" w:rsidP="00AB0293">
      <w:pPr>
        <w:autoSpaceDE/>
        <w:autoSpaceDN/>
        <w:adjustRightInd/>
        <w:spacing w:line="312" w:lineRule="auto"/>
      </w:pPr>
      <w:r w:rsidRPr="000B7826">
        <w:t xml:space="preserve">№ 1-ТОРГ «Сведения о продаже товаров организациями оптовой </w:t>
      </w:r>
      <w:r w:rsidRPr="000B7826">
        <w:br/>
        <w:t>и розничной торговли» (приложение № 1);</w:t>
      </w:r>
    </w:p>
    <w:p w:rsidR="00AB0293" w:rsidRPr="000B7826" w:rsidRDefault="00AB0293" w:rsidP="00AB0293">
      <w:pPr>
        <w:autoSpaceDE/>
        <w:autoSpaceDN/>
        <w:adjustRightInd/>
        <w:spacing w:line="312" w:lineRule="auto"/>
      </w:pPr>
      <w:r w:rsidRPr="000B7826">
        <w:t>№ 2-кооператив «Сведения о деятельности снабженческо-сбытовых сельскохозяйственных потребительских кооперативов» (приложение № 2);</w:t>
      </w:r>
    </w:p>
    <w:p w:rsidR="00AB0293" w:rsidRPr="000B7826" w:rsidRDefault="00AB0293" w:rsidP="00AB0293">
      <w:pPr>
        <w:autoSpaceDE/>
        <w:autoSpaceDN/>
        <w:adjustRightInd/>
        <w:spacing w:line="312" w:lineRule="auto"/>
      </w:pPr>
      <w:r w:rsidRPr="000B7826">
        <w:t xml:space="preserve">№ 2-ХО «Сведения о производстве и потреблении подлежащих объявлению и контролю токсичных химикатов Списков 2 и 3 Приложения </w:t>
      </w:r>
      <w:r w:rsidRPr="000B7826">
        <w:br/>
        <w:t>по химикатам к Конвенции о запрещении разработки, производства, накопления и применения химического оружия и о его уничтожении» (приложение № 3);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14-МЕТ (лом) «Сведения об образовании и использовании лома черных и цветных металлов» (приложение № 4);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lastRenderedPageBreak/>
        <w:t xml:space="preserve">№ 1-лицензия «Сведения о коммерческом обмене технологиями </w:t>
      </w:r>
      <w:r w:rsidRPr="000B7826">
        <w:br/>
        <w:t>с зарубежными странами (партнерами)» (приложение № 5);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1-РЖД (</w:t>
      </w:r>
      <w:proofErr w:type="spellStart"/>
      <w:r w:rsidRPr="000B7826">
        <w:t>жел</w:t>
      </w:r>
      <w:proofErr w:type="spellEnd"/>
      <w:r w:rsidRPr="000B7826">
        <w:t>) «Основные показатели деятельности железнодорожного транспорта общего пользования» (приложение № 6);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1-услуги «Сведения об объеме платных услуг населению» (приложение № 7);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 xml:space="preserve">№ 1-АЭ «Сведения об административных правонарушениях в сфере экономики» (приложение № 8); </w:t>
      </w:r>
    </w:p>
    <w:p w:rsidR="00AB0293" w:rsidRPr="000B7826" w:rsidRDefault="00AB0293" w:rsidP="00AB0293">
      <w:pPr>
        <w:suppressAutoHyphens/>
        <w:spacing w:line="312" w:lineRule="auto"/>
      </w:pPr>
      <w:proofErr w:type="gramStart"/>
      <w:r w:rsidRPr="000B7826">
        <w:t>годовая</w:t>
      </w:r>
      <w:proofErr w:type="gramEnd"/>
      <w:r w:rsidRPr="000B7826">
        <w:t xml:space="preserve"> с отчета за 2022 год: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 1-ИП (торговля) «Сведения о деятельности индивидуального предпринимателя в розничной торговле» (приложение № 9);</w:t>
      </w:r>
    </w:p>
    <w:p w:rsidR="00AB0293" w:rsidRPr="000B7826" w:rsidRDefault="00AB0293" w:rsidP="00AB0293">
      <w:pPr>
        <w:suppressAutoHyphens/>
        <w:spacing w:line="312" w:lineRule="auto"/>
      </w:pPr>
      <w:proofErr w:type="gramStart"/>
      <w:r w:rsidRPr="000B7826">
        <w:t>годовая</w:t>
      </w:r>
      <w:proofErr w:type="gramEnd"/>
      <w:r w:rsidRPr="000B7826">
        <w:t xml:space="preserve"> с отчета по состоянию на 1 января 2022 года:</w:t>
      </w:r>
    </w:p>
    <w:p w:rsidR="00AB0293" w:rsidRPr="000B7826" w:rsidRDefault="00AB0293" w:rsidP="00AB0293">
      <w:pPr>
        <w:suppressAutoHyphens/>
        <w:spacing w:line="312" w:lineRule="auto"/>
        <w:ind w:firstLine="0"/>
      </w:pPr>
      <w:r w:rsidRPr="000B7826">
        <w:t xml:space="preserve">         № 3-ДГ (</w:t>
      </w:r>
      <w:proofErr w:type="spellStart"/>
      <w:r w:rsidRPr="000B7826">
        <w:t>мо</w:t>
      </w:r>
      <w:proofErr w:type="spellEnd"/>
      <w:r w:rsidRPr="000B7826">
        <w:t xml:space="preserve">) «Сведения об автомобильных дорогах общего пользования местного значения и искусственных сооружениях на них» </w:t>
      </w:r>
      <w:r w:rsidRPr="000B7826">
        <w:br/>
        <w:t>(приложение № 10);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квартальные с отчета за I квартал 2022 года: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3-ярмарка «Сведения о числе торговых мест на ярмарках» (приложение № 11);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 xml:space="preserve">№ 1-конъюнктура «Обследование конъюнктуры и деловой активности  </w:t>
      </w:r>
      <w:r w:rsidRPr="00B668B2">
        <w:br/>
      </w:r>
      <w:r w:rsidRPr="000B7826">
        <w:t>в розничной торговле» (приложение № 12);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1-конъюктура (опт) «Обследование конъюнктуры и деловой активности в оптовой торговле» (приложение № 13);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 xml:space="preserve">№ 1-вывоз «Сведения о продаже (отгрузке) продукции (товаров) </w:t>
      </w:r>
      <w:r w:rsidRPr="000B7826">
        <w:br/>
        <w:t>по месту нахождения покупателей (грузополучателей)» (приложение № 14);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 1-ДА (услуги) «Обследование деловой активности в сфере услуг» (приложение № 15);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 Б-1 «Блокнот регистрации объемов продажи товаров на розничном рынке» (приложение № 16);</w:t>
      </w:r>
    </w:p>
    <w:p w:rsidR="00AB0293" w:rsidRPr="000B7826" w:rsidRDefault="00AB0293" w:rsidP="00AB0293">
      <w:pPr>
        <w:suppressAutoHyphens/>
        <w:spacing w:line="312" w:lineRule="auto"/>
      </w:pPr>
      <w:proofErr w:type="gramStart"/>
      <w:r w:rsidRPr="000B7826">
        <w:t>квартальная</w:t>
      </w:r>
      <w:proofErr w:type="gramEnd"/>
      <w:r w:rsidRPr="000B7826">
        <w:t xml:space="preserve"> с отчета по состоянию на 1 января 2022 года: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 xml:space="preserve">№ 3-рынок «Сведения о числе торговых мест на рынках» </w:t>
      </w:r>
      <w:r w:rsidRPr="000B7826">
        <w:br/>
        <w:t>(приложение № 17);</w:t>
      </w:r>
    </w:p>
    <w:p w:rsidR="00AB0293" w:rsidRPr="000B7826" w:rsidRDefault="00AB0293" w:rsidP="00AB0293">
      <w:pPr>
        <w:suppressAutoHyphens/>
        <w:spacing w:line="312" w:lineRule="auto"/>
      </w:pPr>
      <w:proofErr w:type="gramStart"/>
      <w:r w:rsidRPr="000B7826">
        <w:t>квартальная</w:t>
      </w:r>
      <w:proofErr w:type="gramEnd"/>
      <w:r w:rsidRPr="000B7826">
        <w:t xml:space="preserve"> с отчета за январь – март  2022 года: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№ 3-ТОРГ (ПМ) «Сведения об обороте розничной торговли малого предприятия» (приложение № 18);</w:t>
      </w:r>
    </w:p>
    <w:p w:rsidR="00AB0293" w:rsidRPr="000B7826" w:rsidRDefault="00AB0293" w:rsidP="00AB0293">
      <w:pPr>
        <w:shd w:val="clear" w:color="auto" w:fill="FFFFFF"/>
        <w:spacing w:line="312" w:lineRule="auto"/>
        <w:rPr>
          <w:color w:val="000000"/>
        </w:rPr>
      </w:pPr>
      <w:r w:rsidRPr="000B7826">
        <w:rPr>
          <w:color w:val="000000"/>
        </w:rPr>
        <w:t>месячные с отчета за январь  2022 года: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rPr>
          <w:color w:val="000000"/>
        </w:rPr>
        <w:lastRenderedPageBreak/>
        <w:t xml:space="preserve">№ 4-запасы «Сведения о запасах топлива» </w:t>
      </w:r>
      <w:r w:rsidRPr="000B7826">
        <w:t>(приложение № 19);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>№ ПМ-торг «Сведения об обороте оптовой торговли малого предприятия» (приложение № 20);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 xml:space="preserve">№ 8-ВЭС-бункер «Сведения об экспорте (импорте) бункерного топлива </w:t>
      </w:r>
      <w:r w:rsidRPr="00B668B2">
        <w:br/>
      </w:r>
      <w:r w:rsidRPr="000B7826">
        <w:t xml:space="preserve">и других товаров, необходимых для эксплуатации транспортных средств </w:t>
      </w:r>
      <w:r w:rsidRPr="000B7826">
        <w:br/>
        <w:t>и обеспечения жизнедеятельности экипажей» (приложение № 21);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 xml:space="preserve">№ 8-ВЭС-рыба «Сведения об экспорте рыбы, рыбопродуктов </w:t>
      </w:r>
      <w:r w:rsidRPr="000B7826">
        <w:br/>
        <w:t>и морепродуктов» (приложение № 22);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>№ 2-РЖД (</w:t>
      </w:r>
      <w:proofErr w:type="spellStart"/>
      <w:r w:rsidRPr="000B7826">
        <w:t>жел</w:t>
      </w:r>
      <w:proofErr w:type="spellEnd"/>
      <w:r w:rsidRPr="000B7826">
        <w:t xml:space="preserve">) «Сведения о перевозочной деятельности </w:t>
      </w:r>
      <w:r w:rsidRPr="000B7826">
        <w:br/>
        <w:t>на железнодорожном транспорте общего пользования» (приложение № 23);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>№ 2-ТР (труб) «Сведения о магистральном нефтепроводном транспорте» (приложение № 24);</w:t>
      </w:r>
    </w:p>
    <w:p w:rsidR="00AB0293" w:rsidRPr="000B7826" w:rsidRDefault="00AB0293" w:rsidP="00AB0293">
      <w:pPr>
        <w:shd w:val="clear" w:color="auto" w:fill="FFFFFF"/>
        <w:spacing w:line="312" w:lineRule="auto"/>
      </w:pPr>
      <w:r w:rsidRPr="000B7826">
        <w:t>№ </w:t>
      </w:r>
      <w:proofErr w:type="gramStart"/>
      <w:r w:rsidRPr="000B7826">
        <w:t>П</w:t>
      </w:r>
      <w:proofErr w:type="gramEnd"/>
      <w:r w:rsidRPr="000B7826">
        <w:t xml:space="preserve"> (услуги) «Сведения об объеме платных услуг населению </w:t>
      </w:r>
      <w:r w:rsidRPr="000B7826">
        <w:br/>
        <w:t>по видам» (приложение № 25).</w:t>
      </w:r>
    </w:p>
    <w:p w:rsidR="00AB0293" w:rsidRPr="000B7826" w:rsidRDefault="00AB0293" w:rsidP="00AB0293">
      <w:pPr>
        <w:spacing w:line="360" w:lineRule="auto"/>
      </w:pPr>
      <w:r w:rsidRPr="000B7826"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B668B2">
        <w:br/>
      </w:r>
      <w:r w:rsidRPr="000B7826">
        <w:t>в сроки и с периодичностью, которые указаны на бланках этих форм.</w:t>
      </w:r>
    </w:p>
    <w:p w:rsidR="00AB0293" w:rsidRPr="000B7826" w:rsidRDefault="00AB0293" w:rsidP="00AB0293">
      <w:pPr>
        <w:autoSpaceDE/>
        <w:autoSpaceDN/>
        <w:adjustRightInd/>
        <w:spacing w:line="312" w:lineRule="auto"/>
        <w:rPr>
          <w:bCs/>
        </w:rPr>
      </w:pPr>
      <w:r w:rsidRPr="000B7826">
        <w:rPr>
          <w:color w:val="000000"/>
        </w:rPr>
        <w:t>3.</w:t>
      </w:r>
      <w:r w:rsidRPr="000B7826">
        <w:rPr>
          <w:lang w:val="en-US"/>
        </w:rPr>
        <w:t> </w:t>
      </w:r>
      <w:r w:rsidRPr="000B7826">
        <w:t>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26.</w:t>
      </w:r>
    </w:p>
    <w:p w:rsidR="00AB0293" w:rsidRPr="000B7826" w:rsidRDefault="00AB0293" w:rsidP="00AB0293">
      <w:pPr>
        <w:suppressAutoHyphens/>
        <w:autoSpaceDE/>
        <w:autoSpaceDN/>
        <w:adjustRightInd/>
        <w:spacing w:line="312" w:lineRule="auto"/>
        <w:rPr>
          <w:bCs/>
        </w:rPr>
      </w:pPr>
      <w:r w:rsidRPr="000B7826">
        <w:t xml:space="preserve">4. </w:t>
      </w:r>
      <w:r w:rsidRPr="000B7826">
        <w:rPr>
          <w:bCs/>
        </w:rPr>
        <w:t xml:space="preserve">Признать утратившими силу с отчета за </w:t>
      </w:r>
      <w:r w:rsidRPr="000B7826">
        <w:rPr>
          <w:bCs/>
          <w:lang w:val="en-US"/>
        </w:rPr>
        <w:t>I</w:t>
      </w:r>
      <w:r w:rsidRPr="000B7826">
        <w:rPr>
          <w:bCs/>
        </w:rPr>
        <w:t xml:space="preserve"> квартал 2022 года:</w:t>
      </w:r>
    </w:p>
    <w:p w:rsidR="00AB0293" w:rsidRPr="000B7826" w:rsidRDefault="00AB0293" w:rsidP="00AB0293">
      <w:pPr>
        <w:suppressAutoHyphens/>
        <w:autoSpaceDE/>
        <w:autoSpaceDN/>
        <w:adjustRightInd/>
        <w:spacing w:line="312" w:lineRule="auto"/>
      </w:pPr>
      <w:r w:rsidRPr="000B7826">
        <w:t>«</w:t>
      </w:r>
      <w:r w:rsidRPr="000B7826">
        <w:rPr>
          <w:bCs/>
        </w:rPr>
        <w:t xml:space="preserve">Форма федерального статистического наблюдения </w:t>
      </w:r>
      <w:r w:rsidRPr="000B7826">
        <w:t>№ Б-1в "Блокнот регистрации объемов продажи товаров на специализированном розничном рынке (вещевой рынок)"»;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«</w:t>
      </w:r>
      <w:r w:rsidRPr="000B7826">
        <w:rPr>
          <w:bCs/>
        </w:rPr>
        <w:t xml:space="preserve">Форма федерального статистического наблюдения </w:t>
      </w:r>
      <w:r w:rsidRPr="000B7826">
        <w:t>№ Б-1п "Блокнот регистрации объемов продажи товаров на специализированном розничном рынке (продовольственный рынок)"»;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«</w:t>
      </w:r>
      <w:r w:rsidRPr="000B7826">
        <w:rPr>
          <w:bCs/>
        </w:rPr>
        <w:t xml:space="preserve">Форма федерального статистического наблюдения </w:t>
      </w:r>
      <w:r w:rsidRPr="000B7826">
        <w:t>№ Б-1с "Блокнот регистрации объемов продажи товаров на универсальном розничном рынке"»;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t>«</w:t>
      </w:r>
      <w:r w:rsidRPr="000B7826">
        <w:rPr>
          <w:bCs/>
        </w:rPr>
        <w:t xml:space="preserve">Форма федерального статистического наблюдения </w:t>
      </w:r>
      <w:r w:rsidRPr="000B7826">
        <w:t>№ Б-1 сельхоз "Блокнот регистрации объемов продажи товаров на специализированном розничном рынке (сельскохозяйственный рынок)"»;</w:t>
      </w:r>
    </w:p>
    <w:p w:rsidR="00AB0293" w:rsidRPr="000B7826" w:rsidRDefault="00AB0293" w:rsidP="00AB0293">
      <w:pPr>
        <w:suppressAutoHyphens/>
        <w:spacing w:line="312" w:lineRule="auto"/>
      </w:pPr>
      <w:r w:rsidRPr="000B7826">
        <w:lastRenderedPageBreak/>
        <w:t>«</w:t>
      </w:r>
      <w:r w:rsidRPr="000B7826">
        <w:rPr>
          <w:bCs/>
        </w:rPr>
        <w:t xml:space="preserve">Форма федерального статистического наблюдения </w:t>
      </w:r>
      <w:r w:rsidRPr="000B7826">
        <w:t xml:space="preserve">№ Б-1 строй "Блокнот регистрации объемов продажи товаров на специализированном розничном рынке (рынок строительных материалов)"», утвержденные приказом Росстата от 20 августа 2009 г. № 179 «Об утверждении статистического инструментария для организации федерального статистического наблюдения </w:t>
      </w:r>
      <w:r w:rsidRPr="00B668B2">
        <w:br/>
      </w:r>
      <w:r w:rsidRPr="000B7826">
        <w:t xml:space="preserve">за внутренней и внешней торговлей». </w:t>
      </w: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Pr="00AF37A3" w:rsidRDefault="008570DE" w:rsidP="00AF37A3">
      <w:pPr>
        <w:widowControl w:val="0"/>
        <w:spacing w:line="348" w:lineRule="auto"/>
        <w:ind w:firstLine="0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 CYR" w:hAnsi="Times New Roman CYR" w:cs="Times New Roman CYR"/>
        </w:rPr>
        <w:t>П.В. Малков</w:t>
      </w:r>
    </w:p>
    <w:sectPr w:rsidR="008570DE" w:rsidRPr="00AF37A3" w:rsidSect="00857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E"/>
    <w:rsid w:val="00575DCD"/>
    <w:rsid w:val="008570DE"/>
    <w:rsid w:val="0087648C"/>
    <w:rsid w:val="00AB0293"/>
    <w:rsid w:val="00AF37A3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A6E1A1374001AB6F42B42BCF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0F3D-0B6F-4F0E-BE6D-E34653ACB6C6}"/>
      </w:docPartPr>
      <w:docPartBody>
        <w:p w:rsidR="000D395B" w:rsidRDefault="00FD6FEA" w:rsidP="00FD6FEA">
          <w:pPr>
            <w:pStyle w:val="0E3AA6E1A1374001AB6F42B42BCFEAE4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A"/>
    <w:rsid w:val="000D395B"/>
    <w:rsid w:val="0028133E"/>
    <w:rsid w:val="002F39FC"/>
    <w:rsid w:val="005C5773"/>
    <w:rsid w:val="00602516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2</cp:revision>
  <dcterms:created xsi:type="dcterms:W3CDTF">2021-08-13T06:16:00Z</dcterms:created>
  <dcterms:modified xsi:type="dcterms:W3CDTF">2021-08-13T06:16:00Z</dcterms:modified>
</cp:coreProperties>
</file>