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a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Цель</w:t>
      </w:r>
    </w:p>
    <w:p w:rsidR="00780F08" w:rsidRPr="00BD29EC" w:rsidRDefault="00780F08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Цель 1</w:t>
      </w:r>
      <w:r w:rsidR="00766D53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3</w:t>
      </w:r>
      <w:r w:rsidRPr="00BD29EC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: </w:t>
      </w:r>
      <w:r w:rsidR="00766D53" w:rsidRPr="00766D53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Принятие срочных мер по борьбе с изменением климата и его последствиями</w:t>
      </w:r>
      <w:r w:rsidR="000E54FE" w:rsidRPr="00766D53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b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Задача</w:t>
      </w:r>
    </w:p>
    <w:p w:rsidR="00781DE7" w:rsidRDefault="00780F08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9EC">
        <w:rPr>
          <w:rFonts w:ascii="Times New Roman" w:hAnsi="Times New Roman" w:cs="Times New Roman"/>
          <w:sz w:val="24"/>
          <w:szCs w:val="24"/>
        </w:rPr>
        <w:t>1</w:t>
      </w:r>
      <w:r w:rsidR="00766D53">
        <w:rPr>
          <w:rFonts w:ascii="Times New Roman" w:hAnsi="Times New Roman" w:cs="Times New Roman"/>
          <w:sz w:val="24"/>
          <w:szCs w:val="24"/>
        </w:rPr>
        <w:t>3</w:t>
      </w:r>
      <w:r w:rsidRPr="00BD29EC">
        <w:rPr>
          <w:rFonts w:ascii="Times New Roman" w:hAnsi="Times New Roman" w:cs="Times New Roman"/>
          <w:sz w:val="24"/>
          <w:szCs w:val="24"/>
        </w:rPr>
        <w:t>.</w:t>
      </w:r>
      <w:r w:rsidR="00766D53">
        <w:rPr>
          <w:rFonts w:ascii="Times New Roman" w:hAnsi="Times New Roman" w:cs="Times New Roman"/>
          <w:sz w:val="24"/>
          <w:szCs w:val="24"/>
        </w:rPr>
        <w:t>1</w:t>
      </w:r>
      <w:r w:rsidRPr="00BD29EC">
        <w:rPr>
          <w:rFonts w:ascii="Times New Roman" w:hAnsi="Times New Roman" w:cs="Times New Roman"/>
          <w:sz w:val="24"/>
          <w:szCs w:val="24"/>
        </w:rPr>
        <w:t xml:space="preserve">. </w:t>
      </w:r>
      <w:r w:rsidR="00766D53" w:rsidRPr="00766D53">
        <w:rPr>
          <w:rFonts w:ascii="Times New Roman" w:hAnsi="Times New Roman" w:cs="Times New Roman"/>
          <w:sz w:val="24"/>
          <w:szCs w:val="24"/>
        </w:rPr>
        <w:t>Повысить сопротивляемость и способность адаптироваться к опасным климатическим явлениям и стихийным бедствиям во всех странах</w:t>
      </w:r>
      <w:r w:rsidR="00766D53">
        <w:rPr>
          <w:rFonts w:ascii="Times New Roman" w:hAnsi="Times New Roman" w:cs="Times New Roman"/>
          <w:sz w:val="24"/>
          <w:szCs w:val="24"/>
        </w:rPr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9EC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0E54FE">
        <w:rPr>
          <w:rFonts w:ascii="Times New Roman" w:hAnsi="Times New Roman" w:cs="Times New Roman"/>
          <w:sz w:val="24"/>
          <w:szCs w:val="24"/>
        </w:rPr>
        <w:t>1</w:t>
      </w:r>
      <w:r w:rsidR="00766D53">
        <w:rPr>
          <w:rFonts w:ascii="Times New Roman" w:hAnsi="Times New Roman" w:cs="Times New Roman"/>
          <w:sz w:val="24"/>
          <w:szCs w:val="24"/>
        </w:rPr>
        <w:t>3</w:t>
      </w:r>
      <w:r w:rsidR="00780F08" w:rsidRPr="00BD29EC">
        <w:rPr>
          <w:rFonts w:ascii="Times New Roman" w:hAnsi="Times New Roman" w:cs="Times New Roman"/>
          <w:sz w:val="24"/>
          <w:szCs w:val="24"/>
        </w:rPr>
        <w:t>.</w:t>
      </w:r>
      <w:r w:rsidR="00766D5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780F08" w:rsidRPr="00BD29EC">
        <w:rPr>
          <w:rFonts w:ascii="Times New Roman" w:hAnsi="Times New Roman" w:cs="Times New Roman"/>
          <w:sz w:val="24"/>
          <w:szCs w:val="24"/>
        </w:rPr>
        <w:t xml:space="preserve">.1 </w:t>
      </w:r>
      <w:r w:rsidR="00DA19D7" w:rsidRPr="00DA19D7">
        <w:rPr>
          <w:rFonts w:ascii="Times New Roman" w:hAnsi="Times New Roman" w:cs="Times New Roman"/>
          <w:sz w:val="24"/>
          <w:szCs w:val="24"/>
        </w:rPr>
        <w:t>Число погибших, пропавших без вести и пострадавших непосредственно в результате бедствий на 100 000 человек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d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</w:t>
      </w:r>
      <w:r w:rsidR="00291FA0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Ряд</w:t>
      </w:r>
    </w:p>
    <w:p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e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Обновление данных </w:t>
      </w:r>
    </w:p>
    <w:p w:rsidR="00DA19D7" w:rsidRDefault="00DA19D7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DA19D7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2018-03-01 </w:t>
      </w:r>
    </w:p>
    <w:p w:rsidR="00C8596F" w:rsidRPr="00DA19D7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f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Связанные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 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показатели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 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g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DA19D7" w:rsidRPr="00DA19D7" w:rsidRDefault="00DA19D7" w:rsidP="00DA19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9D7">
        <w:rPr>
          <w:rFonts w:ascii="Times New Roman" w:hAnsi="Times New Roman" w:cs="Times New Roman"/>
          <w:sz w:val="24"/>
          <w:szCs w:val="24"/>
        </w:rPr>
        <w:t>Управление Организации Объединенных Наций по уменьшению опасности бедствий (МСУОБ ООН)</w:t>
      </w:r>
    </w:p>
    <w:p w:rsidR="00957A62" w:rsidRPr="00BD29EC" w:rsidRDefault="00957A62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A62" w:rsidRPr="00BD29EC" w:rsidRDefault="00957A62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853C09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1.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. Организация</w:t>
      </w:r>
    </w:p>
    <w:p w:rsidR="00DA19D7" w:rsidRPr="00DA19D7" w:rsidRDefault="00DA19D7" w:rsidP="00DA19D7">
      <w:pPr>
        <w:pStyle w:val="MTex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>Управление Организации Объединенных Наций по уменьшению опасности бедствий (МСУОБ ООН)</w:t>
      </w:r>
    </w:p>
    <w:p w:rsidR="00957A62" w:rsidRPr="00BD29EC" w:rsidRDefault="00957A62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957A62" w:rsidRPr="00BD29EC" w:rsidRDefault="00957A62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781DE7">
        <w:rPr>
          <w:rFonts w:ascii="Times New Roman" w:hAnsi="Times New Roman"/>
          <w:color w:val="auto"/>
          <w:sz w:val="24"/>
          <w:szCs w:val="24"/>
          <w:lang w:val="ru-RU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Определение:</w:t>
      </w:r>
    </w:p>
    <w:p w:rsidR="00DA19D7" w:rsidRDefault="00DA19D7" w:rsidP="00DA19D7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>Этот показатель измеряет число людей, погибших, пропавших без вести или непосредственно пострадавших в результате стихийных</w:t>
      </w: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</w:t>
      </w: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>едствий на 100 000 населения.</w:t>
      </w:r>
    </w:p>
    <w:p w:rsidR="00DA19D7" w:rsidRPr="00DA19D7" w:rsidRDefault="00DA19D7" w:rsidP="00DA19D7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E0900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Погибшие:</w:t>
      </w: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количество людей, погибших во время катастрофы или непосредственно после, как прямой результат опасных событий.</w:t>
      </w:r>
    </w:p>
    <w:p w:rsidR="00DA19D7" w:rsidRPr="00DA19D7" w:rsidRDefault="00DA19D7" w:rsidP="00DA19D7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E0900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Пропавшие без вести: </w:t>
      </w: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количество людей, местоположение которых неизвестно с момента опасного события. К ним относятся люди, считающиеся мертвыми при отсутствии каких-либо вещественных доказательств. Данные о числе погибших и числе пропавших без вести являются взаимоисключающими. </w:t>
      </w:r>
    </w:p>
    <w:p w:rsidR="00DA19D7" w:rsidRPr="00DA19D7" w:rsidRDefault="00DA19D7" w:rsidP="00DA19D7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E0900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Непосредственно пострадавшие:</w:t>
      </w: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люди, которые пострадали от травм, болезней или других последствий для здоровья; которые были эвакуированы, переселены, передислоцированы или понесли прямой ущерб жизнедеятельности, экономическим, материальным, социальным, культурным и экологическим ресурсам.</w:t>
      </w:r>
    </w:p>
    <w:p w:rsidR="00DA19D7" w:rsidRPr="00DA19D7" w:rsidRDefault="00DA19D7" w:rsidP="00DA19D7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7E4E" w:rsidRPr="00BD29EC" w:rsidRDefault="00407E4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Источники данных</w:t>
      </w:r>
    </w:p>
    <w:p w:rsidR="00AB2D2C" w:rsidRPr="00AB2D2C" w:rsidRDefault="00AB2D2C" w:rsidP="00AB2D2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B2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Поставщиком данных на национальном уровне назначаются координаторы </w:t>
      </w:r>
      <w:proofErr w:type="spellStart"/>
      <w:r w:rsidRPr="00AB2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Сендайской</w:t>
      </w:r>
      <w:proofErr w:type="spellEnd"/>
      <w:r w:rsidRPr="00AB2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рамочной программы. В большинстве стран данные о стихийных бедствиях собираются отраслевыми министерствами, а национальные базы данных о потерях в результате стихийных бедствий создаются и управляются учреждениями специального назначения, включая национальные агентства по борьбе со стихийными бедствиями, агентства гражданской защиты и метеорологические агентства. Координационные центры </w:t>
      </w:r>
      <w:proofErr w:type="spellStart"/>
      <w:r w:rsidRPr="00AB2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Сендайской</w:t>
      </w:r>
      <w:proofErr w:type="spellEnd"/>
      <w:r w:rsidRPr="00AB2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рамочной программы в каждой стране отвечают за представление данных через Систему мониторинга </w:t>
      </w:r>
      <w:proofErr w:type="spellStart"/>
      <w:r w:rsidRPr="00AB2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Сендайской</w:t>
      </w:r>
      <w:proofErr w:type="spellEnd"/>
      <w:r w:rsidRPr="00AB2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рамочной программы.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Метод сбора данных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Календарь сбора данных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d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Календарь выпуска данных</w:t>
      </w:r>
    </w:p>
    <w:p w:rsidR="000A229E" w:rsidRPr="00A71EC6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e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Поставщики данных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f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Составители данных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g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5F9" w:rsidRPr="00BD29EC" w:rsidRDefault="002E15F9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0E0E3A" w:rsidP="000E0E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spellStart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>Сендайская</w:t>
      </w:r>
      <w:proofErr w:type="spellEnd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 xml:space="preserve"> рамочная программа по уменьшению опасности бедствий на 2015-2030 годы была принята государствами - членами ООН в марте 2015 года в качестве глобальной политики уменьшения опасности бедствий. Среди глобальных целей “Задача</w:t>
      </w:r>
      <w:proofErr w:type="gramStart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 xml:space="preserve"> А</w:t>
      </w:r>
      <w:proofErr w:type="gramEnd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>: Существенное сокращение глобальной смертности от стихийных бедствий к 2030 году с целью снижения средней глобальной смертности на 100 000 человек в период 2020-2030 годов по сравнению с 2005-2015 годами” и “Задача В: Существенное сокращение числа пострадавших людей во всем мире к 2030 году с целью снижения среднего глобального показателя на 100 000 человек в период 2020-2030 годов по сравнению с 2005-2015 годами” будут способствовать устойчивому развитию и укреплению экономической, социальной, медицинской и экологической устойчивости. Экономические, экологические и социальные перспективы будут включать искоренение нищеты, устойчивость городов и адаптацию к изменению климата. Межправительственная рабочая группа экспертов открытого состава по показателям и терминологии, касающимся уменьшения опасности бедствий (OIEWG), учрежденная Генерально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й Ассамблеей (резолюция 69/284)</w:t>
      </w:r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 xml:space="preserve">, разработала набор показателей для оценки глобального прогресса в осуществлении </w:t>
      </w:r>
      <w:proofErr w:type="spellStart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>Сендайской</w:t>
      </w:r>
      <w:proofErr w:type="spellEnd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 xml:space="preserve"> рамочной программы, которая была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>одобрен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а</w:t>
      </w:r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 xml:space="preserve"> Генеральной ассамблеей ООН (доклад OIEWG A/71/644). Для отчетности по этому показателю будут использоваться соответствующие глобальные показатели </w:t>
      </w:r>
      <w:proofErr w:type="spellStart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>Сендайской</w:t>
      </w:r>
      <w:proofErr w:type="spellEnd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 xml:space="preserve"> рамочной программы. На данные о потерях в результате стихийных бедствий большое влияние оказывают </w:t>
      </w:r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крупномасштабные катастрофические события, которые представляют собой важные выбросы. МСУОБ ООН рекомендует странам представлять данные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по событиям, с </w:t>
      </w:r>
      <w:proofErr w:type="gramStart"/>
      <w:r>
        <w:rPr>
          <w:rFonts w:ascii="Times New Roman" w:hAnsi="Times New Roman"/>
          <w:color w:val="auto"/>
          <w:sz w:val="24"/>
          <w:szCs w:val="24"/>
          <w:lang w:val="ru-RU"/>
        </w:rPr>
        <w:t>тем</w:t>
      </w:r>
      <w:proofErr w:type="gramEnd"/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чтобы можно </w:t>
      </w:r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>было провести дополнительный анализ для определения тенденций и закономерностей, в которых такие катастрофические события (которые могут представлять собой выбросы) могут быть включены или исключены.</w:t>
      </w:r>
    </w:p>
    <w:p w:rsidR="002E15F9" w:rsidRDefault="002E15F9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Комментарии и ограничения</w:t>
      </w:r>
    </w:p>
    <w:p w:rsidR="00495484" w:rsidRPr="00495484" w:rsidRDefault="00495484" w:rsidP="004954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54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Система мониторинга </w:t>
      </w:r>
      <w:proofErr w:type="spellStart"/>
      <w:r w:rsidRPr="00495484">
        <w:rPr>
          <w:rFonts w:ascii="Times New Roman" w:eastAsia="Times New Roman" w:hAnsi="Times New Roman" w:cs="Times New Roman"/>
          <w:sz w:val="24"/>
          <w:szCs w:val="24"/>
          <w:lang w:eastAsia="en-GB"/>
        </w:rPr>
        <w:t>Сендайской</w:t>
      </w:r>
      <w:proofErr w:type="spellEnd"/>
      <w:r w:rsidRPr="004954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рамочной программы была разработана для оценки прогресса в осуществлении </w:t>
      </w:r>
      <w:proofErr w:type="spellStart"/>
      <w:r w:rsidRPr="00495484">
        <w:rPr>
          <w:rFonts w:ascii="Times New Roman" w:eastAsia="Times New Roman" w:hAnsi="Times New Roman" w:cs="Times New Roman"/>
          <w:sz w:val="24"/>
          <w:szCs w:val="24"/>
          <w:lang w:eastAsia="en-GB"/>
        </w:rPr>
        <w:t>Сендайской</w:t>
      </w:r>
      <w:proofErr w:type="spellEnd"/>
      <w:r w:rsidRPr="004954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рамочной программы с помощью показателей, утвержденных </w:t>
      </w:r>
      <w:proofErr w:type="gramStart"/>
      <w:r w:rsidRPr="00495484">
        <w:rPr>
          <w:rFonts w:ascii="Times New Roman" w:eastAsia="Times New Roman" w:hAnsi="Times New Roman" w:cs="Times New Roman"/>
          <w:sz w:val="24"/>
          <w:szCs w:val="24"/>
          <w:lang w:eastAsia="en-GB"/>
        </w:rPr>
        <w:t>ГА</w:t>
      </w:r>
      <w:proofErr w:type="gramEnd"/>
      <w:r w:rsidRPr="004954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ООН. Государства-члены смогут отчитываться через Систему с марта 2018 года. Данные по показателям ЦУР будут собраны и представлены МСУОБООН.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781C88" w:rsidRPr="00781C88" w:rsidRDefault="00781C88" w:rsidP="0078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Соответствующие показатели по состоянию на февраль 2020 года</w:t>
      </w:r>
    </w:p>
    <w:p w:rsidR="00781C88" w:rsidRPr="00781C88" w:rsidRDefault="00781C88" w:rsidP="0078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</w:t>
      </w: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drawing>
          <wp:inline distT="0" distB="0" distL="0" distR="0" wp14:anchorId="1432F25D" wp14:editId="018883E6">
            <wp:extent cx="2343477" cy="52394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C88" w:rsidRPr="00781C88" w:rsidRDefault="00781C88" w:rsidP="0078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>Где:</w:t>
      </w:r>
    </w:p>
    <w:p w:rsidR="00781C88" w:rsidRPr="00781C88" w:rsidRDefault="00781C88" w:rsidP="0078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>A2 Число погибших в результате стихийных бедствий;</w:t>
      </w:r>
    </w:p>
    <w:p w:rsidR="00781C88" w:rsidRPr="00781C88" w:rsidRDefault="00781C88" w:rsidP="0078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>A3 Число пропавших без вести лиц, приписываемых стихийным бедствиям; и</w:t>
      </w:r>
    </w:p>
    <w:p w:rsidR="00781C88" w:rsidRPr="00781C88" w:rsidRDefault="00781C88" w:rsidP="0078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>B1 Число людей, непосредственно пострадавших в результате стихийных бедствий.</w:t>
      </w:r>
    </w:p>
    <w:p w:rsidR="00781C88" w:rsidRPr="00781C88" w:rsidRDefault="00781C88" w:rsidP="0078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>* Подробные методологии можно найти в Техническом руководстве (см. Справочный раздел ниже).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d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e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f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rFonts w:ascii="Times New Roman" w:hAnsi="Times New Roman"/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</w:rPr>
        <w:t>ii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g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h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rFonts w:ascii="Times New Roman" w:hAnsi="Times New Roman"/>
          <w:color w:val="auto"/>
          <w:sz w:val="24"/>
          <w:szCs w:val="24"/>
        </w:rPr>
        <w:t>i</w:t>
      </w:r>
      <w:proofErr w:type="spellEnd"/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040034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j</w:t>
      </w:r>
      <w:r w:rsidR="00E27922" w:rsidRPr="00040034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04003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Обеспечение качества</w:t>
      </w:r>
    </w:p>
    <w:p w:rsidR="002E15F9" w:rsidRPr="00BD29EC" w:rsidRDefault="0075371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k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Разбивка: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Число погибших в результате стихийных бедствий;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Число пропавших без вести лиц, приписываемых стихийным бедствиям; и</w:t>
      </w:r>
    </w:p>
    <w:p w:rsid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Число людей, непосредственно пострадавших в результате стихийных бедствий.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 xml:space="preserve">[Желательная </w:t>
      </w:r>
      <w:proofErr w:type="spellStart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Дезагрегация</w:t>
      </w:r>
      <w:proofErr w:type="spellEnd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]: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Опасность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География (Административная Единица)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Пол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Возраст (3 категории)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Инвалидность</w:t>
      </w:r>
    </w:p>
    <w:p w:rsidR="00781C88" w:rsidRPr="00BD29EC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Доход</w:t>
      </w:r>
    </w:p>
    <w:p w:rsidR="002E15F9" w:rsidRPr="00BD29EC" w:rsidRDefault="002E15F9" w:rsidP="0075371E">
      <w:pPr>
        <w:pStyle w:val="MHeader"/>
        <w:spacing w:after="10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40034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Ссылки</w:t>
      </w:r>
      <w:r w:rsidRPr="00040034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</w:t>
      </w:r>
      <w:r w:rsidRPr="00040034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документы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 xml:space="preserve">Официальные метаданные ЦУР 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URL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 xml:space="preserve">: 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https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://</w:t>
      </w:r>
      <w:proofErr w:type="spellStart"/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unstats</w:t>
      </w:r>
      <w:proofErr w:type="spellEnd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un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org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proofErr w:type="spellStart"/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sdgs</w:t>
      </w:r>
      <w:proofErr w:type="spellEnd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metadata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files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Metadata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-01-05-01.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pdf</w:t>
      </w:r>
    </w:p>
    <w:p w:rsid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 xml:space="preserve">Согласованная на международном уровне методология и руководящие принципы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URL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 xml:space="preserve">: Техническое руководство по мониторингу и отчетности о прогрессе в достижении глобальных целей </w:t>
      </w:r>
      <w:proofErr w:type="spellStart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Сендайской</w:t>
      </w:r>
      <w:proofErr w:type="spellEnd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 xml:space="preserve"> рамочной программы по умень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шению опасности бедствий (МСУОБ ООН 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2017)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https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://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www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spellStart"/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preventionweb</w:t>
      </w:r>
      <w:proofErr w:type="spellEnd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net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files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/54970_</w:t>
      </w:r>
      <w:proofErr w:type="spellStart"/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collectionoftechnicalguidancenoteso</w:t>
      </w:r>
      <w:proofErr w:type="spellEnd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pdf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Другие документы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: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Report of the open-ended intergovernmental expert working group on indicators and terminology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proofErr w:type="gramStart"/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relating</w:t>
      </w:r>
      <w:proofErr w:type="gramEnd"/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 xml:space="preserve"> to disaster risk reduction (OEIWG). </w:t>
      </w:r>
      <w:proofErr w:type="gramStart"/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Endorsed by UNGA on 2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nd February 2017.</w:t>
      </w:r>
      <w:proofErr w:type="gramEnd"/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 Available at: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https://www.preventionweb.net/publications/view/51748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Country examples: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Proxy, alternative and additional indicators: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In most cases international data sources only record events that surpass s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ome threshold of impact and use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secondary data sources which usually have non uniform or even inconsistent methodologies, produc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ing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heterogeneous datasets.</w:t>
      </w:r>
    </w:p>
    <w:sectPr w:rsidR="00781C88" w:rsidRPr="00781C8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2A" w:rsidRDefault="00EB362A" w:rsidP="00F73DBC">
      <w:pPr>
        <w:spacing w:after="0" w:line="240" w:lineRule="auto"/>
      </w:pPr>
      <w:r>
        <w:separator/>
      </w:r>
    </w:p>
  </w:endnote>
  <w:endnote w:type="continuationSeparator" w:id="0">
    <w:p w:rsidR="00EB362A" w:rsidRDefault="00EB362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2A" w:rsidRDefault="00EB362A" w:rsidP="00F73DBC">
      <w:pPr>
        <w:spacing w:after="0" w:line="240" w:lineRule="auto"/>
      </w:pPr>
      <w:r>
        <w:separator/>
      </w:r>
    </w:p>
  </w:footnote>
  <w:footnote w:type="continuationSeparator" w:id="0">
    <w:p w:rsidR="00EB362A" w:rsidRDefault="00EB362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781DE7">
      <w:t>январь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A210D"/>
    <w:rsid w:val="000A229E"/>
    <w:rsid w:val="000E0E3A"/>
    <w:rsid w:val="000E54FE"/>
    <w:rsid w:val="00116248"/>
    <w:rsid w:val="001470A2"/>
    <w:rsid w:val="00165896"/>
    <w:rsid w:val="001A163A"/>
    <w:rsid w:val="001E2FC9"/>
    <w:rsid w:val="00291FA0"/>
    <w:rsid w:val="002A5270"/>
    <w:rsid w:val="002E122C"/>
    <w:rsid w:val="002E15F9"/>
    <w:rsid w:val="002F63E5"/>
    <w:rsid w:val="00303D71"/>
    <w:rsid w:val="003143BC"/>
    <w:rsid w:val="003746BC"/>
    <w:rsid w:val="003D58DC"/>
    <w:rsid w:val="00407E4E"/>
    <w:rsid w:val="004143B4"/>
    <w:rsid w:val="00421928"/>
    <w:rsid w:val="00495484"/>
    <w:rsid w:val="004E087E"/>
    <w:rsid w:val="005E47BD"/>
    <w:rsid w:val="00694160"/>
    <w:rsid w:val="006B260E"/>
    <w:rsid w:val="006B3939"/>
    <w:rsid w:val="006D7049"/>
    <w:rsid w:val="00702333"/>
    <w:rsid w:val="00705161"/>
    <w:rsid w:val="0075371E"/>
    <w:rsid w:val="00766D53"/>
    <w:rsid w:val="00780F08"/>
    <w:rsid w:val="00781C88"/>
    <w:rsid w:val="00781DE7"/>
    <w:rsid w:val="007B0CFD"/>
    <w:rsid w:val="007C27E0"/>
    <w:rsid w:val="007D1185"/>
    <w:rsid w:val="007F06DF"/>
    <w:rsid w:val="00836F3E"/>
    <w:rsid w:val="00853C09"/>
    <w:rsid w:val="009508D1"/>
    <w:rsid w:val="00957A62"/>
    <w:rsid w:val="00980F79"/>
    <w:rsid w:val="00982FE8"/>
    <w:rsid w:val="009C064B"/>
    <w:rsid w:val="00A618FC"/>
    <w:rsid w:val="00A71EC6"/>
    <w:rsid w:val="00A82CD3"/>
    <w:rsid w:val="00A91FDE"/>
    <w:rsid w:val="00AB2D2C"/>
    <w:rsid w:val="00AC1A97"/>
    <w:rsid w:val="00B0378B"/>
    <w:rsid w:val="00B72F77"/>
    <w:rsid w:val="00BD29EC"/>
    <w:rsid w:val="00BE2C5D"/>
    <w:rsid w:val="00C8596F"/>
    <w:rsid w:val="00CA1CB1"/>
    <w:rsid w:val="00D05466"/>
    <w:rsid w:val="00D2619D"/>
    <w:rsid w:val="00DA19D7"/>
    <w:rsid w:val="00E123F7"/>
    <w:rsid w:val="00E21B43"/>
    <w:rsid w:val="00E27922"/>
    <w:rsid w:val="00E33CA8"/>
    <w:rsid w:val="00E90BD4"/>
    <w:rsid w:val="00EB362A"/>
    <w:rsid w:val="00EB389E"/>
    <w:rsid w:val="00EE0900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8FDD-0E8F-4B2B-9DA3-E261715C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2</cp:revision>
  <dcterms:created xsi:type="dcterms:W3CDTF">2022-01-27T14:51:00Z</dcterms:created>
  <dcterms:modified xsi:type="dcterms:W3CDTF">2022-01-27T14:51:00Z</dcterms:modified>
</cp:coreProperties>
</file>