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A64562">
        <w:rPr>
          <w:rFonts w:eastAsia="Arial Unicode MS" w:cs="Times New Roman"/>
          <w:szCs w:val="24"/>
          <w:bdr w:val="nil"/>
          <w:lang w:eastAsia="ru-RU"/>
        </w:rPr>
        <w:t>3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A64562" w:rsidRPr="00A64562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A64562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Pr="00A64562">
        <w:rPr>
          <w:rFonts w:cs="Times New Roman"/>
          <w:szCs w:val="24"/>
        </w:rPr>
        <w:t>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A64562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A64562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7C0CB8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 </w:t>
      </w:r>
      <w:r w:rsidR="007C0CB8" w:rsidRPr="007C0CB8">
        <w:rPr>
          <w:rFonts w:cs="Times New Roman"/>
          <w:szCs w:val="24"/>
        </w:rPr>
        <w:t>Заболеваемость малярией на 1000 человек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C0CB8" w:rsidRDefault="007C0CB8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2021-02-01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C0CB8" w:rsidRPr="00AF778E" w:rsidRDefault="007C0CB8" w:rsidP="007C0CB8">
      <w:pPr>
        <w:rPr>
          <w:rFonts w:cs="Times New Roman"/>
          <w:szCs w:val="24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AF778E">
        <w:rPr>
          <w:rFonts w:cs="Times New Roman"/>
          <w:szCs w:val="24"/>
        </w:rPr>
        <w:t>Глобальная программа по малярии во Всемирной организации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7C0CB8" w:rsidRPr="00AF778E" w:rsidRDefault="007C0CB8" w:rsidP="007C0CB8">
      <w:pPr>
        <w:rPr>
          <w:rFonts w:cs="Times New Roman"/>
          <w:szCs w:val="24"/>
        </w:rPr>
      </w:pPr>
      <w:r w:rsidRPr="00AF778E">
        <w:rPr>
          <w:rFonts w:cs="Times New Roman"/>
          <w:szCs w:val="24"/>
        </w:rPr>
        <w:t>Глобальная программа по малярии во Всемирной организации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B678F4" w:rsidRDefault="0027474B" w:rsidP="0027474B">
      <w:pPr>
        <w:rPr>
          <w:rFonts w:cs="Times New Roman"/>
          <w:szCs w:val="24"/>
        </w:rPr>
      </w:pPr>
      <w:r w:rsidRPr="00AF778E">
        <w:rPr>
          <w:rFonts w:cs="Times New Roman"/>
          <w:szCs w:val="24"/>
        </w:rPr>
        <w:t>Заболеваемость малярией определяется как количество новых случаев малярии на 1000 человек, подвергающихся риску каждый год.</w:t>
      </w:r>
    </w:p>
    <w:p w:rsidR="00B678F4" w:rsidRDefault="00B678F4" w:rsidP="00B678F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понятия:</w:t>
      </w:r>
    </w:p>
    <w:p w:rsidR="00B678F4" w:rsidRPr="00A244B6" w:rsidRDefault="0027474B" w:rsidP="0027474B">
      <w:pPr>
        <w:rPr>
          <w:rFonts w:cs="Times New Roman"/>
          <w:szCs w:val="24"/>
        </w:rPr>
      </w:pPr>
      <w:r w:rsidRPr="00AF778E">
        <w:rPr>
          <w:rFonts w:cs="Times New Roman"/>
          <w:szCs w:val="24"/>
        </w:rPr>
        <w:t>Случай малярии определяются как возникновение малярийной инфекции у человека, которого наличие малярийных паразитов в крови было подтверждено с помощью диагностического теста. Рассматриваемая популяция представляет собой население, которое подвержено риску заболевания.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565778" w:rsidRDefault="00565778" w:rsidP="00565778">
      <w:r w:rsidRPr="00565778">
        <w:t>Случаи на 1000 населения в группе риска.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8A67A3" w:rsidRPr="00BD29EC" w:rsidRDefault="008A67A3" w:rsidP="008A67A3">
      <w:r>
        <w:t xml:space="preserve">Информация недоступна.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15401E" w:rsidRDefault="0015401E" w:rsidP="0015401E">
      <w:pPr>
        <w:rPr>
          <w:rFonts w:cs="Times New Roman"/>
          <w:szCs w:val="24"/>
        </w:rPr>
      </w:pPr>
      <w:r w:rsidRPr="00937A60">
        <w:rPr>
          <w:rFonts w:cs="Times New Roman"/>
          <w:szCs w:val="24"/>
        </w:rPr>
        <w:lastRenderedPageBreak/>
        <w:t xml:space="preserve">Случаи, о которых сообщает NMCP, получают от каждой </w:t>
      </w:r>
      <w:proofErr w:type="spellStart"/>
      <w:r w:rsidRPr="00937A60">
        <w:rPr>
          <w:rFonts w:cs="Times New Roman"/>
          <w:szCs w:val="24"/>
        </w:rPr>
        <w:t>страновой</w:t>
      </w:r>
      <w:proofErr w:type="spellEnd"/>
      <w:r w:rsidRPr="00937A60">
        <w:rPr>
          <w:rFonts w:cs="Times New Roman"/>
          <w:szCs w:val="24"/>
        </w:rPr>
        <w:t xml:space="preserve"> системы </w:t>
      </w:r>
      <w:proofErr w:type="spellStart"/>
      <w:r w:rsidRPr="00937A60">
        <w:rPr>
          <w:rFonts w:cs="Times New Roman"/>
          <w:szCs w:val="24"/>
        </w:rPr>
        <w:t>эпиднадзора</w:t>
      </w:r>
      <w:proofErr w:type="spellEnd"/>
      <w:r w:rsidRPr="00937A60">
        <w:rPr>
          <w:rFonts w:cs="Times New Roman"/>
          <w:szCs w:val="24"/>
        </w:rPr>
        <w:t>. Сюда входит, среди прочего, информация о количестве подозрительных случаев, количестве проверенных случаев, количестве положительных случаев по методу обнаружения и по видам, а также о количестве медицинских учреждений, которые сообщают об этих случаях. Эта информация обобщается в приложении DHIS2, разработанном для этой цели. Данные для репрезентативных обследований домашних хозяйств являются общедоступными и включают Национальные демографические обследования домашних хозяйств (DHS) или Обзор показателей по малярии (MIS).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63263" w:rsidRPr="00363263" w:rsidRDefault="003D56D3" w:rsidP="00363263">
      <w:r w:rsidRPr="003D56D3">
        <w:t>Официальным аналогом для каждой страны является Национальная программа по борьбе с малярией Министерства здравоохранения.</w:t>
      </w:r>
    </w:p>
    <w:p w:rsidR="000A229E" w:rsidRPr="008E1B40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3D56D3" w:rsidRDefault="003D56D3" w:rsidP="003D56D3">
      <w:r w:rsidRPr="003D56D3">
        <w:t>Данные собираются каждый год.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3D56D3" w:rsidRDefault="003D56D3" w:rsidP="003D56D3">
      <w:r w:rsidRPr="003D56D3">
        <w:t>Данные публикуются ежегодно.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80B35" w:rsidRDefault="00980B35" w:rsidP="00980B35">
      <w:r w:rsidRPr="00980B35">
        <w:t>Национальная программа борьбы с малярией отвечает за сбор информации в каждой стране.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9443BE" w:rsidRDefault="009443BE" w:rsidP="009443BE">
      <w:pPr>
        <w:rPr>
          <w:rFonts w:cs="Times New Roman"/>
          <w:szCs w:val="24"/>
        </w:rPr>
      </w:pPr>
      <w:r w:rsidRPr="00BD6761">
        <w:rPr>
          <w:rFonts w:cs="Times New Roman"/>
          <w:szCs w:val="24"/>
        </w:rPr>
        <w:t>Наблюдение. Группа мониторинга и оценки Глобальной программы борьбы с малярией несет ответственность за сбор и обработку всей соответствующей информации. Национальные оценки для некоторых стран оцениваются в сотрудничестве с Оксфордским университетом (проект «Атлас малярии»).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443BE" w:rsidRPr="009443BE" w:rsidRDefault="009443BE" w:rsidP="009443BE">
      <w:proofErr w:type="gramStart"/>
      <w:r w:rsidRPr="009443BE">
        <w:t>Глобальная техническая стратегия и цели по малярии на 2016–2030 гг. были приняты</w:t>
      </w:r>
      <w:r>
        <w:t xml:space="preserve"> на 68-й сессии </w:t>
      </w:r>
      <w:r w:rsidRPr="009443BE">
        <w:t>Всемирной</w:t>
      </w:r>
      <w:r>
        <w:t> </w:t>
      </w:r>
      <w:r w:rsidRPr="009443BE">
        <w:t>ассамблеи</w:t>
      </w:r>
      <w:r>
        <w:t xml:space="preserve"> здравоохранения </w:t>
      </w:r>
      <w:r w:rsidRPr="009443BE">
        <w:t>(https://apps.who.int/iris/bitstream/handle/10665/253469/A68_R1_REC1-</w:t>
      </w:r>
      <w:proofErr w:type="gramEnd"/>
    </w:p>
    <w:p w:rsidR="009443BE" w:rsidRDefault="009443BE" w:rsidP="009443BE">
      <w:proofErr w:type="spellStart"/>
      <w:r w:rsidRPr="009443BE">
        <w:rPr>
          <w:lang w:val="en-US"/>
        </w:rPr>
        <w:t>en.pdf</w:t>
      </w:r>
      <w:proofErr w:type="gramStart"/>
      <w:r w:rsidRPr="009443BE">
        <w:rPr>
          <w:lang w:val="en-US"/>
        </w:rPr>
        <w:t>?sequence</w:t>
      </w:r>
      <w:proofErr w:type="spellEnd"/>
      <w:proofErr w:type="gramEnd"/>
      <w:r w:rsidRPr="009443BE">
        <w:rPr>
          <w:lang w:val="en-US"/>
        </w:rPr>
        <w:t xml:space="preserve">=1&amp;isAllowed=y). </w:t>
      </w:r>
      <w:r w:rsidRPr="009443BE">
        <w:t xml:space="preserve">Ассамблея поручила ВОЗ следить за ходом выполнения основных этапов и задач </w:t>
      </w:r>
      <w:r w:rsidRPr="009443BE">
        <w:t>GTS</w:t>
      </w:r>
      <w:r w:rsidRPr="009443BE">
        <w:t xml:space="preserve">. Всемирный отчет о малярии представляет собой процесс мониторинга </w:t>
      </w:r>
      <w:r w:rsidRPr="009443BE">
        <w:t>GTS</w:t>
      </w:r>
      <w:r w:rsidRPr="009443BE">
        <w:t xml:space="preserve"> по странам, регионам ВОЗ и в глобальном масштабе.</w:t>
      </w:r>
    </w:p>
    <w:p w:rsidR="002E15F9" w:rsidRPr="00BD29EC" w:rsidRDefault="002E15F9" w:rsidP="009443B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7549F0" w:rsidRDefault="007549F0" w:rsidP="007549F0">
      <w:r w:rsidRPr="007549F0">
        <w:t>Для измерения тенденции заболеваемости малярией и определ</w:t>
      </w:r>
      <w:r>
        <w:t>ения мест</w:t>
      </w:r>
      <w:r w:rsidRPr="007549F0">
        <w:t xml:space="preserve">, где риск заболевания самый высокий. С помощью этой информации программы могут реагировать на необычные тенденции, такие как эпидемии, и направлять ресурсы для наиболее нуждающихся групп населения. Эти данные также служат для информирования о </w:t>
      </w:r>
      <w:r w:rsidRPr="007549F0">
        <w:lastRenderedPageBreak/>
        <w:t>распределении глобальных ресурсов для</w:t>
      </w:r>
      <w:r>
        <w:t xml:space="preserve"> противодействия</w:t>
      </w:r>
      <w:r w:rsidRPr="007549F0">
        <w:t xml:space="preserve"> малярии, например, при определении критериев приемлемости для финансирования Глобального фонда.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692611" w:rsidRPr="00692611" w:rsidRDefault="00692611" w:rsidP="00692611">
      <w:r w:rsidRPr="00692611">
        <w:t>Оценочная заболеваемость может отличаться от уровня заболеваемости, о котором сообщает министерство здравоохранения, на которое могут влиять:</w:t>
      </w:r>
    </w:p>
    <w:p w:rsidR="00692611" w:rsidRPr="00692611" w:rsidRDefault="00692611" w:rsidP="00692611">
      <w:r w:rsidRPr="00692611">
        <w:t>•</w:t>
      </w:r>
      <w:r w:rsidRPr="00692611">
        <w:tab/>
        <w:t>полнота отчетности: количество сообщаемых случаев может быть ниже, чем предполагаемые случаи, если процентная доля медицинских учреждений, сообщающих в месяц, составляет менее 100%</w:t>
      </w:r>
    </w:p>
    <w:p w:rsidR="00692611" w:rsidRPr="00692611" w:rsidRDefault="00692611" w:rsidP="00692611">
      <w:r w:rsidRPr="00692611">
        <w:t>•</w:t>
      </w:r>
      <w:r w:rsidRPr="00692611">
        <w:tab/>
        <w:t>степень диагностического тестирования на малярию (количество просмотренных слайдов или выполнение RDT)</w:t>
      </w:r>
    </w:p>
    <w:p w:rsidR="00692611" w:rsidRPr="00692611" w:rsidRDefault="00692611" w:rsidP="00692611">
      <w:r w:rsidRPr="00692611">
        <w:t>•</w:t>
      </w:r>
      <w:r w:rsidRPr="00692611">
        <w:tab/>
        <w:t>использование частных медицинских учреждений, которые обычно не включаются в системы отчетности.</w:t>
      </w:r>
    </w:p>
    <w:p w:rsidR="00692611" w:rsidRDefault="00692611" w:rsidP="00692611">
      <w:r w:rsidRPr="00692611">
        <w:t>•</w:t>
      </w:r>
      <w:r w:rsidRPr="00692611">
        <w:tab/>
        <w:t>показатель оценивается только там, где происходит передача малярии</w:t>
      </w:r>
    </w:p>
    <w:p w:rsidR="002E15F9" w:rsidRPr="00BD29EC" w:rsidRDefault="002E15F9" w:rsidP="00692611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410854" w:rsidRDefault="00410854" w:rsidP="00410854">
      <w:r w:rsidRPr="00410854">
        <w:t>Заболеваемость малярией (1) выражается как число новых случаев на 100 000 населения в год, при этом численность населения страны рассчитывается на основе прогнозов, сделанных Отделом народонаселения ООН, и общей доли риска, рассчитанной Национальной программой борьбы с малярией страны. В частности, страна оценивает общую долю населения, подверженного риску малярии, а затем для каждого года общая численность населения, подверженного риску, оценивается как численность населения ООН для этого</w:t>
      </w:r>
      <w:r>
        <w:t xml:space="preserve"> </w:t>
      </w:r>
      <w:r w:rsidRPr="00410854">
        <w:t>год</w:t>
      </w:r>
      <w:r>
        <w:t>а</w:t>
      </w:r>
      <w:r w:rsidRPr="00410854">
        <w:t>, умноженная на долю населения, подверженного риску на исходном уровне.</w:t>
      </w:r>
    </w:p>
    <w:p w:rsidR="00002BD5" w:rsidRDefault="00002BD5" w:rsidP="00002BD5">
      <w:r w:rsidRPr="00002BD5">
        <w:t>Общее число новых случаев, T, оценивается на основе числа случаев малярии, зарегистрированных Министерством здравоохранения, которое скорректировано с учетом (i) неполноты систем отчетности (</w:t>
      </w:r>
      <w:proofErr w:type="spellStart"/>
      <w:r w:rsidRPr="00002BD5">
        <w:t>ii</w:t>
      </w:r>
      <w:proofErr w:type="spellEnd"/>
      <w:r w:rsidRPr="00002BD5">
        <w:t>) пациентов, обращающихся за лечением в частный сектор, занимающихся самолечением или вообще не обращающихся за лечением, и (</w:t>
      </w:r>
      <w:proofErr w:type="spellStart"/>
      <w:r w:rsidRPr="00002BD5">
        <w:t>iii</w:t>
      </w:r>
      <w:proofErr w:type="spellEnd"/>
      <w:r w:rsidRPr="00002BD5">
        <w:t xml:space="preserve">) потенциальной чрезмерной диагностики из-за отсутствия лабораторного подтверждения случаев. Процедура, описанная во Всемирном докладе о малярии за 2009 год (2), объединяет данные, представленные NMCPS (зарегистрированные случаи, полнота отчетности и вероятность того, что случаи заражения паразитами), с данными, полученными в результате национальных репрезентативных обследований домашних хозяйств по использованию медицинских услуг. </w:t>
      </w:r>
      <w:r>
        <w:t>Вкратце</w:t>
      </w:r>
      <w:r w:rsidRPr="00002BD5">
        <w:t>,</w:t>
      </w:r>
    </w:p>
    <w:p w:rsidR="00002BD5" w:rsidRDefault="00002BD5" w:rsidP="00002BD5"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2838846" cy="40963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D5" w:rsidRDefault="00002BD5" w:rsidP="00002BD5">
      <w:r>
        <w:t>где:</w:t>
      </w:r>
    </w:p>
    <w:p w:rsidR="00002BD5" w:rsidRDefault="00002BD5" w:rsidP="00002BD5">
      <w:r>
        <w:t>a - количество случаев малярии, подтвержденных в государственном секторе</w:t>
      </w:r>
    </w:p>
    <w:p w:rsidR="00002BD5" w:rsidRDefault="00002BD5" w:rsidP="00002BD5">
      <w:r>
        <w:lastRenderedPageBreak/>
        <w:t>b - количество протестированных подозрительных случаев</w:t>
      </w:r>
    </w:p>
    <w:p w:rsidR="00002BD5" w:rsidRDefault="00002BD5" w:rsidP="00002BD5">
      <w:r>
        <w:t>c - количество предполагаемых случаев (не проверенных, но леченных как малярия)</w:t>
      </w:r>
    </w:p>
    <w:p w:rsidR="00002BD5" w:rsidRDefault="00002BD5" w:rsidP="00002BD5">
      <w:r>
        <w:t>d – полнота отчетности</w:t>
      </w:r>
    </w:p>
    <w:p w:rsidR="00002BD5" w:rsidRDefault="00002BD5" w:rsidP="00002BD5">
      <w:r>
        <w:t>e - уровень положительных результатов теста (доля положительных результатов на малярию) = a/b</w:t>
      </w:r>
    </w:p>
    <w:p w:rsidR="00002BD5" w:rsidRDefault="00002BD5" w:rsidP="00002BD5">
      <w:r>
        <w:t xml:space="preserve">f — расчетное количество случаев в государственном секторе, рассчитанное как (a + (c </w:t>
      </w:r>
      <w:r w:rsidRPr="00002BD5">
        <w:rPr>
          <w:sz w:val="18"/>
        </w:rPr>
        <w:t>x</w:t>
      </w:r>
      <w:r>
        <w:t xml:space="preserve"> e))/d</w:t>
      </w:r>
    </w:p>
    <w:p w:rsidR="00002BD5" w:rsidRDefault="00002BD5" w:rsidP="00002BD5">
      <w:r>
        <w:t>g — доля лиц, обращающихся за лечением в государственном секторе.</w:t>
      </w:r>
    </w:p>
    <w:p w:rsidR="00002BD5" w:rsidRDefault="00002BD5" w:rsidP="00002BD5">
      <w:r>
        <w:t>h — доля лиц, обращающихся за лечением в частный сектор.</w:t>
      </w:r>
    </w:p>
    <w:p w:rsidR="00002BD5" w:rsidRDefault="00002BD5" w:rsidP="00002BD5">
      <w:r>
        <w:t xml:space="preserve">i </w:t>
      </w:r>
      <w:r>
        <w:t>–</w:t>
      </w:r>
      <w:r>
        <w:t xml:space="preserve"> доля</w:t>
      </w:r>
      <w:r>
        <w:t xml:space="preserve"> лиц,</w:t>
      </w:r>
      <w:r>
        <w:t xml:space="preserve"> не обращающихся за лечением, рассчитанная по формуле (1-g-h)/2</w:t>
      </w:r>
    </w:p>
    <w:p w:rsidR="00002BD5" w:rsidRDefault="00002BD5" w:rsidP="00002BD5">
      <w:r>
        <w:t>j — количество случаев в частном секторе, рассчитанное как f x h/g</w:t>
      </w:r>
    </w:p>
    <w:p w:rsidR="00002BD5" w:rsidRDefault="00002BD5" w:rsidP="00002BD5">
      <w:r>
        <w:t xml:space="preserve">k – </w:t>
      </w:r>
      <w:r w:rsidRPr="00002BD5">
        <w:t>количество случаев</w:t>
      </w:r>
      <w:r>
        <w:t xml:space="preserve"> не в частном и не публичном порядке, </w:t>
      </w:r>
      <w:proofErr w:type="gramStart"/>
      <w:r>
        <w:t>рассчитываемые</w:t>
      </w:r>
      <w:proofErr w:type="gramEnd"/>
      <w:r>
        <w:t xml:space="preserve"> по f x i/g</w:t>
      </w:r>
    </w:p>
    <w:p w:rsidR="00002BD5" w:rsidRDefault="00002BD5" w:rsidP="00002BD5">
      <w:r>
        <w:t>T — общее количество случаев, рассчитанное как f + j + k.</w:t>
      </w:r>
    </w:p>
    <w:p w:rsidR="00A0604E" w:rsidRDefault="00A0604E" w:rsidP="00A0604E">
      <w:r>
        <w:t>Для оценки неопределенности количества случаев предполагалось, что частота положительных результатов теста имеет нормальное распределение, центрированное на значении показателя положительности результатов теста, и стандартное отклонение, определяемое как</w:t>
      </w:r>
    </w:p>
    <w:p w:rsidR="00A0604E" w:rsidRDefault="00A0604E" w:rsidP="00A0604E">
      <w:r>
        <w:t xml:space="preserve">                    </w:t>
      </w:r>
      <w:r>
        <w:t xml:space="preserve">0,244 × Коэффициент положительных результатов теста </w:t>
      </w:r>
      <w:r w:rsidRPr="00A0604E">
        <w:rPr>
          <w:vertAlign w:val="superscript"/>
        </w:rPr>
        <w:t>0,5547</w:t>
      </w:r>
    </w:p>
    <w:p w:rsidR="00A0604E" w:rsidRDefault="00A0604E" w:rsidP="00A0604E">
      <w:r>
        <w:t xml:space="preserve">и усечено до диапазона 0, 1. Предполагалось, что полнота отчетности имеет одно из трех распределений в зависимости от диапазона или значения, сообщаемого NMCP. Если диапазон превышал 80 %, предполагалось, что распределение треугольное, с пределами 0,8 и 1 и пиком при 0,8. Если диапазон превышал 50%, то предполагалось, что распределение прямоугольное с пределами 0,5 и 0,8. Наконец, если диапазон был ниже 50%, предполагалось, что распределение является треугольным, с пределами 0 и 0,5 и пиком при 0,5 (3). Если полнота отчетности была указана в виде значения и превышала 80 %, предполагалось бета-распределение со средним значением сообщаемого значения (максимум 95 %) и доверительными интервалами (ДИ) 5 % вокруг среднего значения. Предполагается, что доли детей, за которыми обращались за помощью в частном и государственном секторах, имеют бета-распределение, при этом среднее значение является оценочным значением в исследовании, а стандартное отклонение рассчитывается </w:t>
      </w:r>
      <w:r w:rsidR="007E2D8C" w:rsidRPr="007E2D8C">
        <w:t>из диапазона оцененных 95% доверительных интервалов (ДИ), деленных на 4</w:t>
      </w:r>
      <w:r>
        <w:t>. Предполагалось, что доля детей, не обращавшихся за помощью, имеет прямоугольное распределение с нижним пределом, равным 0, и верхним пределом, рассчитанным как 1 минус доля детей, обратившихся за помощью в государственном или частном секторе.</w:t>
      </w:r>
    </w:p>
    <w:p w:rsidR="007E2D8C" w:rsidRDefault="007E2D8C" w:rsidP="007E2D8C">
      <w:r w:rsidRPr="007E2D8C">
        <w:lastRenderedPageBreak/>
        <w:t xml:space="preserve">Значения доли лиц, обратившихся за медицинской помощью, были линейно интерполированы между годами, в течение которых проводилось обследование, и экстраполированы на годы до первого или после последнего обследования. Недостающие значения для распределений были рассчитаны с использованием смеси распределения по стране с равной вероятностью для лет, в которых присутствовали значения, или, если значения вообще отсутствовали для любого года в стране, смеси распределения по региону за этот год. Данные были проанализированы с использованием статистического программного обеспечения R (4). </w:t>
      </w:r>
      <w:proofErr w:type="gramStart"/>
      <w:r w:rsidRPr="007E2D8C">
        <w:t>Доверительные интервалы были получены из 10000 рисунков свернутых распре</w:t>
      </w:r>
      <w:r>
        <w:t>делений</w:t>
      </w:r>
      <w:r w:rsidRPr="007E2D8C">
        <w:t xml:space="preserve"> (Афганистан, Бангладеш, Боливия (Многонациональное государство), Ботсвана, Бразилия, Камбоджа, Колумбия, Доминиканская Республика, Эритрея, Эфиопия, Французская Гвиана, Гамбия, Гватемала, Гайана, Гаити, Гондурас, Индия, Индонезия, Лаосская Народно-Демократическая Республика, Мавритания, Мадагаскар, Мьянма, Намибия, Непал, Никарагуа, Пакистан, Панама, Папуа - Новая Гвинея, Перу, Филиппины, Руанда, Сенегал, Соломоновы Острова, Восточный Тимор, Вануату, Венесуэла (</w:t>
      </w:r>
      <w:proofErr w:type="spellStart"/>
      <w:r w:rsidRPr="007E2D8C">
        <w:t>Боливарианская</w:t>
      </w:r>
      <w:proofErr w:type="spellEnd"/>
      <w:r w:rsidRPr="007E2D8C">
        <w:t xml:space="preserve"> Республика), Вьетнам, Зимб</w:t>
      </w:r>
      <w:r>
        <w:t>абве, Йемен</w:t>
      </w:r>
      <w:proofErr w:type="gramEnd"/>
      <w:r>
        <w:t xml:space="preserve">. </w:t>
      </w:r>
      <w:r w:rsidRPr="007E2D8C">
        <w:t xml:space="preserve">Для Индии значения были получены на субнациональном уровне с использованием той же методологии, но с поправкой на частный сектор с учетом дополнительного фактора, обусловленного активным выявлением случаев, оцененного как отношение показателя положительности теста при активном выявлении случаев к показателю положительности теста при пассивном выявлении случаев. Предполагалось, что этот коэффициент имеет нормальное распределение, при этом среднее значение и стандартное отклонение рассчитывались по значениям, представленным в 2010 году. </w:t>
      </w:r>
      <w:proofErr w:type="gramStart"/>
      <w:r w:rsidRPr="007E2D8C">
        <w:t xml:space="preserve">Бангладеш, Боливия (многонациональное государство), Ботсвана, Бразилия, Колумбия, Доминиканская Республика, Французская Гвиана, Гватемала, Гайана, Гаити, </w:t>
      </w:r>
      <w:r>
        <w:t xml:space="preserve">Гондурас, Мьянма (с 2013 года), </w:t>
      </w:r>
      <w:r w:rsidRPr="007E2D8C">
        <w:t>Руанда и Венесуэла (</w:t>
      </w:r>
      <w:proofErr w:type="spellStart"/>
      <w:r w:rsidRPr="007E2D8C">
        <w:t>Боливарианская</w:t>
      </w:r>
      <w:proofErr w:type="spellEnd"/>
      <w:r w:rsidRPr="007E2D8C">
        <w:t xml:space="preserve"> Республика) сообщают о</w:t>
      </w:r>
      <w:r>
        <w:t>б общих</w:t>
      </w:r>
      <w:r w:rsidRPr="007E2D8C">
        <w:t xml:space="preserve"> случаях из частн</w:t>
      </w:r>
      <w:r>
        <w:t>ого и государственного секторов</w:t>
      </w:r>
      <w:r w:rsidRPr="007E2D8C">
        <w:t>;</w:t>
      </w:r>
      <w:proofErr w:type="gramEnd"/>
      <w:r w:rsidRPr="007E2D8C">
        <w:t xml:space="preserve"> поэтому корректировка для частного сектора, обратившегося за лечением, не была сделана, в то время как для Индонезии предполагается, что 25% частных случаев регистрируются в государственном секторе с 2017 года.</w:t>
      </w:r>
    </w:p>
    <w:p w:rsidR="001E66D6" w:rsidRDefault="001E66D6" w:rsidP="007E2D8C">
      <w:r w:rsidRPr="001E66D6">
        <w:t xml:space="preserve">Для некоторых африканских стран с высоким уровнем передачи качество регистрации случаев заболевания считается недостаточным для применения вышеуказанных формул. В таких случаях оценки числа случаев малярии получают на основе информации о распространенности паразитов, полученной в ходе обследований домохозяйств. Во-первых, данные о распространенности паразитов из почти 60 000 записей обследований были собраны в рамках пространственно-временной байесовской </w:t>
      </w:r>
      <w:proofErr w:type="spellStart"/>
      <w:r w:rsidRPr="001E66D6">
        <w:t>геостатистической</w:t>
      </w:r>
      <w:proofErr w:type="spellEnd"/>
      <w:r w:rsidRPr="001E66D6">
        <w:t xml:space="preserve"> модели вместе с экологическими и социально-демографическими </w:t>
      </w:r>
      <w:proofErr w:type="spellStart"/>
      <w:r w:rsidRPr="001E66D6">
        <w:t>ковариатами</w:t>
      </w:r>
      <w:proofErr w:type="spellEnd"/>
      <w:r w:rsidRPr="001E66D6">
        <w:t xml:space="preserve">, а также данными о распределении вмешательств, таких как </w:t>
      </w:r>
      <w:proofErr w:type="spellStart"/>
      <w:r w:rsidRPr="001E66D6">
        <w:t>ITNs</w:t>
      </w:r>
      <w:proofErr w:type="spellEnd"/>
      <w:r w:rsidRPr="001E66D6">
        <w:t xml:space="preserve">, противомалярийные препараты и IRS. </w:t>
      </w:r>
      <w:proofErr w:type="spellStart"/>
      <w:r w:rsidRPr="001E66D6">
        <w:t>Геопространственная</w:t>
      </w:r>
      <w:proofErr w:type="spellEnd"/>
      <w:r w:rsidRPr="001E66D6">
        <w:t xml:space="preserve"> модель позволила прогнозировать распространенность </w:t>
      </w:r>
      <w:proofErr w:type="spellStart"/>
      <w:r w:rsidRPr="001E66D6">
        <w:t>Plasmodium</w:t>
      </w:r>
      <w:proofErr w:type="spellEnd"/>
      <w:r w:rsidRPr="001E66D6">
        <w:t xml:space="preserve"> </w:t>
      </w:r>
      <w:proofErr w:type="spellStart"/>
      <w:r w:rsidRPr="001E66D6">
        <w:t>falciparum</w:t>
      </w:r>
      <w:proofErr w:type="spellEnd"/>
      <w:r w:rsidRPr="001E66D6">
        <w:t xml:space="preserve"> среди детей в возрасте 2–10 лет с разрешением 5 × 5 км</w:t>
      </w:r>
      <w:proofErr w:type="gramStart"/>
      <w:r w:rsidRPr="001E66D6">
        <w:rPr>
          <w:vertAlign w:val="superscript"/>
        </w:rPr>
        <w:t>2</w:t>
      </w:r>
      <w:proofErr w:type="gramEnd"/>
      <w:r w:rsidRPr="001E66D6">
        <w:t xml:space="preserve"> во всех эндемичных по малярии африканских странах за каждый год с 2000 по 2016 год (см. http://www.map.ox.ac.uk/making-maps/ для получения информации о методах разработки карт в рамках проекта «Атлас малярии»). Во-вторых, была разработана ансамблевая модель для прогнозирования заболеваемости малярией в зависимости от распространенности паразитов. Затем модель была применена к оценочной </w:t>
      </w:r>
      <w:r w:rsidRPr="001E66D6">
        <w:lastRenderedPageBreak/>
        <w:t>распространенности паразитов, чтобы получить оценки заболеваемости малярией с разрешением 5 × 5 км</w:t>
      </w:r>
      <w:proofErr w:type="gramStart"/>
      <w:r w:rsidRPr="001E66D6">
        <w:rPr>
          <w:vertAlign w:val="superscript"/>
        </w:rPr>
        <w:t>2</w:t>
      </w:r>
      <w:proofErr w:type="gramEnd"/>
      <w:r w:rsidRPr="001E66D6">
        <w:t xml:space="preserve"> для каждого года с 2000 по 2016 год. Затем данные для каждой площади 5 × 5 км</w:t>
      </w:r>
      <w:proofErr w:type="gramStart"/>
      <w:r w:rsidRPr="001E66D6">
        <w:rPr>
          <w:vertAlign w:val="superscript"/>
        </w:rPr>
        <w:t>2</w:t>
      </w:r>
      <w:proofErr w:type="gramEnd"/>
      <w:r w:rsidRPr="001E66D6">
        <w:t xml:space="preserve"> были агрегиров</w:t>
      </w:r>
      <w:r>
        <w:t>аны в пределах страны и региона</w:t>
      </w:r>
      <w:r w:rsidRPr="001E66D6">
        <w:t xml:space="preserve"> для получения как национальных, так и регионал</w:t>
      </w:r>
      <w:r>
        <w:t>ьных оценок случаев малярии (5)</w:t>
      </w:r>
      <w:r w:rsidRPr="001E66D6">
        <w:t xml:space="preserve"> (Ангола, Бенин, Буркина-Фасо, Бурунди, Камерун, Центральноафриканская Республика, Чад, Конго, Кот-д'Ивуар, Демократическая Республика Конго, Экваториальная Гвинея, Габон, Гана, Гвинея, Гвинея-Бисау, Кения, Либерия, Малави, Мали, Мозамбик, Нигер, Нигерия, Сьерра-Леоне, Сомали, Южный Судан, Судан, Того, Уганда, </w:t>
      </w:r>
      <w:proofErr w:type="gramStart"/>
      <w:r w:rsidRPr="001E66D6">
        <w:t>Объединенная Республика Танзания и Замбия)</w:t>
      </w:r>
      <w:r>
        <w:t>.</w:t>
      </w:r>
      <w:proofErr w:type="gramEnd"/>
    </w:p>
    <w:p w:rsidR="001E66D6" w:rsidRDefault="001E66D6" w:rsidP="007E2D8C">
      <w:r w:rsidRPr="001E66D6">
        <w:t xml:space="preserve">Для большинства элиминированных или близких к элиминации стран количество местных случаев, зарегистрированных </w:t>
      </w:r>
      <w:proofErr w:type="spellStart"/>
      <w:r w:rsidRPr="001E66D6">
        <w:t>NMCPs</w:t>
      </w:r>
      <w:proofErr w:type="spellEnd"/>
      <w:r w:rsidRPr="001E66D6">
        <w:t xml:space="preserve">, сообщается без дополнительных корректировок. </w:t>
      </w:r>
      <w:proofErr w:type="gramStart"/>
      <w:r w:rsidRPr="001E66D6">
        <w:t xml:space="preserve">(Алжир, Аргентина, Армения, Азербайджан, Белиз, Бутан, Кабо-Верде, Китай, Коморские Острова, Коста-Рика, Корейская Народно-Демократическая Республика, Джибути, Эквадор, Египет, Сальвадор, </w:t>
      </w:r>
      <w:proofErr w:type="spellStart"/>
      <w:r w:rsidRPr="001E66D6">
        <w:t>Эсватини</w:t>
      </w:r>
      <w:proofErr w:type="spellEnd"/>
      <w:r w:rsidRPr="001E66D6">
        <w:t>, Грузия, Ир</w:t>
      </w:r>
      <w:r>
        <w:t>ан (Исламская Республика), Ирак</w:t>
      </w:r>
      <w:r w:rsidRPr="001E66D6">
        <w:t>, Казахстан, Кыргызстан, Малайзия, Мексика, Марокко, Оман, Парагвай, Республика Корея, Сан-Томе и Принсипи, Саудовская Аравия, Южная Африка, Шри-Ланка, Суринам, Сирийская Арабская Республика, Таиланд, Турция, Туркменистан, Объединенны</w:t>
      </w:r>
      <w:r>
        <w:t>е Арабские Эмираты и Узбекистан</w:t>
      </w:r>
      <w:r w:rsidRPr="001E66D6">
        <w:t>).</w:t>
      </w:r>
      <w:proofErr w:type="gramEnd"/>
    </w:p>
    <w:p w:rsidR="002E15F9" w:rsidRPr="00BD29EC" w:rsidRDefault="002E15F9" w:rsidP="00771350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1E66D6" w:rsidRDefault="001E66D6" w:rsidP="001E66D6">
      <w:r w:rsidRPr="001E66D6">
        <w:t xml:space="preserve">Оценки бремени, представленные во Всемирном отчете о малярии, рассылаются странам через региональные отделения для консультаций и утверждения.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7205C2" w:rsidRDefault="006C58F9" w:rsidP="007205C2">
      <w: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D9070E" w:rsidRDefault="00D9070E" w:rsidP="00A855D7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D9070E">
        <w:rPr>
          <w:rFonts w:eastAsia="Times New Roman" w:cs="Times New Roman"/>
          <w:szCs w:val="24"/>
        </w:rPr>
        <w:t xml:space="preserve">Для отсутствующих значений параметров (коэффициент положительных результатов теста и полнота отчетности) используется распределение, основанное на сочетании распределения доступных значений, если какое-либо значение существует для страны или региона в противном случае. Значения параметров поведения в поисках здоровья рассчитываются путем линейной интерполяции значений при проведении обследований или экстраполяции данных первого или последнего обследования. При отсутствии зарегистрированных данных число случаев интерполируется с учетом прироста населения. </w:t>
      </w:r>
    </w:p>
    <w:p w:rsidR="002E15F9" w:rsidRPr="00A855D7" w:rsidRDefault="002E15F9" w:rsidP="00A855D7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BD29EC">
        <w:rPr>
          <w:szCs w:val="24"/>
        </w:rPr>
        <w:t>•</w:t>
      </w:r>
      <w:r w:rsidRPr="00BD29EC">
        <w:rPr>
          <w:szCs w:val="24"/>
        </w:rPr>
        <w:tab/>
      </w:r>
      <w:r w:rsidR="00694160" w:rsidRPr="00BD29EC">
        <w:rPr>
          <w:szCs w:val="24"/>
        </w:rPr>
        <w:t>На региональном и глобальном уровнях</w:t>
      </w:r>
    </w:p>
    <w:p w:rsidR="007205C2" w:rsidRDefault="00D9070E" w:rsidP="007205C2">
      <w:r>
        <w:t xml:space="preserve">Не применимо.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D9070E" w:rsidRDefault="00D9070E" w:rsidP="00D9070E">
      <w:r w:rsidRPr="00D9070E">
        <w:t xml:space="preserve">Количество случаев </w:t>
      </w:r>
      <w:proofErr w:type="spellStart"/>
      <w:r w:rsidRPr="00D9070E">
        <w:t>агрегируется</w:t>
      </w:r>
      <w:proofErr w:type="spellEnd"/>
      <w:r w:rsidRPr="00D9070E">
        <w:t xml:space="preserve"> по регионам, а неопределенность получается из агрегирования распределения по каждой стране. Население, подвергающееся риску, </w:t>
      </w:r>
      <w:r w:rsidRPr="00D9070E">
        <w:lastRenderedPageBreak/>
        <w:t xml:space="preserve">суммируется без каких-либо дополнительных корректировок. Оценки на глобальном уровне получаются путем агрегирования значений региона.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D9070E" w:rsidRDefault="00D9070E" w:rsidP="00D9070E">
      <w:r w:rsidRPr="00D9070E">
        <w:t xml:space="preserve">Информация предоставляется NMCP каждой страны с использованием приложения DHIS 2, созданного специально для этой цели.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A9572F" w:rsidRDefault="00A9572F" w:rsidP="00A9572F">
      <w:r w:rsidRPr="00A9572F">
        <w:t xml:space="preserve">Оценки бремени сначала рассматриваются внутри GMP, а также в региональных и </w:t>
      </w:r>
      <w:proofErr w:type="spellStart"/>
      <w:r w:rsidRPr="00A9572F">
        <w:t>страновых</w:t>
      </w:r>
      <w:proofErr w:type="spellEnd"/>
      <w:r w:rsidRPr="00A9572F">
        <w:t xml:space="preserve"> отделениях ВОЗ. Затем они передаются стране для проверки. Окончательное одобрение получено от отдела данных и аналитики ВОЗ.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9A2119" w:rsidRDefault="009A2119" w:rsidP="009A2119">
      <w:r w:rsidRPr="009A2119">
        <w:t xml:space="preserve">Мы собираем данные, используя стандартную форму, в зависимости от состояния борьбы с малярией, ликвидации или предотвращения повторного появления. Мы тесно сотрудничаем с центрами сотрудничества и внешними рецензентами, чтобы гарантировать качество. 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9A2119" w:rsidRDefault="009A2119" w:rsidP="009A2119">
      <w:r w:rsidRPr="009A2119">
        <w:t xml:space="preserve">Мы проводим внутреннюю проверку выбросов и полноты и направляем запросы в страны через региональные офисы для получения разъяснений. При необходимости мы полагаемся на информацию об оценке качества данных из внешних источников, таких как партнеры, занимающиеся мониторингом и оценкой малярии.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390623">
      <w:r w:rsidRPr="00BD29EC">
        <w:t>Доступность данных:</w:t>
      </w:r>
    </w:p>
    <w:p w:rsidR="00B3281D" w:rsidRPr="00BD29EC" w:rsidRDefault="009A2119" w:rsidP="00390623">
      <w:r>
        <w:t>109 стран</w:t>
      </w:r>
    </w:p>
    <w:p w:rsidR="0075371E" w:rsidRDefault="0075371E" w:rsidP="00390623">
      <w:r w:rsidRPr="00BD29EC">
        <w:t>Временные ряды:</w:t>
      </w:r>
    </w:p>
    <w:p w:rsidR="00390623" w:rsidRDefault="009A2119" w:rsidP="00390623">
      <w:r>
        <w:t>Ежегодно н</w:t>
      </w:r>
      <w:r w:rsidR="00390623" w:rsidRPr="00390623">
        <w:t>ачиная с 2000 года</w:t>
      </w:r>
      <w:r w:rsidR="00390623">
        <w:t xml:space="preserve"> </w:t>
      </w:r>
    </w:p>
    <w:p w:rsidR="0075371E" w:rsidRDefault="0075371E" w:rsidP="00390623">
      <w:r w:rsidRPr="00BD29EC">
        <w:t>Разбивка:</w:t>
      </w:r>
    </w:p>
    <w:p w:rsidR="009A2119" w:rsidRDefault="009A2119" w:rsidP="009A2119">
      <w:r w:rsidRPr="009A2119">
        <w:t xml:space="preserve">Показатель оценивается на уровне страны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9A2119" w:rsidRDefault="009A2119" w:rsidP="00266EF3">
      <w:pPr>
        <w:rPr>
          <w:lang w:eastAsia="en-GB"/>
        </w:rPr>
      </w:pPr>
      <w:r>
        <w:rPr>
          <w:lang w:eastAsia="en-GB"/>
        </w:rPr>
        <w:t>Источники расхождений:</w:t>
      </w:r>
    </w:p>
    <w:p w:rsidR="009A2119" w:rsidRDefault="009A2119" w:rsidP="00266EF3">
      <w:pPr>
        <w:rPr>
          <w:lang w:eastAsia="en-GB"/>
        </w:rPr>
      </w:pPr>
      <w:r>
        <w:rPr>
          <w:lang w:eastAsia="en-GB"/>
        </w:rPr>
        <w:t>Расчетная заболеваемость может отличаться от заболеваемости, сообщаемой Министерством здравоохранения, на которую могут повлиять:</w:t>
      </w:r>
    </w:p>
    <w:p w:rsidR="009A2119" w:rsidRDefault="009A2119" w:rsidP="00266EF3">
      <w:pPr>
        <w:rPr>
          <w:lang w:eastAsia="en-GB"/>
        </w:rPr>
      </w:pPr>
      <w:r>
        <w:rPr>
          <w:lang w:eastAsia="en-GB"/>
        </w:rPr>
        <w:t>• полнота отчетности: количество зарегистрированных случаев может быть ниже предполагаемого, если процент медицинских учреждений, сообщающих за месяц, составляет менее 100%.</w:t>
      </w:r>
    </w:p>
    <w:p w:rsidR="009A2119" w:rsidRDefault="009A2119" w:rsidP="00266EF3">
      <w:pPr>
        <w:rPr>
          <w:lang w:eastAsia="en-GB"/>
        </w:rPr>
      </w:pPr>
      <w:r>
        <w:rPr>
          <w:lang w:eastAsia="en-GB"/>
        </w:rPr>
        <w:lastRenderedPageBreak/>
        <w:t xml:space="preserve">• объем диагностического тестирования на малярию (количество исследованных препаратов или выполненных </w:t>
      </w:r>
      <w:proofErr w:type="spellStart"/>
      <w:r w:rsidR="00266EF3" w:rsidRPr="00266EF3">
        <w:rPr>
          <w:lang w:eastAsia="en-GB"/>
        </w:rPr>
        <w:t>RDTs</w:t>
      </w:r>
      <w:proofErr w:type="spellEnd"/>
      <w:r>
        <w:rPr>
          <w:lang w:eastAsia="en-GB"/>
        </w:rPr>
        <w:t>)</w:t>
      </w:r>
    </w:p>
    <w:p w:rsidR="00266EF3" w:rsidRDefault="009A2119" w:rsidP="00266EF3">
      <w:pPr>
        <w:rPr>
          <w:rFonts w:eastAsia="Times New Roman" w:cs="Times New Roman"/>
          <w:b/>
          <w:szCs w:val="24"/>
          <w:lang w:eastAsia="en-GB"/>
        </w:rPr>
      </w:pPr>
      <w:r>
        <w:rPr>
          <w:lang w:eastAsia="en-GB"/>
        </w:rPr>
        <w:t>• использование частных медицинских учреждений, которые обычно не включаются в системы отчетности.</w:t>
      </w:r>
      <w:r w:rsidRPr="008E1B40">
        <w:rPr>
          <w:rFonts w:eastAsia="Times New Roman" w:cs="Times New Roman"/>
          <w:b/>
          <w:szCs w:val="24"/>
          <w:lang w:eastAsia="en-GB"/>
        </w:rPr>
        <w:t xml:space="preserve"> </w:t>
      </w:r>
    </w:p>
    <w:p w:rsidR="00040034" w:rsidRDefault="00040034" w:rsidP="009A2119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8E1B40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8E1B4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8E1B4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66EF3" w:rsidRDefault="00266EF3" w:rsidP="00266EF3">
      <w:r>
        <w:t xml:space="preserve">URL: https://www.who.int/publications/i/item/9789240015791 </w:t>
      </w:r>
    </w:p>
    <w:p w:rsidR="00266EF3" w:rsidRDefault="00266EF3" w:rsidP="00266EF3">
      <w:r>
        <w:t>Использованные документы</w:t>
      </w:r>
      <w:r>
        <w:t xml:space="preserve">: </w:t>
      </w:r>
    </w:p>
    <w:p w:rsidR="00266EF3" w:rsidRDefault="00266EF3" w:rsidP="00266EF3">
      <w:r>
        <w:t xml:space="preserve">1. </w:t>
      </w:r>
      <w:r w:rsidRPr="00266EF3">
        <w:t xml:space="preserve">Всемирная организация здравоохранения. Всемирный отчет о малярии </w:t>
      </w:r>
      <w:r w:rsidRPr="00266EF3">
        <w:t xml:space="preserve">2020 2020. </w:t>
      </w:r>
    </w:p>
    <w:p w:rsidR="00266EF3" w:rsidRDefault="00266EF3" w:rsidP="00266EF3">
      <w:r w:rsidRPr="00266EF3">
        <w:t xml:space="preserve">2. </w:t>
      </w:r>
      <w:r w:rsidRPr="00266EF3">
        <w:t>Всемирная о</w:t>
      </w:r>
      <w:bookmarkStart w:id="5" w:name="_GoBack"/>
      <w:bookmarkEnd w:id="5"/>
      <w:r w:rsidRPr="00266EF3">
        <w:t>рганизация здравоохранения. Всемирный отчет о малярии, 2008 г. [Интернет]. Женева: Всемирная организация здравоохранения</w:t>
      </w:r>
      <w:r w:rsidRPr="00266EF3">
        <w:t xml:space="preserve">; 2008. </w:t>
      </w:r>
      <w:r w:rsidRPr="00266EF3">
        <w:rPr>
          <w:lang w:val="en-US"/>
        </w:rPr>
        <w:t>Available</w:t>
      </w:r>
      <w:r w:rsidRPr="00266EF3">
        <w:t xml:space="preserve"> </w:t>
      </w:r>
      <w:r w:rsidRPr="00266EF3">
        <w:rPr>
          <w:lang w:val="en-US"/>
        </w:rPr>
        <w:t>from</w:t>
      </w:r>
      <w:r w:rsidRPr="00266EF3">
        <w:t xml:space="preserve">: </w:t>
      </w:r>
      <w:hyperlink r:id="rId10" w:history="1">
        <w:r w:rsidRPr="006F7310">
          <w:rPr>
            <w:rStyle w:val="ac"/>
            <w:lang w:val="en-US"/>
          </w:rPr>
          <w:t>http</w:t>
        </w:r>
        <w:r w:rsidRPr="00266EF3">
          <w:rPr>
            <w:rStyle w:val="ac"/>
          </w:rPr>
          <w:t>://</w:t>
        </w:r>
        <w:r w:rsidRPr="006F7310">
          <w:rPr>
            <w:rStyle w:val="ac"/>
            <w:lang w:val="en-US"/>
          </w:rPr>
          <w:t>apps</w:t>
        </w:r>
        <w:r w:rsidRPr="00266EF3">
          <w:rPr>
            <w:rStyle w:val="ac"/>
          </w:rPr>
          <w:t>.</w:t>
        </w:r>
        <w:r w:rsidRPr="006F7310">
          <w:rPr>
            <w:rStyle w:val="ac"/>
            <w:lang w:val="en-US"/>
          </w:rPr>
          <w:t>who</w:t>
        </w:r>
        <w:r w:rsidRPr="00266EF3">
          <w:rPr>
            <w:rStyle w:val="ac"/>
          </w:rPr>
          <w:t>.</w:t>
        </w:r>
        <w:proofErr w:type="spellStart"/>
        <w:r w:rsidRPr="006F7310">
          <w:rPr>
            <w:rStyle w:val="ac"/>
            <w:lang w:val="en-US"/>
          </w:rPr>
          <w:t>int</w:t>
        </w:r>
        <w:proofErr w:type="spellEnd"/>
        <w:r w:rsidRPr="00266EF3">
          <w:rPr>
            <w:rStyle w:val="ac"/>
          </w:rPr>
          <w:t>/</w:t>
        </w:r>
        <w:r w:rsidRPr="006F7310">
          <w:rPr>
            <w:rStyle w:val="ac"/>
            <w:lang w:val="en-US"/>
          </w:rPr>
          <w:t>iris</w:t>
        </w:r>
        <w:r w:rsidRPr="00266EF3">
          <w:rPr>
            <w:rStyle w:val="ac"/>
          </w:rPr>
          <w:t>/</w:t>
        </w:r>
        <w:proofErr w:type="spellStart"/>
        <w:r w:rsidRPr="006F7310">
          <w:rPr>
            <w:rStyle w:val="ac"/>
            <w:lang w:val="en-US"/>
          </w:rPr>
          <w:t>bitstream</w:t>
        </w:r>
        <w:proofErr w:type="spellEnd"/>
        <w:r w:rsidRPr="00266EF3">
          <w:rPr>
            <w:rStyle w:val="ac"/>
          </w:rPr>
          <w:t>/10665/43939/1/9789241563697_</w:t>
        </w:r>
        <w:proofErr w:type="spellStart"/>
        <w:r w:rsidRPr="006F7310">
          <w:rPr>
            <w:rStyle w:val="ac"/>
            <w:lang w:val="en-US"/>
          </w:rPr>
          <w:t>eng</w:t>
        </w:r>
        <w:proofErr w:type="spellEnd"/>
        <w:r w:rsidRPr="00266EF3">
          <w:rPr>
            <w:rStyle w:val="ac"/>
          </w:rPr>
          <w:t>.</w:t>
        </w:r>
        <w:r w:rsidRPr="006F7310">
          <w:rPr>
            <w:rStyle w:val="ac"/>
            <w:lang w:val="en-US"/>
          </w:rPr>
          <w:t>pdf</w:t>
        </w:r>
      </w:hyperlink>
      <w:r w:rsidRPr="00266EF3">
        <w:t xml:space="preserve"> </w:t>
      </w:r>
    </w:p>
    <w:p w:rsidR="00266EF3" w:rsidRDefault="00266EF3" w:rsidP="00266EF3">
      <w:r w:rsidRPr="00266EF3">
        <w:t xml:space="preserve">3. </w:t>
      </w:r>
      <w:proofErr w:type="spellStart"/>
      <w:r w:rsidRPr="00266EF3">
        <w:rPr>
          <w:lang w:val="en-US"/>
        </w:rPr>
        <w:t>Cibulskis</w:t>
      </w:r>
      <w:proofErr w:type="spellEnd"/>
      <w:r w:rsidRPr="00266EF3">
        <w:t xml:space="preserve"> </w:t>
      </w:r>
      <w:r w:rsidRPr="00266EF3">
        <w:rPr>
          <w:lang w:val="en-US"/>
        </w:rPr>
        <w:t>RE</w:t>
      </w:r>
      <w:r w:rsidRPr="00266EF3">
        <w:t xml:space="preserve">, </w:t>
      </w:r>
      <w:proofErr w:type="spellStart"/>
      <w:r w:rsidRPr="00266EF3">
        <w:rPr>
          <w:lang w:val="en-US"/>
        </w:rPr>
        <w:t>Aregawi</w:t>
      </w:r>
      <w:proofErr w:type="spellEnd"/>
      <w:r w:rsidRPr="00266EF3">
        <w:t xml:space="preserve"> </w:t>
      </w:r>
      <w:r w:rsidRPr="00266EF3">
        <w:rPr>
          <w:lang w:val="en-US"/>
        </w:rPr>
        <w:t>M</w:t>
      </w:r>
      <w:r w:rsidRPr="00266EF3">
        <w:t xml:space="preserve">, </w:t>
      </w:r>
      <w:r w:rsidRPr="00266EF3">
        <w:rPr>
          <w:lang w:val="en-US"/>
        </w:rPr>
        <w:t>Williams</w:t>
      </w:r>
      <w:r w:rsidRPr="00266EF3">
        <w:t xml:space="preserve"> </w:t>
      </w:r>
      <w:r w:rsidRPr="00266EF3">
        <w:rPr>
          <w:lang w:val="en-US"/>
        </w:rPr>
        <w:t>R</w:t>
      </w:r>
      <w:r w:rsidRPr="00266EF3">
        <w:t xml:space="preserve">, </w:t>
      </w:r>
      <w:proofErr w:type="spellStart"/>
      <w:r w:rsidRPr="00266EF3">
        <w:rPr>
          <w:lang w:val="en-US"/>
        </w:rPr>
        <w:t>Otten</w:t>
      </w:r>
      <w:proofErr w:type="spellEnd"/>
      <w:r w:rsidRPr="00266EF3">
        <w:t xml:space="preserve"> </w:t>
      </w:r>
      <w:r w:rsidRPr="00266EF3">
        <w:rPr>
          <w:lang w:val="en-US"/>
        </w:rPr>
        <w:t>M</w:t>
      </w:r>
      <w:r w:rsidRPr="00266EF3">
        <w:t xml:space="preserve">, </w:t>
      </w:r>
      <w:r w:rsidRPr="00266EF3">
        <w:rPr>
          <w:lang w:val="en-US"/>
        </w:rPr>
        <w:t>Dye</w:t>
      </w:r>
      <w:r w:rsidRPr="00266EF3">
        <w:t xml:space="preserve"> </w:t>
      </w:r>
      <w:r w:rsidRPr="00266EF3">
        <w:rPr>
          <w:lang w:val="en-US"/>
        </w:rPr>
        <w:t>C</w:t>
      </w:r>
      <w:r w:rsidRPr="00266EF3">
        <w:t xml:space="preserve">. </w:t>
      </w:r>
      <w:r w:rsidRPr="00266EF3">
        <w:t>Заболеваемость малярией в мире в 2009 г.: оценки, временные тенденции и критика методов.</w:t>
      </w:r>
      <w:r w:rsidRPr="00266EF3">
        <w:t xml:space="preserve"> </w:t>
      </w:r>
      <w:proofErr w:type="gramStart"/>
      <w:r w:rsidRPr="00266EF3">
        <w:rPr>
          <w:lang w:val="en-US"/>
        </w:rPr>
        <w:t>Mueller I, editor.</w:t>
      </w:r>
      <w:proofErr w:type="gramEnd"/>
      <w:r w:rsidRPr="00266EF3">
        <w:rPr>
          <w:lang w:val="en-US"/>
        </w:rPr>
        <w:t xml:space="preserve"> </w:t>
      </w:r>
      <w:proofErr w:type="spellStart"/>
      <w:r w:rsidRPr="00266EF3">
        <w:rPr>
          <w:lang w:val="en-US"/>
        </w:rPr>
        <w:t>PLoS</w:t>
      </w:r>
      <w:proofErr w:type="spellEnd"/>
      <w:r w:rsidRPr="00266EF3">
        <w:rPr>
          <w:lang w:val="en-US"/>
        </w:rPr>
        <w:t xml:space="preserve"> Med. 2011 Dec 20</w:t>
      </w:r>
      <w:proofErr w:type="gramStart"/>
      <w:r w:rsidRPr="00266EF3">
        <w:rPr>
          <w:lang w:val="en-US"/>
        </w:rPr>
        <w:t>;8</w:t>
      </w:r>
      <w:proofErr w:type="gramEnd"/>
      <w:r w:rsidRPr="00266EF3">
        <w:rPr>
          <w:lang w:val="en-US"/>
        </w:rPr>
        <w:t xml:space="preserve">(12):e1001142. </w:t>
      </w:r>
    </w:p>
    <w:p w:rsidR="00266EF3" w:rsidRPr="00266EF3" w:rsidRDefault="00266EF3" w:rsidP="00266EF3">
      <w:pPr>
        <w:rPr>
          <w:lang w:val="en-US"/>
        </w:rPr>
      </w:pPr>
      <w:r w:rsidRPr="00266EF3">
        <w:t xml:space="preserve">4. </w:t>
      </w:r>
      <w:proofErr w:type="gramStart"/>
      <w:r w:rsidRPr="00266EF3">
        <w:rPr>
          <w:lang w:val="en-US"/>
        </w:rPr>
        <w:t>R</w:t>
      </w:r>
      <w:r w:rsidRPr="00266EF3">
        <w:t xml:space="preserve"> </w:t>
      </w:r>
      <w:r w:rsidRPr="00266EF3">
        <w:rPr>
          <w:lang w:val="en-US"/>
        </w:rPr>
        <w:t>Core</w:t>
      </w:r>
      <w:r w:rsidRPr="00266EF3">
        <w:t xml:space="preserve"> </w:t>
      </w:r>
      <w:r w:rsidRPr="00266EF3">
        <w:rPr>
          <w:lang w:val="en-US"/>
        </w:rPr>
        <w:t>Team</w:t>
      </w:r>
      <w:r w:rsidRPr="00266EF3">
        <w:t>.</w:t>
      </w:r>
      <w:proofErr w:type="gramEnd"/>
      <w:r w:rsidRPr="00266EF3">
        <w:t xml:space="preserve"> </w:t>
      </w:r>
      <w:r w:rsidRPr="00266EF3">
        <w:rPr>
          <w:lang w:val="en-US"/>
        </w:rPr>
        <w:t>R</w:t>
      </w:r>
      <w:r w:rsidRPr="00266EF3">
        <w:t xml:space="preserve">: Язык и среда для статистических вычислений [Интернет]. </w:t>
      </w:r>
      <w:proofErr w:type="spellStart"/>
      <w:r w:rsidRPr="00266EF3">
        <w:rPr>
          <w:lang w:val="en-US"/>
        </w:rPr>
        <w:t>Вена</w:t>
      </w:r>
      <w:proofErr w:type="spellEnd"/>
      <w:r w:rsidRPr="00266EF3">
        <w:rPr>
          <w:lang w:val="en-US"/>
        </w:rPr>
        <w:t xml:space="preserve">, </w:t>
      </w:r>
      <w:proofErr w:type="spellStart"/>
      <w:r w:rsidRPr="00266EF3">
        <w:rPr>
          <w:lang w:val="en-US"/>
        </w:rPr>
        <w:t>Австрия</w:t>
      </w:r>
      <w:proofErr w:type="spellEnd"/>
      <w:r w:rsidRPr="00266EF3">
        <w:rPr>
          <w:lang w:val="en-US"/>
        </w:rPr>
        <w:t xml:space="preserve">: R Foundation for Statistical Computing; 2020. </w:t>
      </w:r>
      <w:proofErr w:type="spellStart"/>
      <w:r w:rsidRPr="00266EF3">
        <w:rPr>
          <w:lang w:val="en-US"/>
        </w:rPr>
        <w:t>Доступно</w:t>
      </w:r>
      <w:proofErr w:type="spellEnd"/>
      <w:r w:rsidRPr="00266EF3">
        <w:rPr>
          <w:lang w:val="en-US"/>
        </w:rPr>
        <w:t xml:space="preserve"> с</w:t>
      </w:r>
      <w:r w:rsidRPr="00266EF3">
        <w:rPr>
          <w:lang w:val="en-US"/>
        </w:rPr>
        <w:t xml:space="preserve">: </w:t>
      </w:r>
      <w:hyperlink r:id="rId11" w:history="1">
        <w:r w:rsidRPr="006F7310">
          <w:rPr>
            <w:rStyle w:val="ac"/>
            <w:lang w:val="en-US"/>
          </w:rPr>
          <w:t>http://www.R-project.org/</w:t>
        </w:r>
      </w:hyperlink>
      <w:r w:rsidRPr="00266EF3">
        <w:rPr>
          <w:lang w:val="en-US"/>
        </w:rPr>
        <w:t xml:space="preserve"> </w:t>
      </w:r>
    </w:p>
    <w:p w:rsidR="00B3281D" w:rsidRPr="00FE37C2" w:rsidRDefault="00266EF3" w:rsidP="00266EF3">
      <w:pPr>
        <w:rPr>
          <w:lang w:eastAsia="en-GB"/>
        </w:rPr>
      </w:pPr>
      <w:r w:rsidRPr="00266EF3">
        <w:rPr>
          <w:lang w:val="en-US"/>
        </w:rPr>
        <w:t xml:space="preserve">5. Bhatt S, Weiss DJ, Cameron E, </w:t>
      </w:r>
      <w:proofErr w:type="spellStart"/>
      <w:r w:rsidRPr="00266EF3">
        <w:rPr>
          <w:lang w:val="en-US"/>
        </w:rPr>
        <w:t>Bisanzio</w:t>
      </w:r>
      <w:proofErr w:type="spellEnd"/>
      <w:r w:rsidRPr="00266EF3">
        <w:rPr>
          <w:lang w:val="en-US"/>
        </w:rPr>
        <w:t xml:space="preserve"> D, </w:t>
      </w:r>
      <w:proofErr w:type="spellStart"/>
      <w:r w:rsidRPr="00266EF3">
        <w:rPr>
          <w:lang w:val="en-US"/>
        </w:rPr>
        <w:t>Mappin</w:t>
      </w:r>
      <w:proofErr w:type="spellEnd"/>
      <w:r w:rsidRPr="00266EF3">
        <w:rPr>
          <w:lang w:val="en-US"/>
        </w:rPr>
        <w:t xml:space="preserve"> B, Dalrymple U, et al. </w:t>
      </w:r>
      <w:r w:rsidRPr="00266EF3">
        <w:t xml:space="preserve">Влияние борьбы с малярией на </w:t>
      </w:r>
      <w:r w:rsidRPr="00266EF3">
        <w:rPr>
          <w:lang w:val="en-US"/>
        </w:rPr>
        <w:t>Plasmodium</w:t>
      </w:r>
      <w:r w:rsidRPr="00266EF3">
        <w:t xml:space="preserve"> </w:t>
      </w:r>
      <w:r w:rsidRPr="00266EF3">
        <w:rPr>
          <w:lang w:val="en-US"/>
        </w:rPr>
        <w:t>falciparum</w:t>
      </w:r>
      <w:r w:rsidRPr="00266EF3">
        <w:t xml:space="preserve"> в Африке в период с 2000 по 2015 год.</w:t>
      </w:r>
      <w:r w:rsidRPr="00266EF3">
        <w:t xml:space="preserve"> </w:t>
      </w:r>
      <w:proofErr w:type="spellStart"/>
      <w:r>
        <w:t>Nature</w:t>
      </w:r>
      <w:proofErr w:type="spellEnd"/>
      <w:r>
        <w:t xml:space="preserve">. 2015 </w:t>
      </w:r>
      <w:proofErr w:type="spellStart"/>
      <w:r>
        <w:t>Oct</w:t>
      </w:r>
      <w:proofErr w:type="spellEnd"/>
      <w:r>
        <w:t xml:space="preserve"> 8;526(7572):207–11</w:t>
      </w:r>
    </w:p>
    <w:sectPr w:rsidR="00B3281D" w:rsidRPr="00FE37C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C2" w:rsidRDefault="006704C2" w:rsidP="00F73DBC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C2" w:rsidRDefault="006704C2" w:rsidP="00F73DBC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A7B"/>
    <w:multiLevelType w:val="hybridMultilevel"/>
    <w:tmpl w:val="4AD66D94"/>
    <w:lvl w:ilvl="0" w:tplc="81A0554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2BD5"/>
    <w:rsid w:val="00040034"/>
    <w:rsid w:val="000476F9"/>
    <w:rsid w:val="00053D20"/>
    <w:rsid w:val="000A210D"/>
    <w:rsid w:val="000A229E"/>
    <w:rsid w:val="000F4DCF"/>
    <w:rsid w:val="00116248"/>
    <w:rsid w:val="00141EE0"/>
    <w:rsid w:val="00145214"/>
    <w:rsid w:val="001470A2"/>
    <w:rsid w:val="0015401E"/>
    <w:rsid w:val="00165896"/>
    <w:rsid w:val="001A163A"/>
    <w:rsid w:val="001E2FC9"/>
    <w:rsid w:val="001E66D6"/>
    <w:rsid w:val="001F0DA3"/>
    <w:rsid w:val="00266EF3"/>
    <w:rsid w:val="0027474B"/>
    <w:rsid w:val="00291FA0"/>
    <w:rsid w:val="002E122C"/>
    <w:rsid w:val="002E15F9"/>
    <w:rsid w:val="002F63E5"/>
    <w:rsid w:val="002F6FAF"/>
    <w:rsid w:val="00302074"/>
    <w:rsid w:val="00303D71"/>
    <w:rsid w:val="003143BC"/>
    <w:rsid w:val="00363263"/>
    <w:rsid w:val="003746BC"/>
    <w:rsid w:val="00390623"/>
    <w:rsid w:val="003C6C18"/>
    <w:rsid w:val="003D14E9"/>
    <w:rsid w:val="003D56D3"/>
    <w:rsid w:val="003D58DC"/>
    <w:rsid w:val="00407E4E"/>
    <w:rsid w:val="00410854"/>
    <w:rsid w:val="004143B4"/>
    <w:rsid w:val="00421928"/>
    <w:rsid w:val="00497B15"/>
    <w:rsid w:val="004B2651"/>
    <w:rsid w:val="004E087E"/>
    <w:rsid w:val="00565778"/>
    <w:rsid w:val="005816FA"/>
    <w:rsid w:val="00587FF2"/>
    <w:rsid w:val="005E47BD"/>
    <w:rsid w:val="00604FC8"/>
    <w:rsid w:val="006704C2"/>
    <w:rsid w:val="00692611"/>
    <w:rsid w:val="00694160"/>
    <w:rsid w:val="006B260E"/>
    <w:rsid w:val="006B3939"/>
    <w:rsid w:val="006C58F9"/>
    <w:rsid w:val="006D7049"/>
    <w:rsid w:val="006E1C44"/>
    <w:rsid w:val="006F1F13"/>
    <w:rsid w:val="006F6EE9"/>
    <w:rsid w:val="00702333"/>
    <w:rsid w:val="00705161"/>
    <w:rsid w:val="007205C2"/>
    <w:rsid w:val="0075371E"/>
    <w:rsid w:val="007549F0"/>
    <w:rsid w:val="00771350"/>
    <w:rsid w:val="00780F08"/>
    <w:rsid w:val="00781DE7"/>
    <w:rsid w:val="007B0CFD"/>
    <w:rsid w:val="007C0CB8"/>
    <w:rsid w:val="007C27E0"/>
    <w:rsid w:val="007D1185"/>
    <w:rsid w:val="007D1FD8"/>
    <w:rsid w:val="007E2D8C"/>
    <w:rsid w:val="007E75CA"/>
    <w:rsid w:val="007F06DF"/>
    <w:rsid w:val="00816CE9"/>
    <w:rsid w:val="00836F3E"/>
    <w:rsid w:val="00853C09"/>
    <w:rsid w:val="008A2272"/>
    <w:rsid w:val="008A67A3"/>
    <w:rsid w:val="008E1B40"/>
    <w:rsid w:val="009443BE"/>
    <w:rsid w:val="009508D1"/>
    <w:rsid w:val="00957A62"/>
    <w:rsid w:val="00980B35"/>
    <w:rsid w:val="00980F79"/>
    <w:rsid w:val="00981552"/>
    <w:rsid w:val="00982FE8"/>
    <w:rsid w:val="009A2119"/>
    <w:rsid w:val="009B4D08"/>
    <w:rsid w:val="009C064B"/>
    <w:rsid w:val="00A0604E"/>
    <w:rsid w:val="00A45429"/>
    <w:rsid w:val="00A618FC"/>
    <w:rsid w:val="00A64562"/>
    <w:rsid w:val="00A71EC6"/>
    <w:rsid w:val="00A82CD3"/>
    <w:rsid w:val="00A855D7"/>
    <w:rsid w:val="00A91FDE"/>
    <w:rsid w:val="00A9572F"/>
    <w:rsid w:val="00AC1A97"/>
    <w:rsid w:val="00B0378B"/>
    <w:rsid w:val="00B3281D"/>
    <w:rsid w:val="00B678F4"/>
    <w:rsid w:val="00B72F77"/>
    <w:rsid w:val="00BD29EC"/>
    <w:rsid w:val="00BE2C5D"/>
    <w:rsid w:val="00C371CB"/>
    <w:rsid w:val="00C8596F"/>
    <w:rsid w:val="00CA1CB1"/>
    <w:rsid w:val="00D0399C"/>
    <w:rsid w:val="00D05466"/>
    <w:rsid w:val="00D2619D"/>
    <w:rsid w:val="00D9070E"/>
    <w:rsid w:val="00DA19D7"/>
    <w:rsid w:val="00E123F7"/>
    <w:rsid w:val="00E21B43"/>
    <w:rsid w:val="00E27922"/>
    <w:rsid w:val="00E33CA8"/>
    <w:rsid w:val="00E646BF"/>
    <w:rsid w:val="00E90BD4"/>
    <w:rsid w:val="00EB362A"/>
    <w:rsid w:val="00EB389E"/>
    <w:rsid w:val="00ED4FCD"/>
    <w:rsid w:val="00EE0900"/>
    <w:rsid w:val="00F6371F"/>
    <w:rsid w:val="00F73DBC"/>
    <w:rsid w:val="00F84FF1"/>
    <w:rsid w:val="00F92D6F"/>
    <w:rsid w:val="00FB66D9"/>
    <w:rsid w:val="00FE35CF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-project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ps.who.int/iris/bitstream/10665/43939/1/9789241563697_en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7D80-AE72-4BC6-8796-925EEEAF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18</cp:revision>
  <dcterms:created xsi:type="dcterms:W3CDTF">2022-02-02T12:40:00Z</dcterms:created>
  <dcterms:modified xsi:type="dcterms:W3CDTF">2022-02-02T13:32:00Z</dcterms:modified>
</cp:coreProperties>
</file>