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E415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BE415C" w:rsidRPr="00BE415C">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BE415C"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sidR="00136487">
        <w:rPr>
          <w:rFonts w:cs="Times New Roman"/>
          <w:szCs w:val="24"/>
        </w:rPr>
        <w:t>7</w:t>
      </w:r>
      <w:r w:rsidR="00780F08" w:rsidRPr="00BD29EC">
        <w:rPr>
          <w:rFonts w:cs="Times New Roman"/>
          <w:szCs w:val="24"/>
        </w:rPr>
        <w:t xml:space="preserve">.  </w:t>
      </w:r>
      <w:r w:rsidR="00136487" w:rsidRPr="00136487">
        <w:rPr>
          <w:rFonts w:cs="Times New Roman"/>
          <w:szCs w:val="24"/>
        </w:rPr>
        <w:t>К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E415C">
        <w:rPr>
          <w:rFonts w:cs="Times New Roman"/>
          <w:szCs w:val="24"/>
        </w:rPr>
        <w:t>3</w:t>
      </w:r>
      <w:r w:rsidR="00780F08" w:rsidRPr="00BD29EC">
        <w:rPr>
          <w:rFonts w:cs="Times New Roman"/>
          <w:szCs w:val="24"/>
        </w:rPr>
        <w:t>.</w:t>
      </w:r>
      <w:r w:rsidR="00136487">
        <w:rPr>
          <w:rFonts w:cs="Times New Roman"/>
          <w:szCs w:val="24"/>
        </w:rPr>
        <w:t>7</w:t>
      </w:r>
      <w:r w:rsidR="00780F08" w:rsidRPr="00BD29EC">
        <w:rPr>
          <w:rFonts w:cs="Times New Roman"/>
          <w:szCs w:val="24"/>
        </w:rPr>
        <w:t xml:space="preserve">.1 </w:t>
      </w:r>
      <w:r w:rsidR="00136487" w:rsidRPr="00136487">
        <w:rPr>
          <w:rFonts w:cs="Times New Roman"/>
          <w:szCs w:val="24"/>
        </w:rPr>
        <w:t>Доля женщин репродуктивного возраста (от 15 до 49 лет), чьи потребности по планированию семьи удовлетворяются современными методами</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792FD0" w:rsidRPr="00BD29EC" w:rsidRDefault="00792FD0" w:rsidP="00792FD0">
      <w:pPr>
        <w:rPr>
          <w:bdr w:val="nil"/>
          <w:lang w:eastAsia="ru-RU"/>
        </w:rPr>
      </w:pPr>
      <w:r w:rsidRPr="00792FD0">
        <w:rPr>
          <w:bdr w:val="nil"/>
          <w:lang w:eastAsia="ru-RU"/>
        </w:rPr>
        <w:t>2021-03-01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792FD0" w:rsidRPr="00792FD0" w:rsidRDefault="00792FD0" w:rsidP="00792FD0">
      <w:pPr>
        <w:rPr>
          <w:bdr w:val="nil"/>
          <w:lang w:eastAsia="ru-RU"/>
        </w:rPr>
      </w:pPr>
      <w:proofErr w:type="gramStart"/>
      <w:r w:rsidRPr="00792FD0">
        <w:rPr>
          <w:bdr w:val="nil"/>
          <w:lang w:eastAsia="ru-RU"/>
        </w:rPr>
        <w:t>Этот показатель связан с Задачей 3.8 (</w:t>
      </w:r>
      <w:r w:rsidRPr="00792FD0">
        <w:rPr>
          <w:rFonts w:cs="Times New Roman"/>
          <w:szCs w:val="24"/>
        </w:rPr>
        <w:t>Обеспечить всеобщий охват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r w:rsidRPr="00792FD0">
        <w:rPr>
          <w:bdr w:val="nil"/>
          <w:lang w:eastAsia="ru-RU"/>
        </w:rPr>
        <w:t>), поскольку предоставление информации о планировании семьи и метод</w:t>
      </w:r>
      <w:r>
        <w:rPr>
          <w:bdr w:val="nil"/>
          <w:lang w:eastAsia="ru-RU"/>
        </w:rPr>
        <w:t>ах</w:t>
      </w:r>
      <w:r w:rsidRPr="00792FD0">
        <w:rPr>
          <w:bdr w:val="nil"/>
          <w:lang w:eastAsia="ru-RU"/>
        </w:rPr>
        <w:t xml:space="preserve"> для всех лиц, желающих предотвратить беременность, является важным компонентом достижения всеобщего охвата услугами</w:t>
      </w:r>
      <w:proofErr w:type="gramEnd"/>
      <w:r w:rsidRPr="00792FD0">
        <w:rPr>
          <w:bdr w:val="nil"/>
          <w:lang w:eastAsia="ru-RU"/>
        </w:rPr>
        <w:t xml:space="preserve"> здравоохранения.</w:t>
      </w:r>
    </w:p>
    <w:p w:rsidR="00792FD0" w:rsidRPr="00DA19D7" w:rsidRDefault="00792FD0" w:rsidP="00792FD0">
      <w:pPr>
        <w:rPr>
          <w:bdr w:val="nil"/>
          <w:lang w:eastAsia="ru-RU"/>
        </w:rPr>
      </w:pPr>
      <w:proofErr w:type="gramStart"/>
      <w:r w:rsidRPr="00792FD0">
        <w:rPr>
          <w:bdr w:val="nil"/>
          <w:lang w:eastAsia="ru-RU"/>
        </w:rPr>
        <w:t>Этот показатель также связан с Задачей 5.6 (</w:t>
      </w:r>
      <w:r w:rsidRPr="00792FD0">
        <w:rPr>
          <w:rFonts w:eastAsia="Times New Roman" w:cs="Times New Roman"/>
          <w:szCs w:val="24"/>
        </w:rPr>
        <w:t>Обеспечение всеобщего доступа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 Пекинской платформой действий и итоговыми документами конференций по рассмотрению хода их выполнения</w:t>
      </w:r>
      <w:r w:rsidRPr="00792FD0">
        <w:rPr>
          <w:bdr w:val="nil"/>
          <w:lang w:eastAsia="ru-RU"/>
        </w:rPr>
        <w:t>), поскольку удовлетворению спроса на услуги по планированию семьи способствует расширение доступа к услугам</w:t>
      </w:r>
      <w:proofErr w:type="gramEnd"/>
      <w:r w:rsidRPr="00792FD0">
        <w:rPr>
          <w:bdr w:val="nil"/>
          <w:lang w:eastAsia="ru-RU"/>
        </w:rPr>
        <w:t xml:space="preserve"> по охране сексуального и репродуктивного здоровья, а также улучшение сексуального и репродуктивного здоровья и возможности </w:t>
      </w:r>
      <w:proofErr w:type="gramStart"/>
      <w:r w:rsidRPr="00792FD0">
        <w:rPr>
          <w:bdr w:val="nil"/>
          <w:lang w:eastAsia="ru-RU"/>
        </w:rPr>
        <w:t>реализации</w:t>
      </w:r>
      <w:proofErr w:type="gramEnd"/>
      <w:r w:rsidRPr="00792FD0">
        <w:rPr>
          <w:bdr w:val="nil"/>
          <w:lang w:eastAsia="ru-RU"/>
        </w:rPr>
        <w:t xml:space="preserve"> репродуктивных прав.</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B22EE5" w:rsidP="00B22EE5">
      <w:pPr>
        <w:rPr>
          <w:rFonts w:cs="Times New Roman"/>
          <w:szCs w:val="24"/>
        </w:rPr>
      </w:pPr>
      <w:r w:rsidRPr="001F7AFC">
        <w:rPr>
          <w:rFonts w:cs="Times New Roman"/>
          <w:szCs w:val="24"/>
        </w:rPr>
        <w:t>Отдел народонаселения, Департамент по экономическим и социальным вопросам (ДЭСВ) Фонд Организации Объединенных Наций в области народонаселения (ЮНФПА)</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A9247A" w:rsidRDefault="00B22EE5" w:rsidP="00A9247A">
      <w:pPr>
        <w:rPr>
          <w:rFonts w:cs="Times New Roman"/>
          <w:szCs w:val="24"/>
        </w:rPr>
      </w:pPr>
      <w:r w:rsidRPr="001F7AFC">
        <w:rPr>
          <w:rFonts w:cs="Times New Roman"/>
          <w:szCs w:val="24"/>
        </w:rPr>
        <w:lastRenderedPageBreak/>
        <w:t>Отдел народонаселения, Департамент по экономическим и социальным вопросам (ДЭСВ) Фонд Организации Объединенных Наций в области народонаселения (ЮНФПА)</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A9247A" w:rsidRDefault="00A9247A" w:rsidP="00DA19D7">
      <w:pPr>
        <w:pStyle w:val="MText"/>
        <w:rPr>
          <w:color w:val="000000" w:themeColor="text1"/>
          <w:sz w:val="24"/>
          <w:szCs w:val="24"/>
          <w:lang w:val="ru-RU"/>
        </w:rPr>
      </w:pPr>
      <w:r w:rsidRPr="00A9247A">
        <w:rPr>
          <w:color w:val="000000" w:themeColor="text1"/>
          <w:sz w:val="24"/>
          <w:szCs w:val="24"/>
          <w:lang w:val="ru-RU"/>
        </w:rPr>
        <w:t>Доля женщин репродуктивного возраста (15-49 лет), использующих в настоящее время современный метод контрацепции, среди тех, кто желает либо не иметь (дополнительных) детей, либо отложить следующую беременность. Показатель также называют потребностью в планировании семьи, удовлетворяемой современными методами.</w:t>
      </w:r>
    </w:p>
    <w:p w:rsidR="00A9247A" w:rsidRDefault="00A9247A" w:rsidP="00DA19D7">
      <w:pPr>
        <w:pStyle w:val="MText"/>
        <w:rPr>
          <w:color w:val="000000" w:themeColor="text1"/>
          <w:sz w:val="24"/>
          <w:szCs w:val="24"/>
          <w:lang w:val="ru-RU"/>
        </w:rPr>
      </w:pP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A9247A" w:rsidRPr="001F7AFC" w:rsidRDefault="00A9247A" w:rsidP="00A9247A">
      <w:pPr>
        <w:rPr>
          <w:rFonts w:cs="Times New Roman"/>
          <w:szCs w:val="24"/>
        </w:rPr>
      </w:pPr>
      <w:r w:rsidRPr="001F7AFC">
        <w:rPr>
          <w:rFonts w:cs="Times New Roman"/>
          <w:szCs w:val="24"/>
        </w:rPr>
        <w:t>Процент женщин репродуктивного возраста (15-49 лет), которые имеют потребность в планировании семьи, удовлетворяющих современным методам, также упоминается как доля спроса, удовлетворяемого современными методами. Компонентами показателя являются контрацептивная распространенность (любой метод и современные методы) и неудовлетворенная потребность в планировании семьи.</w:t>
      </w:r>
    </w:p>
    <w:p w:rsidR="00A9247A" w:rsidRPr="001F7AFC" w:rsidRDefault="00A9247A" w:rsidP="00A9247A">
      <w:pPr>
        <w:rPr>
          <w:rFonts w:cs="Times New Roman"/>
          <w:szCs w:val="24"/>
        </w:rPr>
      </w:pPr>
      <w:r>
        <w:rPr>
          <w:rFonts w:cs="Times New Roman"/>
          <w:szCs w:val="24"/>
        </w:rPr>
        <w:t xml:space="preserve">Распространенность противозачаточных средств </w:t>
      </w:r>
      <w:r w:rsidRPr="001F7AFC">
        <w:rPr>
          <w:rFonts w:cs="Times New Roman"/>
          <w:szCs w:val="24"/>
        </w:rPr>
        <w:t xml:space="preserve">- это процент женщин, которые в настоящее время используют, или чей сексуальный партнер в настоящее время использует, по крайней </w:t>
      </w:r>
      <w:proofErr w:type="gramStart"/>
      <w:r w:rsidRPr="001F7AFC">
        <w:rPr>
          <w:rFonts w:cs="Times New Roman"/>
          <w:szCs w:val="24"/>
        </w:rPr>
        <w:t>мере</w:t>
      </w:r>
      <w:proofErr w:type="gramEnd"/>
      <w:r w:rsidRPr="001F7AFC">
        <w:rPr>
          <w:rFonts w:cs="Times New Roman"/>
          <w:szCs w:val="24"/>
        </w:rPr>
        <w:t xml:space="preserve"> один метод контрацепции, независимо от используемого метода. Неудовлетворенная потребность в планировании семьи определяется как процент женщин репродуктивного возраста, состоящих в браке или в союзе, которые хотят прекратить или отсрочить деторождение, но не используют какой-либо метод контрацепции.</w:t>
      </w:r>
    </w:p>
    <w:p w:rsidR="00A9247A" w:rsidRPr="001F7AFC" w:rsidRDefault="00A9247A" w:rsidP="00A9247A">
      <w:pPr>
        <w:rPr>
          <w:rFonts w:cs="Times New Roman"/>
          <w:szCs w:val="24"/>
        </w:rPr>
      </w:pPr>
      <w:r w:rsidRPr="001F7AFC">
        <w:rPr>
          <w:rFonts w:cs="Times New Roman"/>
          <w:szCs w:val="24"/>
        </w:rPr>
        <w:t xml:space="preserve">В аналитических целях методы контрацепции часто классифицируются как современные, так и традиционные. </w:t>
      </w:r>
      <w:proofErr w:type="gramStart"/>
      <w:r w:rsidRPr="001F7AFC">
        <w:rPr>
          <w:rFonts w:cs="Times New Roman"/>
          <w:szCs w:val="24"/>
        </w:rPr>
        <w:t>Современные методы контрацепции включают стерилизацию женщин и мужчин, в</w:t>
      </w:r>
      <w:r>
        <w:rPr>
          <w:rFonts w:cs="Times New Roman"/>
          <w:szCs w:val="24"/>
        </w:rPr>
        <w:t xml:space="preserve">нутриматочные спирали </w:t>
      </w:r>
      <w:r w:rsidRPr="001F7AFC">
        <w:rPr>
          <w:rFonts w:cs="Times New Roman"/>
          <w:szCs w:val="24"/>
        </w:rPr>
        <w:t xml:space="preserve">(ВМС), имплантат, инъекционные препараты, оральные противозачаточные таблетки, мужские и женские презервативы, вагинальные </w:t>
      </w:r>
      <w:r>
        <w:rPr>
          <w:rFonts w:cs="Times New Roman"/>
          <w:szCs w:val="24"/>
        </w:rPr>
        <w:t>механические</w:t>
      </w:r>
      <w:r w:rsidRPr="001F7AFC">
        <w:rPr>
          <w:rFonts w:cs="Times New Roman"/>
          <w:szCs w:val="24"/>
        </w:rPr>
        <w:t xml:space="preserve"> методы (включая диафрагму, </w:t>
      </w:r>
      <w:r>
        <w:rPr>
          <w:rFonts w:cs="Times New Roman"/>
          <w:szCs w:val="24"/>
        </w:rPr>
        <w:t>маточный колпачок</w:t>
      </w:r>
      <w:r w:rsidRPr="001F7AFC">
        <w:rPr>
          <w:rFonts w:cs="Times New Roman"/>
          <w:szCs w:val="24"/>
        </w:rPr>
        <w:t xml:space="preserve"> и </w:t>
      </w:r>
      <w:proofErr w:type="spellStart"/>
      <w:r w:rsidRPr="001F7AFC">
        <w:rPr>
          <w:rFonts w:cs="Times New Roman"/>
          <w:szCs w:val="24"/>
        </w:rPr>
        <w:t>спермицидную</w:t>
      </w:r>
      <w:proofErr w:type="spellEnd"/>
      <w:r w:rsidRPr="001F7AFC">
        <w:rPr>
          <w:rFonts w:cs="Times New Roman"/>
          <w:szCs w:val="24"/>
        </w:rPr>
        <w:t xml:space="preserve"> пен</w:t>
      </w:r>
      <w:r>
        <w:rPr>
          <w:rFonts w:cs="Times New Roman"/>
          <w:szCs w:val="24"/>
        </w:rPr>
        <w:t>у</w:t>
      </w:r>
      <w:r w:rsidRPr="001F7AFC">
        <w:rPr>
          <w:rFonts w:cs="Times New Roman"/>
          <w:szCs w:val="24"/>
        </w:rPr>
        <w:t xml:space="preserve">, желе, </w:t>
      </w:r>
      <w:r>
        <w:rPr>
          <w:rFonts w:cs="Times New Roman"/>
          <w:szCs w:val="24"/>
        </w:rPr>
        <w:t>крем</w:t>
      </w:r>
      <w:r w:rsidRPr="001F7AFC">
        <w:rPr>
          <w:rFonts w:cs="Times New Roman"/>
          <w:szCs w:val="24"/>
        </w:rPr>
        <w:t xml:space="preserve"> и губку), метод лактационной аменореи (</w:t>
      </w:r>
      <w:r>
        <w:rPr>
          <w:rFonts w:cs="Times New Roman"/>
          <w:szCs w:val="24"/>
        </w:rPr>
        <w:t>ЛАМ</w:t>
      </w:r>
      <w:r w:rsidRPr="001F7AFC">
        <w:rPr>
          <w:rFonts w:cs="Times New Roman"/>
          <w:szCs w:val="24"/>
        </w:rPr>
        <w:t>), экстренную контрацепцию и другие</w:t>
      </w:r>
      <w:r>
        <w:rPr>
          <w:rFonts w:cs="Times New Roman"/>
          <w:szCs w:val="24"/>
        </w:rPr>
        <w:t xml:space="preserve"> отдельно от современных методов не указываются</w:t>
      </w:r>
      <w:r w:rsidRPr="001F7AFC">
        <w:rPr>
          <w:rFonts w:cs="Times New Roman"/>
          <w:szCs w:val="24"/>
        </w:rPr>
        <w:t xml:space="preserve"> (например, </w:t>
      </w:r>
      <w:r>
        <w:rPr>
          <w:rFonts w:cs="Times New Roman"/>
          <w:szCs w:val="24"/>
        </w:rPr>
        <w:t>противозачаточное средство</w:t>
      </w:r>
      <w:r w:rsidRPr="001F7AFC">
        <w:rPr>
          <w:rFonts w:cs="Times New Roman"/>
          <w:szCs w:val="24"/>
        </w:rPr>
        <w:t xml:space="preserve"> или вагинальное кольцо).</w:t>
      </w:r>
      <w:proofErr w:type="gramEnd"/>
      <w:r w:rsidRPr="001F7AFC">
        <w:rPr>
          <w:rFonts w:cs="Times New Roman"/>
          <w:szCs w:val="24"/>
        </w:rPr>
        <w:t xml:space="preserve"> Традиционные методы контрацепции включают в себя ритм (например, методы определения уровня рождаемости, периодическое воздержание), уход и другие традиционные методы, о которых </w:t>
      </w:r>
      <w:r>
        <w:rPr>
          <w:rFonts w:cs="Times New Roman"/>
          <w:szCs w:val="24"/>
        </w:rPr>
        <w:t>не указывается отдельно</w:t>
      </w:r>
      <w:r w:rsidRPr="001F7AFC">
        <w:rPr>
          <w:rFonts w:cs="Times New Roman"/>
          <w:szCs w:val="24"/>
        </w:rPr>
        <w:t>.</w:t>
      </w:r>
    </w:p>
    <w:p w:rsidR="00A9247A" w:rsidRDefault="00A9247A" w:rsidP="00DA19D7">
      <w:pPr>
        <w:pStyle w:val="MText"/>
        <w:rPr>
          <w:color w:val="auto"/>
          <w:sz w:val="24"/>
          <w:szCs w:val="24"/>
          <w:lang w:val="ru-RU"/>
        </w:rPr>
      </w:pPr>
      <w:r w:rsidRPr="00A9247A">
        <w:rPr>
          <w:color w:val="000000" w:themeColor="text1"/>
          <w:sz w:val="24"/>
          <w:szCs w:val="24"/>
          <w:lang w:val="ru-RU"/>
        </w:rPr>
        <w:t xml:space="preserve">Неудовлетворенная потребность в планировании семьи определяется как процент женщин репродуктивного возраста, которые хотят прекратить или отсрочить деторождение, но не используют никаких методов контрацепции. Стандартное определение неудовлетворенной потребности в планировании семьи включает женщин, которые способны к деторождению и сексуально активны в числителе, и которые сообщают, что не хотят иметь (больше) детей, или которые сообщают о желании отложить рождение своего следующего </w:t>
      </w:r>
      <w:proofErr w:type="gramStart"/>
      <w:r w:rsidRPr="00A9247A">
        <w:rPr>
          <w:color w:val="000000" w:themeColor="text1"/>
          <w:sz w:val="24"/>
          <w:szCs w:val="24"/>
          <w:lang w:val="ru-RU"/>
        </w:rPr>
        <w:t>ребенка</w:t>
      </w:r>
      <w:proofErr w:type="gramEnd"/>
      <w:r w:rsidRPr="00A9247A">
        <w:rPr>
          <w:color w:val="000000" w:themeColor="text1"/>
          <w:sz w:val="24"/>
          <w:szCs w:val="24"/>
          <w:lang w:val="ru-RU"/>
        </w:rPr>
        <w:t xml:space="preserve"> по крайней мере на два года или не определились со сроками </w:t>
      </w:r>
      <w:r w:rsidRPr="00A9247A">
        <w:rPr>
          <w:color w:val="000000" w:themeColor="text1"/>
          <w:sz w:val="24"/>
          <w:szCs w:val="24"/>
          <w:lang w:val="ru-RU"/>
        </w:rPr>
        <w:lastRenderedPageBreak/>
        <w:t xml:space="preserve">следующих родов, но не используют никаких методов контрацепции. </w:t>
      </w:r>
      <w:proofErr w:type="gramStart"/>
      <w:r w:rsidRPr="00A9247A">
        <w:rPr>
          <w:color w:val="000000" w:themeColor="text1"/>
          <w:sz w:val="24"/>
          <w:szCs w:val="24"/>
          <w:lang w:val="ru-RU"/>
        </w:rPr>
        <w:t>В числитель также входят беременные женщины, беременность которых была нежелательной или несвоевременной во время зачатия; и женщины с послеродовой аменореей, которые не используют методы планирования семьи и чьи последние роды были нежелательными или несвоевременными.</w:t>
      </w:r>
      <w:proofErr w:type="gramEnd"/>
      <w:r w:rsidRPr="00A9247A">
        <w:rPr>
          <w:color w:val="000000" w:themeColor="text1"/>
          <w:sz w:val="24"/>
          <w:szCs w:val="24"/>
          <w:lang w:val="ru-RU"/>
        </w:rPr>
        <w:t xml:space="preserve"> Дополнительную информацию об оперативном определении неудовлетворенной потребности в планировании семьи, а также вопросы обследования и статистические программы, необходимые для получения показателя, можно найти на следующем веб-сайте Программы демографических и медицинских исследо</w:t>
      </w:r>
      <w:r>
        <w:rPr>
          <w:color w:val="000000" w:themeColor="text1"/>
          <w:sz w:val="24"/>
          <w:szCs w:val="24"/>
          <w:lang w:val="ru-RU"/>
        </w:rPr>
        <w:t xml:space="preserve">ваний USAID: </w:t>
      </w:r>
      <w:hyperlink r:id="rId9" w:history="1">
        <w:r w:rsidRPr="00BB1D57">
          <w:rPr>
            <w:rStyle w:val="ac"/>
            <w:sz w:val="24"/>
            <w:szCs w:val="24"/>
          </w:rPr>
          <w:t>http</w:t>
        </w:r>
        <w:r w:rsidRPr="00BB1D57">
          <w:rPr>
            <w:rStyle w:val="ac"/>
            <w:sz w:val="24"/>
            <w:szCs w:val="24"/>
            <w:lang w:val="ru-RU"/>
          </w:rPr>
          <w:t>://</w:t>
        </w:r>
        <w:proofErr w:type="spellStart"/>
        <w:r w:rsidRPr="00BB1D57">
          <w:rPr>
            <w:rStyle w:val="ac"/>
            <w:sz w:val="24"/>
            <w:szCs w:val="24"/>
          </w:rPr>
          <w:t>measuredhs</w:t>
        </w:r>
        <w:proofErr w:type="spellEnd"/>
        <w:r w:rsidRPr="00BB1D57">
          <w:rPr>
            <w:rStyle w:val="ac"/>
            <w:sz w:val="24"/>
            <w:szCs w:val="24"/>
            <w:lang w:val="ru-RU"/>
          </w:rPr>
          <w:t>.</w:t>
        </w:r>
        <w:r w:rsidRPr="00BB1D57">
          <w:rPr>
            <w:rStyle w:val="ac"/>
            <w:sz w:val="24"/>
            <w:szCs w:val="24"/>
          </w:rPr>
          <w:t>com</w:t>
        </w:r>
        <w:r w:rsidRPr="00BB1D57">
          <w:rPr>
            <w:rStyle w:val="ac"/>
            <w:sz w:val="24"/>
            <w:szCs w:val="24"/>
            <w:lang w:val="ru-RU"/>
          </w:rPr>
          <w:t>/</w:t>
        </w:r>
        <w:r w:rsidRPr="00BB1D57">
          <w:rPr>
            <w:rStyle w:val="ac"/>
            <w:sz w:val="24"/>
            <w:szCs w:val="24"/>
          </w:rPr>
          <w:t>Topics</w:t>
        </w:r>
        <w:r w:rsidRPr="00BB1D57">
          <w:rPr>
            <w:rStyle w:val="ac"/>
            <w:sz w:val="24"/>
            <w:szCs w:val="24"/>
            <w:lang w:val="ru-RU"/>
          </w:rPr>
          <w:t>/</w:t>
        </w:r>
        <w:r w:rsidRPr="00BB1D57">
          <w:rPr>
            <w:rStyle w:val="ac"/>
            <w:sz w:val="24"/>
            <w:szCs w:val="24"/>
          </w:rPr>
          <w:t>Unmet</w:t>
        </w:r>
        <w:r w:rsidRPr="00BB1D57">
          <w:rPr>
            <w:rStyle w:val="ac"/>
            <w:sz w:val="24"/>
            <w:szCs w:val="24"/>
            <w:lang w:val="ru-RU"/>
          </w:rPr>
          <w:t>-</w:t>
        </w:r>
        <w:r w:rsidRPr="00BB1D57">
          <w:rPr>
            <w:rStyle w:val="ac"/>
            <w:sz w:val="24"/>
            <w:szCs w:val="24"/>
          </w:rPr>
          <w:t>Need</w:t>
        </w:r>
        <w:r w:rsidRPr="00BB1D57">
          <w:rPr>
            <w:rStyle w:val="ac"/>
            <w:sz w:val="24"/>
            <w:szCs w:val="24"/>
            <w:lang w:val="ru-RU"/>
          </w:rPr>
          <w:t>.</w:t>
        </w:r>
        <w:r w:rsidRPr="00BB1D57">
          <w:rPr>
            <w:rStyle w:val="ac"/>
            <w:sz w:val="24"/>
            <w:szCs w:val="24"/>
          </w:rPr>
          <w:t>cfm</w:t>
        </w:r>
      </w:hyperlink>
    </w:p>
    <w:p w:rsidR="00A9247A" w:rsidRPr="00A9247A" w:rsidRDefault="00A9247A" w:rsidP="00DA19D7">
      <w:pPr>
        <w:pStyle w:val="MText"/>
        <w:rPr>
          <w:color w:val="000000" w:themeColor="text1"/>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62303C" w:rsidP="0075371E">
      <w:pPr>
        <w:pBdr>
          <w:top w:val="nil"/>
          <w:left w:val="nil"/>
          <w:bottom w:val="nil"/>
          <w:right w:val="nil"/>
          <w:between w:val="nil"/>
          <w:bar w:val="nil"/>
        </w:pBdr>
        <w:spacing w:after="0"/>
        <w:rPr>
          <w:rFonts w:cs="Times New Roman"/>
          <w:szCs w:val="24"/>
        </w:rPr>
      </w:pPr>
      <w:r>
        <w:rPr>
          <w:rFonts w:cs="Times New Roman"/>
          <w:szCs w:val="24"/>
        </w:rPr>
        <w:t>Доля</w:t>
      </w:r>
      <w:r w:rsidRPr="0062303C">
        <w:rPr>
          <w:rFonts w:cs="Times New Roman"/>
          <w:szCs w:val="24"/>
        </w:rPr>
        <w:t>.</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6F65C6" w:rsidRPr="006F65C6" w:rsidRDefault="006F65C6" w:rsidP="00FF4201">
      <w:r w:rsidRPr="006F65C6">
        <w:t xml:space="preserve">Этот показатель рассчитывается на основе репрезентативных для страны данных обследования домохозяйств. </w:t>
      </w:r>
      <w:proofErr w:type="spellStart"/>
      <w:r w:rsidRPr="006F65C6">
        <w:t>Многострановые</w:t>
      </w:r>
      <w:proofErr w:type="spellEnd"/>
      <w:r w:rsidRPr="006F65C6">
        <w:t xml:space="preserve"> программы обследований, которые включают соответствующие данные для этого показателя, включают: Обследования распространенности противозачаточных средств (CPS), Медико-демографические обследования (DHS), Обследования рождаемости и семьи (FFS), Обследования репродуктивного здоровья (RHS), Кластерные обследования</w:t>
      </w:r>
      <w:r w:rsidR="00FF4201">
        <w:t xml:space="preserve"> по многим показателям (MICS)</w:t>
      </w:r>
      <w:r w:rsidRPr="006F65C6">
        <w:t>, исследования «Мониторинг эффективности и подотчетность 2020» (PMA), «Всемирные исследования фертильности» (WFS), другие международные программы исследований и национальные исследования.</w:t>
      </w:r>
    </w:p>
    <w:p w:rsidR="006F65C6" w:rsidRPr="006F65C6" w:rsidRDefault="006F65C6" w:rsidP="00FF4201">
      <w:pPr>
        <w:rPr>
          <w:lang w:val="en-US"/>
        </w:rPr>
      </w:pPr>
      <w:r w:rsidRPr="006F65C6">
        <w:t xml:space="preserve">Информацию об источнике каждой оценки см. в Организации Объединенных Наций, Департамент по экономическим и социальным вопросам, Отдел народонаселения (2021 г.). </w:t>
      </w:r>
      <w:r w:rsidRPr="006F65C6">
        <w:rPr>
          <w:lang w:val="en-US"/>
        </w:rPr>
        <w:t>World Contraceptive Use 2021 (https://www.un.org/development/desa/pd/data/world-contraceptive-use)</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A94C56" w:rsidRPr="00BD29EC" w:rsidRDefault="00A94C56" w:rsidP="00A94C56">
      <w:r w:rsidRPr="00A94C56">
        <w:t xml:space="preserve">Данные собираются на основе систематического поиска веб-сайтов международных программ обследований, баз данных обследований (например, базы данных Комплексной сети обследований домашних хозяйств (IHSN)), веб-сайтов национальных статистических управлений, национальных платформ отчетности по ЦУР и специальных запросов в дополнение к использованию информации по конкретной стране из </w:t>
      </w:r>
      <w:proofErr w:type="spellStart"/>
      <w:r w:rsidRPr="00A94C56">
        <w:t>страновых</w:t>
      </w:r>
      <w:proofErr w:type="spellEnd"/>
      <w:r w:rsidRPr="00A94C56">
        <w:t xml:space="preserve"> отделений ЮНФПА.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A94C56" w:rsidRPr="00BD29EC" w:rsidRDefault="00A94C56" w:rsidP="00A94C56">
      <w:r w:rsidRPr="00A94C56">
        <w:t>Данные собраны в период с октября по январь.</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AA4914" w:rsidRPr="00AA4914" w:rsidRDefault="00AA4914" w:rsidP="00AA4914">
      <w:proofErr w:type="gramStart"/>
      <w:r w:rsidRPr="00AA4914">
        <w:lastRenderedPageBreak/>
        <w:t>Обновленные подборки данных по этому показателю публикуются Отделом народонаселения в марте каждого года в виде всеобъемлющей подборки данных и годовых оценок и прогнозов на основе моделей до 2030 года на национальном, региональном и глобальном уровнях.</w:t>
      </w:r>
      <w:proofErr w:type="gramEnd"/>
      <w:r w:rsidRPr="00AA4914">
        <w:t xml:space="preserve"> См.: Организация Объединенных Наций, Департамент по экономическим и социальным вопросам, Отдел народонаселения (2021 г.). </w:t>
      </w:r>
      <w:proofErr w:type="spellStart"/>
      <w:r w:rsidRPr="00AA4914">
        <w:t>World</w:t>
      </w:r>
      <w:proofErr w:type="spellEnd"/>
      <w:r w:rsidRPr="00AA4914">
        <w:t xml:space="preserve"> </w:t>
      </w:r>
      <w:proofErr w:type="spellStart"/>
      <w:r w:rsidRPr="00AA4914">
        <w:t>Contraceptive</w:t>
      </w:r>
      <w:proofErr w:type="spellEnd"/>
      <w:r w:rsidRPr="00AA4914">
        <w:t xml:space="preserve"> </w:t>
      </w:r>
      <w:proofErr w:type="spellStart"/>
      <w:r w:rsidRPr="00AA4914">
        <w:t>Use</w:t>
      </w:r>
      <w:proofErr w:type="spellEnd"/>
      <w:r w:rsidRPr="00AA4914">
        <w:t xml:space="preserve"> 2021. Нью-Йорк: Организация Объединенных Наций (https://www.un.org/development/desa/pd/data/world-contraceptive-use).</w:t>
      </w:r>
    </w:p>
    <w:p w:rsidR="00AA4914" w:rsidRPr="00BD29EC" w:rsidRDefault="00AA4914" w:rsidP="00AA4914">
      <w:r w:rsidRPr="00AA4914">
        <w:t>Организация Объединенных Наций, Департамент по экономическим и социальным вопросам, Отдел народонаселения (2021 г.). Оценки и прогнозы показателей планирования семьи на 2021 год. Нью-Йорк: Организация Объединенных Наций. (https://www.un.org/development/desa/pd/data/family-planning-indicators). Данные также доступны на интерактивном портале данных Отдела народонаселения (https://population.un.org/dataportal/home).</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56765D" w:rsidRPr="00A71EC6" w:rsidRDefault="0056765D" w:rsidP="0056765D">
      <w:r w:rsidRPr="0056765D">
        <w:t xml:space="preserve">Данные обследований получены из национальных обследований домашних хозяйств, которые координируются на международном уровне, таких как Демографические обследования и обследования в области здравоохранения (DHS), Обследования репродуктивного здоровья (RHS) и обследования по </w:t>
      </w:r>
      <w:r>
        <w:t>множественным</w:t>
      </w:r>
      <w:r w:rsidRPr="0056765D">
        <w:t xml:space="preserve"> показателям (MICS), Гендерные обследования и обследования поколений (GGS) и другие обследования, проводимые на национальном уровне.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2323E8" w:rsidRPr="00BD29EC" w:rsidRDefault="002323E8" w:rsidP="002323E8">
      <w:r w:rsidRPr="002323E8">
        <w:t>Этот показатель рассчитывается на глобальном уровне Отделом народонаселения Департамента по экономическим и социальным вопросам Организации Объединенных Наций в сотрудничестве с Фондом Организации Объединенных Наций в области народонаселения (ЮНФПА).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184BD4" w:rsidRPr="00184BD4" w:rsidRDefault="00184BD4" w:rsidP="00184BD4">
      <w:pPr>
        <w:pStyle w:val="MText"/>
        <w:rPr>
          <w:color w:val="auto"/>
          <w:sz w:val="24"/>
          <w:szCs w:val="24"/>
          <w:lang w:val="ru-RU"/>
        </w:rPr>
      </w:pPr>
      <w:r w:rsidRPr="00184BD4">
        <w:rPr>
          <w:color w:val="auto"/>
          <w:sz w:val="24"/>
          <w:szCs w:val="24"/>
          <w:lang w:val="ru-RU"/>
        </w:rPr>
        <w:t>Доля спроса на услуги по планированию семьи, удовлетворяемая с помощью современных методов, полезна для оценки общего уровня охвата программами и услугами в области планирования семьи. Доступ к эффективным средствам предотвращения беременности и их использование помогают женщинам и их партнерам осуществлять свои права на свободное и ответственное принятие решений о количестве и интервалах между рождением детей, а также на получение информации, образования и сре</w:t>
      </w:r>
      <w:proofErr w:type="gramStart"/>
      <w:r w:rsidRPr="00184BD4">
        <w:rPr>
          <w:color w:val="auto"/>
          <w:sz w:val="24"/>
          <w:szCs w:val="24"/>
          <w:lang w:val="ru-RU"/>
        </w:rPr>
        <w:t>дств дл</w:t>
      </w:r>
      <w:proofErr w:type="gramEnd"/>
      <w:r w:rsidRPr="00184BD4">
        <w:rPr>
          <w:color w:val="auto"/>
          <w:sz w:val="24"/>
          <w:szCs w:val="24"/>
          <w:lang w:val="ru-RU"/>
        </w:rPr>
        <w:t>я этого. Удовлетворение спроса на планирование семьи с помощью современных методов также способствует охране здоровья матери и ребенка за счет предотвращения нежелательной беременности и беременности с близким интервалом, которые подвергаются более высокому риску неблагоприятных акушерских исходов.</w:t>
      </w:r>
    </w:p>
    <w:p w:rsidR="002E15F9" w:rsidRPr="00BD29EC" w:rsidRDefault="00184BD4" w:rsidP="00184BD4">
      <w:pPr>
        <w:pStyle w:val="MText"/>
        <w:rPr>
          <w:color w:val="auto"/>
          <w:sz w:val="24"/>
          <w:szCs w:val="24"/>
          <w:lang w:val="ru-RU"/>
        </w:rPr>
      </w:pPr>
      <w:r w:rsidRPr="00184BD4">
        <w:rPr>
          <w:color w:val="auto"/>
          <w:sz w:val="24"/>
          <w:szCs w:val="24"/>
          <w:lang w:val="ru-RU"/>
        </w:rPr>
        <w:t xml:space="preserve">Уровни спроса на услуги по планированию семьи, удовлетворяемые современными методами, на уровне 75 процентов или более, как правило, считаются высокими, а </w:t>
      </w:r>
      <w:r w:rsidRPr="00184BD4">
        <w:rPr>
          <w:color w:val="auto"/>
          <w:sz w:val="24"/>
          <w:szCs w:val="24"/>
          <w:lang w:val="ru-RU"/>
        </w:rPr>
        <w:lastRenderedPageBreak/>
        <w:t xml:space="preserve">показатели на уровне 50 процентов или менее, как правило, считаются очень низкими. Этот показатель не имеет глобального численного "целевого" значения, которое должно быть достигнуто к 2030 году. </w:t>
      </w:r>
      <w:proofErr w:type="gramStart"/>
      <w:r w:rsidRPr="00184BD4">
        <w:rPr>
          <w:color w:val="auto"/>
          <w:sz w:val="24"/>
          <w:szCs w:val="24"/>
          <w:lang w:val="ru-RU"/>
        </w:rPr>
        <w:t>Что касается самых высоких значений показателя, то в 22 странах, представляющих такие регионы, как Европа и Северная Америка, Латинская Америка и Карибский бассейн, а также Восточная и Юго-Восточная Азия, более 85 процентов женщин, которые хотят избежать беременности, используют современные методы контрацепции, но ни в одной стране этот показатель не превышает 91 процента.</w:t>
      </w:r>
      <w:proofErr w:type="gramEnd"/>
      <w:r w:rsidRPr="00184BD4">
        <w:rPr>
          <w:color w:val="auto"/>
          <w:sz w:val="24"/>
          <w:szCs w:val="24"/>
          <w:lang w:val="ru-RU"/>
        </w:rPr>
        <w:t xml:space="preserve"> Даже в этих странах определенные группы населения (например, подростки или бедные слои населения) все еще могут сталкиваться с препятствиями в доступе к информации и услугам в области планирования семьи. Следует также признать, что достижение 100-процентного показателя может не быть необходимым или даже желательным результатом в отношении репродуктивных прав. Некоторые женщины могут предпочесть использовать традиционный метод, даже имея доступ к полному спектру современных методов и зная о типичных различиях в эффективности методов предотвращения беременности. У других женщин могут быть двойственные предпочтения в отношении их следующей беременности, которые могут повлиять на их выбор средств контрацепции.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0B6C80" w:rsidRDefault="00184BD4" w:rsidP="00184BD4">
      <w:r w:rsidRPr="00184BD4">
        <w:t xml:space="preserve">Различия в разработке и проведении опросов, а также различия в том, как составляются и используются вопросники для опросов, могут повлиять на сопоставимость данных. Наиболее распространенные различия связаны с диапазоном используемых методов контрацепции и характеристиками (возраст, пол, семейное или профсоюзное положение) лиц, для которых оценивается распространенность противозачаточных средств (базовая популяция). Временные рамки, используемые для оценки распространенности контрацепции, также могут варьироваться. В большинстве обследований нет определения того, что подразумевается под “используемым в настоящее время” методом контрацепции. В некоторых опросах отсутствие уточняющих вопросов, задаваемых для того, чтобы респондент понимал значение различных методов контрацепции, может привести к недооценке распространенности контрацепции, особенно в отношении традиционных методов. Вариабельность выборки также может быть проблемой, особенно когда распространенность контрацепции измеряется для определенной подгруппы (по возрастной группе, уровню образования, месту жительства и т.д.) или при анализе тенденций с течением времени. </w:t>
      </w:r>
    </w:p>
    <w:p w:rsidR="00184BD4" w:rsidRDefault="00184BD4" w:rsidP="00184BD4">
      <w:r w:rsidRPr="00184BD4">
        <w:t xml:space="preserve">Когда данные о женщинах в возрасте от 15 до 49 лет отсутствуют, сообщается информация о замужних женщинах или женщинах, состоящих в </w:t>
      </w:r>
      <w:r w:rsidR="000B6C80">
        <w:t xml:space="preserve">гражданском </w:t>
      </w:r>
      <w:r w:rsidRPr="00184BD4">
        <w:t xml:space="preserve">браке. Иногда приводятся примеры базовых групп населения: замужние или состоящие в </w:t>
      </w:r>
      <w:r w:rsidR="000B6C80">
        <w:t xml:space="preserve">гражданском </w:t>
      </w:r>
      <w:r w:rsidRPr="00184BD4">
        <w:t>браке женщины в возрасте 15-44 лет, сексуально активные женщины (независимо от семейного положения) или женщины, когда-либо состоявшие в браке. Примечания в наборе данных указывают на любые различия между представленными данными и стандартными определениями распространенности противозачаточных средств или неудовлетворенной потребности в планировании семьи или в тех случаях, когда данные относятся к группам населения, которые не являются репрезентативными для женщин репродуктивного возраста.</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0B6C80" w:rsidRDefault="000B6C80" w:rsidP="000B6C80">
      <w:r w:rsidRPr="000B6C80">
        <w:t xml:space="preserve">Числитель представляет собой процент женщин репродуктивного возраста (15–49 лет), которые в настоящее время используют или партнеры которых в настоящее время </w:t>
      </w:r>
      <w:proofErr w:type="gramStart"/>
      <w:r w:rsidRPr="000B6C80">
        <w:t>используют</w:t>
      </w:r>
      <w:proofErr w:type="gramEnd"/>
      <w:r w:rsidRPr="000B6C80">
        <w:t xml:space="preserve"> по крайней мере один современный метод контрацепции. </w:t>
      </w:r>
    </w:p>
    <w:p w:rsidR="000B6C80" w:rsidRDefault="000B6C80" w:rsidP="000B6C80">
      <w:r w:rsidRPr="000B6C80">
        <w:t>Знаменатель представляет собой общий спрос на услуги по планированию семьи (сумма распространенности противозачаточных средств (любой метод) и неудовлетворенных потребностей в планировании семьи).</w:t>
      </w:r>
    </w:p>
    <w:p w:rsidR="00E30B6F" w:rsidRPr="00E30B6F" w:rsidRDefault="00E30B6F" w:rsidP="000B6C80">
      <m:oMathPara>
        <m:oMathParaPr>
          <m:jc m:val="center"/>
        </m:oMathParaPr>
        <m:oMath>
          <m:r>
            <w:rPr>
              <w:rFonts w:ascii="Cambria Math" w:hAnsi="Cambria Math"/>
              <w:sz w:val="20"/>
            </w:rPr>
            <w:br/>
          </m:r>
        </m:oMath>
      </m:oMathPara>
    </w:p>
    <w:tbl>
      <w:tblPr>
        <w:tblW w:w="9090" w:type="dxa"/>
        <w:tblCellSpacing w:w="15" w:type="dxa"/>
        <w:tblLayout w:type="fixed"/>
        <w:tblCellMar>
          <w:left w:w="0" w:type="dxa"/>
          <w:right w:w="0" w:type="dxa"/>
        </w:tblCellMar>
        <w:tblLook w:val="00A0" w:firstRow="1" w:lastRow="0" w:firstColumn="1" w:lastColumn="0" w:noHBand="0" w:noVBand="0"/>
      </w:tblPr>
      <w:tblGrid>
        <w:gridCol w:w="2015"/>
        <w:gridCol w:w="115"/>
        <w:gridCol w:w="6960"/>
      </w:tblGrid>
      <w:tr w:rsidR="00E30B6F" w:rsidRPr="00E30B6F" w:rsidTr="00E30B6F">
        <w:trPr>
          <w:trHeight w:val="681"/>
          <w:tblCellSpacing w:w="15" w:type="dxa"/>
        </w:trPr>
        <w:tc>
          <w:tcPr>
            <w:tcW w:w="1970" w:type="dxa"/>
            <w:vMerge w:val="restart"/>
            <w:vAlign w:val="center"/>
          </w:tcPr>
          <w:p w:rsidR="00E30B6F" w:rsidRPr="00E30B6F" w:rsidRDefault="00E30B6F" w:rsidP="00E30B6F">
            <w:pPr>
              <w:rPr>
                <w:lang w:val="en-GB"/>
              </w:rPr>
            </w:pPr>
            <w:proofErr w:type="spellStart"/>
            <w:r>
              <w:rPr>
                <w:lang w:val="en-GB"/>
              </w:rPr>
              <w:t>Спрос</w:t>
            </w:r>
            <w:proofErr w:type="spellEnd"/>
            <w:r>
              <w:t xml:space="preserve">, </w:t>
            </w:r>
            <w:proofErr w:type="spellStart"/>
            <w:r w:rsidRPr="00E30B6F">
              <w:rPr>
                <w:lang w:val="en-GB"/>
              </w:rPr>
              <w:t>удовлетвор</w:t>
            </w:r>
            <w:r>
              <w:t>енный</w:t>
            </w:r>
            <w:proofErr w:type="spellEnd"/>
            <w:r>
              <w:t xml:space="preserve"> </w:t>
            </w:r>
            <w:proofErr w:type="spellStart"/>
            <w:r w:rsidRPr="00E30B6F">
              <w:rPr>
                <w:lang w:val="en-GB"/>
              </w:rPr>
              <w:t>современными</w:t>
            </w:r>
            <w:proofErr w:type="spellEnd"/>
            <w:r w:rsidRPr="00E30B6F">
              <w:rPr>
                <w:lang w:val="en-GB"/>
              </w:rPr>
              <w:t xml:space="preserve"> </w:t>
            </w:r>
            <w:proofErr w:type="spellStart"/>
            <w:r w:rsidRPr="00E30B6F">
              <w:rPr>
                <w:lang w:val="en-GB"/>
              </w:rPr>
              <w:t>методами</w:t>
            </w:r>
            <w:proofErr w:type="spellEnd"/>
          </w:p>
        </w:tc>
        <w:tc>
          <w:tcPr>
            <w:tcW w:w="85" w:type="dxa"/>
            <w:vMerge w:val="restart"/>
            <w:vAlign w:val="bottom"/>
            <w:hideMark/>
          </w:tcPr>
          <w:p w:rsidR="00E30B6F" w:rsidRPr="00E30B6F" w:rsidRDefault="00E30B6F" w:rsidP="00E30B6F">
            <w:pPr>
              <w:rPr>
                <w:lang w:val="en-GB"/>
              </w:rPr>
            </w:pPr>
            <w:r w:rsidRPr="00E30B6F">
              <w:rPr>
                <w:lang w:val="en-GB"/>
              </w:rPr>
              <w:t>=</w:t>
            </w:r>
          </w:p>
        </w:tc>
        <w:tc>
          <w:tcPr>
            <w:tcW w:w="6915" w:type="dxa"/>
            <w:vAlign w:val="bottom"/>
            <w:hideMark/>
          </w:tcPr>
          <w:p w:rsidR="00E30B6F" w:rsidRPr="00E30B6F" w:rsidRDefault="00E30B6F" w:rsidP="00E30B6F">
            <w:r w:rsidRPr="00E30B6F">
              <w:t>Число женщин, использующих в настоящее время современный метод контрацепции</w:t>
            </w:r>
          </w:p>
        </w:tc>
      </w:tr>
      <w:tr w:rsidR="00E30B6F" w:rsidRPr="00E30B6F" w:rsidTr="00E30B6F">
        <w:trPr>
          <w:trHeight w:val="129"/>
          <w:tblCellSpacing w:w="15" w:type="dxa"/>
        </w:trPr>
        <w:tc>
          <w:tcPr>
            <w:tcW w:w="1970" w:type="dxa"/>
            <w:vMerge/>
            <w:vAlign w:val="center"/>
            <w:hideMark/>
          </w:tcPr>
          <w:p w:rsidR="00E30B6F" w:rsidRPr="00E30B6F" w:rsidRDefault="00E30B6F" w:rsidP="00E30B6F"/>
        </w:tc>
        <w:tc>
          <w:tcPr>
            <w:tcW w:w="85" w:type="dxa"/>
            <w:vMerge/>
            <w:vAlign w:val="center"/>
            <w:hideMark/>
          </w:tcPr>
          <w:p w:rsidR="00E30B6F" w:rsidRPr="00E30B6F" w:rsidRDefault="00E30B6F" w:rsidP="00E30B6F"/>
        </w:tc>
        <w:tc>
          <w:tcPr>
            <w:tcW w:w="6915" w:type="dxa"/>
            <w:vAlign w:val="center"/>
            <w:hideMark/>
          </w:tcPr>
          <w:p w:rsidR="00E30B6F" w:rsidRPr="00E30B6F" w:rsidRDefault="00E30B6F" w:rsidP="00E30B6F">
            <w:r w:rsidRPr="00E30B6F">
              <mc:AlternateContent>
                <mc:Choice Requires="wps">
                  <w:drawing>
                    <wp:anchor distT="0" distB="0" distL="114300" distR="114300" simplePos="0" relativeHeight="251659264" behindDoc="0" locked="0" layoutInCell="1" allowOverlap="1" wp14:anchorId="1163916D" wp14:editId="33CEBF24">
                      <wp:simplePos x="0" y="0"/>
                      <wp:positionH relativeFrom="column">
                        <wp:posOffset>26670</wp:posOffset>
                      </wp:positionH>
                      <wp:positionV relativeFrom="page">
                        <wp:posOffset>45085</wp:posOffset>
                      </wp:positionV>
                      <wp:extent cx="4069080" cy="0"/>
                      <wp:effectExtent l="0" t="0" r="2667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0690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pt,3.55pt" to="32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" strokecolor="windowText" strokeweight="1pt">
                      <w10:wrap anchory="page"/>
                    </v:line>
                  </w:pict>
                </mc:Fallback>
              </mc:AlternateContent>
            </w:r>
          </w:p>
        </w:tc>
      </w:tr>
      <w:tr w:rsidR="00E30B6F" w:rsidRPr="00E30B6F" w:rsidTr="00E30B6F">
        <w:trPr>
          <w:tblCellSpacing w:w="15" w:type="dxa"/>
        </w:trPr>
        <w:tc>
          <w:tcPr>
            <w:tcW w:w="1970" w:type="dxa"/>
            <w:vMerge/>
            <w:vAlign w:val="center"/>
            <w:hideMark/>
          </w:tcPr>
          <w:p w:rsidR="00E30B6F" w:rsidRPr="00E30B6F" w:rsidRDefault="00E30B6F" w:rsidP="00E30B6F"/>
        </w:tc>
        <w:tc>
          <w:tcPr>
            <w:tcW w:w="85" w:type="dxa"/>
            <w:vAlign w:val="center"/>
            <w:hideMark/>
          </w:tcPr>
          <w:p w:rsidR="00E30B6F" w:rsidRPr="00E30B6F" w:rsidRDefault="00E30B6F" w:rsidP="00E30B6F">
            <w:r w:rsidRPr="00E30B6F">
              <w:rPr>
                <w:lang w:val="en-GB"/>
              </w:rPr>
              <w:t> </w:t>
            </w:r>
          </w:p>
        </w:tc>
        <w:tc>
          <w:tcPr>
            <w:tcW w:w="6915" w:type="dxa"/>
            <w:vAlign w:val="center"/>
            <w:hideMark/>
          </w:tcPr>
          <w:p w:rsidR="00E30B6F" w:rsidRPr="00E30B6F" w:rsidRDefault="00E30B6F" w:rsidP="00E30B6F">
            <w:r w:rsidRPr="00E30B6F">
              <w:t>Количество женщин, использующих какой-либо метод контрацепции или имеющих неудовлетворенную потребность в планировании семьи</w:t>
            </w:r>
          </w:p>
        </w:tc>
      </w:tr>
    </w:tbl>
    <w:p w:rsidR="000B6C80" w:rsidRPr="00E30B6F" w:rsidRDefault="000B6C80" w:rsidP="000B6C80"/>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3F68A4" w:rsidRDefault="003F68A4" w:rsidP="003F68A4">
      <w:r w:rsidRPr="003F68A4">
        <w:t xml:space="preserve">Для обследований с доступными наборами </w:t>
      </w:r>
      <w:proofErr w:type="spellStart"/>
      <w:r w:rsidRPr="003F68A4">
        <w:t>микроданных</w:t>
      </w:r>
      <w:proofErr w:type="spellEnd"/>
      <w:r w:rsidRPr="003F68A4">
        <w:t xml:space="preserve"> показатели рассчитываются в соответствии с определениями и </w:t>
      </w:r>
      <w:r>
        <w:t>понятия</w:t>
      </w:r>
      <w:r w:rsidRPr="003F68A4">
        <w:t xml:space="preserve">, описанными выше. Эти результаты сравниваются с показателями, опубликованными в отчетах об исследованиях, национальных платформах отчетности по ЦУР или полученными из специальных запросов. В некоторых случаях расхождений результаты </w:t>
      </w:r>
      <w:r>
        <w:t>обсуждаются</w:t>
      </w:r>
      <w:r w:rsidRPr="003F68A4">
        <w:t xml:space="preserve"> с национальными учреждениями, проводившими обследование. Для оценок и прогнозов на основе моделей методы проверки вне выборки описаны в </w:t>
      </w:r>
      <w:proofErr w:type="spellStart"/>
      <w:r w:rsidRPr="003F68A4">
        <w:t>Kantorova</w:t>
      </w:r>
      <w:proofErr w:type="spellEnd"/>
      <w:r w:rsidRPr="003F68A4">
        <w:t xml:space="preserve"> V., M. </w:t>
      </w:r>
      <w:proofErr w:type="spellStart"/>
      <w:r w:rsidRPr="003F68A4">
        <w:t>Wheldon</w:t>
      </w:r>
      <w:proofErr w:type="spellEnd"/>
      <w:r w:rsidRPr="003F68A4">
        <w:t xml:space="preserve">, P. </w:t>
      </w:r>
      <w:proofErr w:type="spellStart"/>
      <w:r w:rsidRPr="003F68A4">
        <w:t>Ueffing</w:t>
      </w:r>
      <w:proofErr w:type="spellEnd"/>
      <w:r w:rsidRPr="003F68A4">
        <w:t xml:space="preserve">., A.N.Z. </w:t>
      </w:r>
      <w:proofErr w:type="spellStart"/>
      <w:r w:rsidRPr="003F68A4">
        <w:t>Dasgupta</w:t>
      </w:r>
      <w:proofErr w:type="spellEnd"/>
      <w:r w:rsidRPr="003F68A4">
        <w:t xml:space="preserve"> (2020). Оценка прогресса в удовлетворении потребностей женщин в противозачаточных средствах в 185 странах: исследование байесовского иерархического моделирования. Медицина </w:t>
      </w:r>
      <w:proofErr w:type="spellStart"/>
      <w:r w:rsidRPr="003F68A4">
        <w:t>PLoS</w:t>
      </w:r>
      <w:proofErr w:type="spellEnd"/>
      <w:r w:rsidRPr="003F68A4">
        <w:t xml:space="preserve"> 17 (2): e1003026.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3F68A4" w:rsidRDefault="003F68A4" w:rsidP="003F68A4">
      <w:r w:rsidRPr="003F68A4">
        <w:t xml:space="preserve">Как правило, нет никаких расхождений между представленными данными и данными, опубликованными в отчетах об обследовании. Однако некоторые опубликованные национальные данные были скорректированы Отделом народонаселения для улучшения сопоставимости. Примечания используются в наборе данных, чтобы указать, когда были сделаны корректировки и где данные отличались от стандартных определений. Опросы могут различаться классификацией современных и традиционных методов. Чтобы улучшить сопоставимость данных во времени и по странам, классификации методов, используемые в некоторых обследованиях, корректируются в соответствии с классификацией, описанной выше. Глобальный показатель представляет всех женщин </w:t>
      </w:r>
      <w:r w:rsidRPr="003F68A4">
        <w:lastRenderedPageBreak/>
        <w:t xml:space="preserve">репродуктивного возраста. В некоторых оценках обследования представлены женщины, состоящие в браке или </w:t>
      </w:r>
      <w:r w:rsidR="001C1561">
        <w:t>в гражданском союзе</w:t>
      </w:r>
      <w:r w:rsidRPr="003F68A4">
        <w:t xml:space="preserve">, что указано в примечании.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B31DAD" w:rsidP="0075371E">
      <w:pPr>
        <w:pStyle w:val="MText"/>
        <w:rPr>
          <w:color w:val="auto"/>
          <w:sz w:val="24"/>
          <w:szCs w:val="24"/>
          <w:lang w:val="ru-RU"/>
        </w:rPr>
      </w:pPr>
      <w:r w:rsidRPr="00B31DAD">
        <w:rPr>
          <w:color w:val="auto"/>
          <w:sz w:val="24"/>
          <w:szCs w:val="24"/>
          <w:lang w:val="ru-RU"/>
        </w:rPr>
        <w:t>Не предпринимается попыток дать оценки по отдельным странам или районам, если данные по странам или районам недоступны. Для аналитических и сравнительных целей оценки и прогнозы на основе модели на уровне страны генерируются с использованием байесовской иерархической модели (см. ссылки ниже).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B31DAD" w:rsidRDefault="00B31DAD" w:rsidP="00B31DAD">
      <w:r w:rsidRPr="00B31DAD">
        <w:t xml:space="preserve">Для получения региональных и глобальных оценок за любой данный отчетный год Отдел народонаселения/ДЭСВ использует байесовскую иерархическую модель, подробно описанную </w:t>
      </w:r>
      <w:proofErr w:type="gramStart"/>
      <w:r w:rsidRPr="00B31DAD">
        <w:t>в</w:t>
      </w:r>
      <w:proofErr w:type="gramEnd"/>
      <w:r w:rsidRPr="00B31DAD">
        <w:t xml:space="preserve">: </w:t>
      </w:r>
      <w:proofErr w:type="spellStart"/>
      <w:r w:rsidRPr="00B31DAD">
        <w:t>Alkema</w:t>
      </w:r>
      <w:proofErr w:type="spellEnd"/>
      <w:r w:rsidRPr="00B31DAD">
        <w:t xml:space="preserve"> L., V. </w:t>
      </w:r>
      <w:proofErr w:type="spellStart"/>
      <w:r w:rsidRPr="00B31DAD">
        <w:t>Kantorová</w:t>
      </w:r>
      <w:proofErr w:type="spellEnd"/>
      <w:r w:rsidRPr="00B31DAD">
        <w:t>, C.</w:t>
      </w:r>
      <w:r>
        <w:t xml:space="preserve"> </w:t>
      </w:r>
      <w:proofErr w:type="spellStart"/>
      <w:r>
        <w:t>Menozzi</w:t>
      </w:r>
      <w:proofErr w:type="spellEnd"/>
      <w:r>
        <w:t xml:space="preserve"> </w:t>
      </w:r>
      <w:proofErr w:type="spellStart"/>
      <w:r>
        <w:t>and</w:t>
      </w:r>
      <w:proofErr w:type="spellEnd"/>
      <w:r>
        <w:t xml:space="preserve"> A. </w:t>
      </w:r>
      <w:proofErr w:type="spellStart"/>
      <w:r>
        <w:t>Biddlecom</w:t>
      </w:r>
      <w:proofErr w:type="spellEnd"/>
      <w:r>
        <w:t xml:space="preserve"> </w:t>
      </w:r>
      <w:r w:rsidRPr="00B31DAD">
        <w:t xml:space="preserve">(2013). Национальные, региональные и глобальные показатели и тенденции в распространенности противозачаточных средств и неудовлетворенной потребности в планировании семьи в период с 1990 по 2015 год: систематический и всеобъемлющий анализ. Ланцет. Том 381, выпуск 9878, стр. 1642-1652 </w:t>
      </w:r>
    </w:p>
    <w:p w:rsidR="00B31DAD" w:rsidRDefault="00B31DAD" w:rsidP="00B31DAD">
      <w:proofErr w:type="spellStart"/>
      <w:r w:rsidRPr="00B31DAD">
        <w:rPr>
          <w:lang w:val="en-US"/>
        </w:rPr>
        <w:t>Kantorová</w:t>
      </w:r>
      <w:proofErr w:type="spellEnd"/>
      <w:r w:rsidRPr="00B31DAD">
        <w:rPr>
          <w:lang w:val="en-US"/>
        </w:rPr>
        <w:t xml:space="preserve"> V., M. </w:t>
      </w:r>
      <w:proofErr w:type="spellStart"/>
      <w:r w:rsidRPr="00B31DAD">
        <w:rPr>
          <w:lang w:val="en-US"/>
        </w:rPr>
        <w:t>Wheldon</w:t>
      </w:r>
      <w:proofErr w:type="spellEnd"/>
      <w:r w:rsidRPr="00B31DAD">
        <w:rPr>
          <w:lang w:val="en-US"/>
        </w:rPr>
        <w:t xml:space="preserve">, P. </w:t>
      </w:r>
      <w:proofErr w:type="spellStart"/>
      <w:r w:rsidRPr="00B31DAD">
        <w:rPr>
          <w:lang w:val="en-US"/>
        </w:rPr>
        <w:t>Ueffing</w:t>
      </w:r>
      <w:proofErr w:type="spellEnd"/>
      <w:r w:rsidRPr="00B31DAD">
        <w:rPr>
          <w:lang w:val="en-US"/>
        </w:rPr>
        <w:t xml:space="preserve">., A. N. Z. </w:t>
      </w:r>
      <w:proofErr w:type="spellStart"/>
      <w:r w:rsidRPr="00B31DAD">
        <w:rPr>
          <w:lang w:val="en-US"/>
        </w:rPr>
        <w:t>Dasgupta</w:t>
      </w:r>
      <w:proofErr w:type="spellEnd"/>
      <w:r w:rsidRPr="00B31DAD">
        <w:rPr>
          <w:lang w:val="en-US"/>
        </w:rPr>
        <w:t xml:space="preserve"> (2020). </w:t>
      </w:r>
      <w:r w:rsidRPr="00B31DAD">
        <w:t xml:space="preserve">Оценка прогресса в удовлетворении потребностей женщин в противозачаточных средствах в 185 странах: исследование байесовского иерархического моделирования. PLOS Медицина 17(2): e1003026. </w:t>
      </w:r>
    </w:p>
    <w:p w:rsidR="00694160" w:rsidRPr="00BD29EC" w:rsidRDefault="00B31DAD" w:rsidP="00B31DAD">
      <w:r w:rsidRPr="00B31DAD">
        <w:t xml:space="preserve">Оценки на уровне стран, основанные на моделях, используются только для расчета средних региональных и глобальных показателей и не используются для отчетности о глобальных </w:t>
      </w:r>
      <w:proofErr w:type="gramStart"/>
      <w:r w:rsidRPr="00B31DAD">
        <w:t>ЦУР</w:t>
      </w:r>
      <w:proofErr w:type="gramEnd"/>
      <w:r w:rsidRPr="00B31DAD">
        <w:t xml:space="preserve"> о тенденциях на </w:t>
      </w:r>
      <w:proofErr w:type="spellStart"/>
      <w:r w:rsidRPr="00B31DAD">
        <w:t>страновом</w:t>
      </w:r>
      <w:proofErr w:type="spellEnd"/>
      <w:r w:rsidRPr="00B31DAD">
        <w:t xml:space="preserve"> уровне. Однако оценки, основанные на модели, рекомендуется использовать в аналитических и сравнительных целях. Поскольку модель учитывает взаимосвязь показателей планирования семьи - использование любых противозачаточных средств, современных и традиционных методов, неудовлетворенная потребность в планировании семьи – также учитывается информация из обследований, которые предоставляют только данные об использовании противозачаточных средств (и не содержат информации о неудовлетворенной потребности в планировании семьи). Модель предоставляет оценки показателя для стран и лет без прямых данных обследований путем экстраполяции основных тенденций, определенных с использованием данных по всем странам. Модель неявно взвешивает наблюдения из других стран таким образом, чтобы более высокие веса присваивались наблюдениям из более похожих стран. Чем меньше число наблюдений для интересующей страны, тем в большей степени ее оценки основаны на опыте других стран, тогда как для стран с большим количеством наблюдений результаты в большей степени определяются этими эмпирическими наблюдениями.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360BC7" w:rsidRPr="00360BC7" w:rsidRDefault="00360BC7" w:rsidP="00DA0195">
      <w:r w:rsidRPr="00360BC7">
        <w:t xml:space="preserve">Байесовская иерархическая модель используется для получения региональных и глобальных оценок и прогнозов показателя. Совокупные оценки и прогнозы представляют </w:t>
      </w:r>
      <w:r w:rsidRPr="00360BC7">
        <w:lastRenderedPageBreak/>
        <w:t xml:space="preserve">собой средневзвешенные оценки по странам, основанные на модели, с использованием числа женщин в возрасте 15-49 лет за отчетный год в каждой стране. Данные о численности женщин в возрасте 15-49 лет взяты из Организации Объединенных Наций, Департамент по экономическим и социальным вопросам, Отдел народонаселения (2019 год). </w:t>
      </w:r>
      <w:proofErr w:type="spellStart"/>
      <w:r>
        <w:t>World</w:t>
      </w:r>
      <w:proofErr w:type="spellEnd"/>
      <w:r>
        <w:t xml:space="preserve"> </w:t>
      </w:r>
      <w:proofErr w:type="spellStart"/>
      <w:r>
        <w:t>Population</w:t>
      </w:r>
      <w:proofErr w:type="spellEnd"/>
      <w:r>
        <w:t xml:space="preserve"> </w:t>
      </w:r>
      <w:proofErr w:type="spellStart"/>
      <w:r>
        <w:t>Prospects</w:t>
      </w:r>
      <w:proofErr w:type="spellEnd"/>
      <w:r>
        <w:t xml:space="preserve"> 2019</w:t>
      </w:r>
      <w:r w:rsidRPr="00360BC7">
        <w:t xml:space="preserve">. Число женщин, состоящих в браке или состоящих в </w:t>
      </w:r>
      <w:r>
        <w:t xml:space="preserve">гражданском </w:t>
      </w:r>
      <w:r w:rsidRPr="00360BC7">
        <w:t xml:space="preserve">браке, взято из Организации Объединенных Наций, Департамент по экономическим и социальным вопросам, Отдел народонаселения (2020 год). Оценки и прогнозы женщин репродуктивного возраста, состоящих в браке или в </w:t>
      </w:r>
      <w:r w:rsidR="00DA0195">
        <w:t>гражданском браке</w:t>
      </w:r>
      <w:r w:rsidRPr="00360BC7">
        <w:t xml:space="preserve">: Пересмотр на 2020 год. Нью-Йорк: Организация Объединенных Наций, которые представляют собой оценки и прогнозы, основанные на данных Организации Объединенных Наций, Департамент по экономическим и социальным вопросам, Отдел народонаселения (2019 год). Мировые данные о браках за 2019 год. Детали методологии описаны </w:t>
      </w:r>
      <w:proofErr w:type="gramStart"/>
      <w:r w:rsidRPr="00360BC7">
        <w:t>в</w:t>
      </w:r>
      <w:proofErr w:type="gramEnd"/>
      <w:r w:rsidRPr="00360BC7">
        <w:t>:</w:t>
      </w:r>
    </w:p>
    <w:p w:rsidR="002E15F9" w:rsidRPr="00BD29EC" w:rsidRDefault="00DA0195" w:rsidP="00DA0195">
      <w:proofErr w:type="spellStart"/>
      <w:r w:rsidRPr="00DA0195">
        <w:t>Kantorová</w:t>
      </w:r>
      <w:proofErr w:type="spellEnd"/>
      <w:r w:rsidRPr="00DA0195">
        <w:t xml:space="preserve"> V., M. C. </w:t>
      </w:r>
      <w:proofErr w:type="spellStart"/>
      <w:r w:rsidRPr="00DA0195">
        <w:t>Wheldon</w:t>
      </w:r>
      <w:proofErr w:type="spellEnd"/>
      <w:r w:rsidRPr="00DA0195">
        <w:t xml:space="preserve">, P. </w:t>
      </w:r>
      <w:proofErr w:type="spellStart"/>
      <w:r w:rsidRPr="00DA0195">
        <w:t>Ueffing</w:t>
      </w:r>
      <w:proofErr w:type="spellEnd"/>
      <w:r w:rsidRPr="00DA0195">
        <w:t xml:space="preserve">., A. N. Z. </w:t>
      </w:r>
      <w:proofErr w:type="spellStart"/>
      <w:r w:rsidRPr="00DA0195">
        <w:t>Dasgupta</w:t>
      </w:r>
      <w:proofErr w:type="spellEnd"/>
      <w:r w:rsidRPr="00DA0195">
        <w:rPr>
          <w:lang w:val="en-US"/>
        </w:rPr>
        <w:t xml:space="preserve"> </w:t>
      </w:r>
      <w:r w:rsidR="00360BC7" w:rsidRPr="00DA0195">
        <w:rPr>
          <w:lang w:val="en-US"/>
        </w:rPr>
        <w:t xml:space="preserve">(2020). </w:t>
      </w:r>
      <w:r w:rsidR="00360BC7" w:rsidRPr="00360BC7">
        <w:t>Оценка прогресса в удовлетворении потребностей женщин в противозачаточных средствах в 185 странах: исследование байесовского иерархического моделирования. PLOS Медицина 17(2): e1003026.</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974E31" w:rsidRPr="00974E31" w:rsidRDefault="00974E31" w:rsidP="00974E31">
      <w:r w:rsidRPr="00974E31">
        <w:t xml:space="preserve">Видео для электронного </w:t>
      </w:r>
      <w:proofErr w:type="gramStart"/>
      <w:r w:rsidRPr="00974E31">
        <w:t>обучения по показателю</w:t>
      </w:r>
      <w:proofErr w:type="gramEnd"/>
      <w:r w:rsidRPr="00974E31">
        <w:t xml:space="preserve"> 3.7.1 ЦУР на веб-сайте Отдела народонаселения</w:t>
      </w:r>
    </w:p>
    <w:p w:rsidR="00974E31" w:rsidRDefault="00974E31" w:rsidP="00974E31">
      <w:r w:rsidRPr="00974E31">
        <w:t>(</w:t>
      </w:r>
      <w:hyperlink r:id="rId10" w:history="1">
        <w:r w:rsidRPr="00BB1D57">
          <w:rPr>
            <w:rStyle w:val="ac"/>
          </w:rPr>
          <w:t>https://www.un.org/development/desa/pd/file/10712</w:t>
        </w:r>
      </w:hyperlink>
      <w:r w:rsidRPr="00974E31">
        <w:t>)</w:t>
      </w:r>
    </w:p>
    <w:p w:rsidR="00974E31" w:rsidRDefault="00974E31" w:rsidP="00974E31">
      <w:r w:rsidRPr="00974E31">
        <w:t xml:space="preserve">Информацию об операционных определениях и расчетах показателей планирования семьи на основе обследований, а также вопросы </w:t>
      </w:r>
      <w:r>
        <w:t>обследований</w:t>
      </w:r>
      <w:r w:rsidRPr="00974E31">
        <w:t xml:space="preserve"> и статистические программы, необходимые для получения показателя, можно найти на веб-сайте Программы демографических и медицинских исследований USAID: https://dhsprogram.com /</w:t>
      </w:r>
      <w:proofErr w:type="spellStart"/>
      <w:r w:rsidRPr="00974E31">
        <w:t>topics</w:t>
      </w:r>
      <w:proofErr w:type="spellEnd"/>
      <w:r w:rsidRPr="00974E31">
        <w:t>/</w:t>
      </w:r>
      <w:proofErr w:type="spellStart"/>
      <w:r w:rsidRPr="00974E31">
        <w:t>FamilyPlanning.cfm</w:t>
      </w:r>
      <w:proofErr w:type="spellEnd"/>
      <w:r w:rsidRPr="00974E31">
        <w:t xml:space="preserve"> и веб-сайт ЮНИСЕФ MICS: </w:t>
      </w:r>
      <w:hyperlink r:id="rId11" w:history="1">
        <w:r w:rsidRPr="00BB1D57">
          <w:rPr>
            <w:rStyle w:val="ac"/>
          </w:rPr>
          <w:t>https://mics.unicef.org/</w:t>
        </w:r>
      </w:hyperlink>
    </w:p>
    <w:p w:rsidR="00974E31" w:rsidRPr="00BD29EC" w:rsidRDefault="00974E31" w:rsidP="00974E31">
      <w:r w:rsidRPr="00974E31">
        <w:t>Разработаны подробные руководящие принципы для сбора данных, проверки данных и производства оценок и прогнозов на основе моделей. Сбор данных, а также основанные на моделях оценки и прогнозы показателей планирования семьи соответствуют Руководству по составлению точных и прозрачных оценок состояния здоровья (GATHER) (http://gather-statement.org/).</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974E31" w:rsidRPr="00BD29EC" w:rsidRDefault="00974E31" w:rsidP="00974E31">
      <w:r>
        <w:t xml:space="preserve">Не применимо. </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4F10B4" w:rsidRPr="004F10B4" w:rsidRDefault="004F10B4" w:rsidP="004F10B4">
      <w:pPr>
        <w:pStyle w:val="MText"/>
        <w:rPr>
          <w:color w:val="auto"/>
          <w:sz w:val="24"/>
          <w:szCs w:val="24"/>
          <w:lang w:val="ru-RU"/>
        </w:rPr>
      </w:pPr>
      <w:r w:rsidRPr="004F10B4">
        <w:rPr>
          <w:color w:val="auto"/>
          <w:sz w:val="24"/>
          <w:szCs w:val="24"/>
          <w:lang w:val="ru-RU"/>
        </w:rPr>
        <w:lastRenderedPageBreak/>
        <w:t xml:space="preserve">Данные о процентной доле женщин репродуктивного возраста (15-49 лет), удовлетворяющих свои потребности в планировании семьи с помощью современных методов, имеются по 133 странам или районам за период 2000-2020 годов. Для 108 стран или районов </w:t>
      </w:r>
      <w:proofErr w:type="gramStart"/>
      <w:r w:rsidRPr="004F10B4">
        <w:rPr>
          <w:color w:val="auto"/>
          <w:sz w:val="24"/>
          <w:szCs w:val="24"/>
          <w:lang w:val="ru-RU"/>
        </w:rPr>
        <w:t>имеется</w:t>
      </w:r>
      <w:proofErr w:type="gramEnd"/>
      <w:r w:rsidRPr="004F10B4">
        <w:rPr>
          <w:color w:val="auto"/>
          <w:sz w:val="24"/>
          <w:szCs w:val="24"/>
          <w:lang w:val="ru-RU"/>
        </w:rPr>
        <w:t xml:space="preserve"> по крайней мере две доступные точки данных.</w:t>
      </w:r>
    </w:p>
    <w:p w:rsidR="004F10B4" w:rsidRDefault="004F10B4" w:rsidP="004F10B4">
      <w:pPr>
        <w:pStyle w:val="MText"/>
        <w:rPr>
          <w:color w:val="auto"/>
          <w:sz w:val="24"/>
          <w:szCs w:val="24"/>
          <w:lang w:val="ru-RU"/>
        </w:rPr>
      </w:pPr>
      <w:r w:rsidRPr="004F10B4">
        <w:rPr>
          <w:color w:val="auto"/>
          <w:sz w:val="24"/>
          <w:szCs w:val="24"/>
          <w:lang w:val="ru-RU"/>
        </w:rPr>
        <w:t>Доступность данных в разбивке по регионам выглядит следующим образом:</w:t>
      </w:r>
    </w:p>
    <w:p w:rsidR="004F10B4" w:rsidRPr="001F7AFC" w:rsidRDefault="004F10B4" w:rsidP="004F10B4">
      <w:pPr>
        <w:rPr>
          <w:rFonts w:cs="Times New Roman"/>
          <w:szCs w:val="24"/>
        </w:rPr>
      </w:pPr>
      <w:r w:rsidRPr="001F7AFC">
        <w:rPr>
          <w:rFonts w:cs="Times New Roman"/>
          <w:szCs w:val="24"/>
        </w:rPr>
        <w:t>Региональная разбивка доступности данных выглядит следующим образом:</w:t>
      </w:r>
    </w:p>
    <w:tbl>
      <w:tblPr>
        <w:tblStyle w:val="aa"/>
        <w:tblW w:w="0" w:type="auto"/>
        <w:tblLook w:val="04A0" w:firstRow="1" w:lastRow="0" w:firstColumn="1" w:lastColumn="0" w:noHBand="0" w:noVBand="1"/>
      </w:tblPr>
      <w:tblGrid>
        <w:gridCol w:w="6048"/>
        <w:gridCol w:w="1980"/>
        <w:gridCol w:w="1543"/>
      </w:tblGrid>
      <w:tr w:rsidR="004F10B4" w:rsidRPr="001F7AFC" w:rsidTr="004F10B4">
        <w:trPr>
          <w:trHeight w:val="70"/>
        </w:trPr>
        <w:tc>
          <w:tcPr>
            <w:tcW w:w="6048" w:type="dxa"/>
            <w:vMerge w:val="restart"/>
          </w:tcPr>
          <w:p w:rsidR="004F10B4" w:rsidRPr="004F7005" w:rsidRDefault="004F10B4" w:rsidP="00DF5E48">
            <w:pPr>
              <w:rPr>
                <w:rFonts w:cs="Times New Roman"/>
                <w:szCs w:val="24"/>
                <w:lang w:val="en-US"/>
              </w:rPr>
            </w:pPr>
            <w:r w:rsidRPr="001F7AFC">
              <w:rPr>
                <w:rFonts w:cs="Times New Roman"/>
                <w:szCs w:val="24"/>
              </w:rPr>
              <w:t xml:space="preserve">Регионы мира и </w:t>
            </w:r>
            <w:r>
              <w:rPr>
                <w:rFonts w:cs="Times New Roman"/>
                <w:szCs w:val="24"/>
              </w:rPr>
              <w:t>ЦУР</w:t>
            </w:r>
          </w:p>
          <w:p w:rsidR="004F10B4" w:rsidRPr="001F7AFC" w:rsidRDefault="004F10B4" w:rsidP="00DF5E48">
            <w:pPr>
              <w:rPr>
                <w:rFonts w:cs="Times New Roman"/>
                <w:szCs w:val="24"/>
              </w:rPr>
            </w:pPr>
          </w:p>
        </w:tc>
        <w:tc>
          <w:tcPr>
            <w:tcW w:w="3523" w:type="dxa"/>
            <w:gridSpan w:val="2"/>
          </w:tcPr>
          <w:p w:rsidR="004F10B4" w:rsidRPr="001F7AFC" w:rsidRDefault="004F10B4" w:rsidP="00DF5E48">
            <w:pPr>
              <w:jc w:val="center"/>
              <w:rPr>
                <w:rFonts w:cs="Times New Roman"/>
                <w:szCs w:val="24"/>
              </w:rPr>
            </w:pPr>
          </w:p>
        </w:tc>
      </w:tr>
      <w:tr w:rsidR="004F10B4" w:rsidRPr="001F7AFC" w:rsidTr="00DF5E48">
        <w:tc>
          <w:tcPr>
            <w:tcW w:w="6048" w:type="dxa"/>
            <w:vMerge/>
          </w:tcPr>
          <w:p w:rsidR="004F10B4" w:rsidRPr="001F7AFC" w:rsidRDefault="004F10B4" w:rsidP="00DF5E48">
            <w:pPr>
              <w:rPr>
                <w:rFonts w:cs="Times New Roman"/>
                <w:szCs w:val="24"/>
              </w:rPr>
            </w:pPr>
          </w:p>
        </w:tc>
        <w:tc>
          <w:tcPr>
            <w:tcW w:w="1980" w:type="dxa"/>
          </w:tcPr>
          <w:p w:rsidR="004F10B4" w:rsidRPr="001F7AFC" w:rsidRDefault="004F10B4" w:rsidP="00DF5E48">
            <w:pPr>
              <w:rPr>
                <w:rFonts w:cs="Times New Roman"/>
                <w:szCs w:val="24"/>
              </w:rPr>
            </w:pPr>
            <w:r w:rsidRPr="001F7AFC">
              <w:rPr>
                <w:rFonts w:cs="Times New Roman"/>
                <w:szCs w:val="24"/>
              </w:rPr>
              <w:t xml:space="preserve">По меньшей </w:t>
            </w:r>
            <w:proofErr w:type="gramStart"/>
            <w:r w:rsidRPr="001F7AFC">
              <w:rPr>
                <w:rFonts w:cs="Times New Roman"/>
                <w:szCs w:val="24"/>
              </w:rPr>
              <w:t>мере</w:t>
            </w:r>
            <w:proofErr w:type="gramEnd"/>
            <w:r w:rsidRPr="001F7AFC">
              <w:rPr>
                <w:rFonts w:cs="Times New Roman"/>
                <w:szCs w:val="24"/>
              </w:rPr>
              <w:t xml:space="preserve"> одна точка данных</w:t>
            </w:r>
          </w:p>
        </w:tc>
        <w:tc>
          <w:tcPr>
            <w:tcW w:w="1543" w:type="dxa"/>
          </w:tcPr>
          <w:p w:rsidR="004F10B4" w:rsidRPr="001F7AFC" w:rsidRDefault="004F10B4" w:rsidP="00DF5E48">
            <w:pPr>
              <w:rPr>
                <w:rFonts w:cs="Times New Roman"/>
                <w:szCs w:val="24"/>
              </w:rPr>
            </w:pPr>
            <w:r w:rsidRPr="001F7AFC">
              <w:rPr>
                <w:rFonts w:cs="Times New Roman"/>
                <w:szCs w:val="24"/>
              </w:rPr>
              <w:t>Два или более точек данных</w:t>
            </w:r>
          </w:p>
        </w:tc>
      </w:tr>
      <w:tr w:rsidR="004F10B4" w:rsidRPr="001F7AFC" w:rsidTr="00DF5E48">
        <w:tc>
          <w:tcPr>
            <w:tcW w:w="6048" w:type="dxa"/>
          </w:tcPr>
          <w:p w:rsidR="004F10B4" w:rsidRPr="001F7AFC" w:rsidRDefault="004F10B4" w:rsidP="00DF5E48">
            <w:pPr>
              <w:rPr>
                <w:rFonts w:cs="Times New Roman"/>
                <w:szCs w:val="24"/>
              </w:rPr>
            </w:pPr>
            <w:r w:rsidRPr="001F7AFC">
              <w:rPr>
                <w:rFonts w:cs="Times New Roman"/>
                <w:szCs w:val="24"/>
              </w:rPr>
              <w:t>МИР</w:t>
            </w:r>
          </w:p>
          <w:p w:rsidR="004F10B4" w:rsidRPr="001F7AFC" w:rsidRDefault="004F10B4" w:rsidP="00DF5E48">
            <w:pPr>
              <w:rPr>
                <w:rFonts w:cs="Times New Roman"/>
                <w:szCs w:val="24"/>
              </w:rPr>
            </w:pPr>
            <w:r w:rsidRPr="001F7AFC">
              <w:rPr>
                <w:rFonts w:cs="Times New Roman"/>
                <w:szCs w:val="24"/>
              </w:rPr>
              <w:t>Северная Америка и Европа</w:t>
            </w:r>
          </w:p>
          <w:p w:rsidR="004F10B4" w:rsidRPr="001F7AFC" w:rsidRDefault="004F10B4" w:rsidP="00DF5E48">
            <w:pPr>
              <w:rPr>
                <w:rFonts w:cs="Times New Roman"/>
                <w:szCs w:val="24"/>
              </w:rPr>
            </w:pPr>
            <w:r w:rsidRPr="001F7AFC">
              <w:rPr>
                <w:rFonts w:cs="Times New Roman"/>
                <w:szCs w:val="24"/>
              </w:rPr>
              <w:t>Северная Америка</w:t>
            </w:r>
          </w:p>
          <w:p w:rsidR="004F10B4" w:rsidRPr="001F7AFC" w:rsidRDefault="004F10B4" w:rsidP="00DF5E48">
            <w:pPr>
              <w:rPr>
                <w:rFonts w:cs="Times New Roman"/>
                <w:szCs w:val="24"/>
              </w:rPr>
            </w:pPr>
            <w:r w:rsidRPr="001F7AFC">
              <w:rPr>
                <w:rFonts w:cs="Times New Roman"/>
                <w:szCs w:val="24"/>
              </w:rPr>
              <w:t>Европа</w:t>
            </w:r>
          </w:p>
          <w:p w:rsidR="004F10B4" w:rsidRPr="001F7AFC" w:rsidRDefault="004F10B4" w:rsidP="00DF5E48">
            <w:pPr>
              <w:rPr>
                <w:rFonts w:cs="Times New Roman"/>
                <w:szCs w:val="24"/>
              </w:rPr>
            </w:pPr>
            <w:r w:rsidRPr="001F7AFC">
              <w:rPr>
                <w:rFonts w:cs="Times New Roman"/>
                <w:szCs w:val="24"/>
              </w:rPr>
              <w:t>Латинская Америка и Карибский бассейн</w:t>
            </w:r>
          </w:p>
          <w:p w:rsidR="004F10B4" w:rsidRPr="001F7AFC" w:rsidRDefault="004F10B4" w:rsidP="00DF5E48">
            <w:pPr>
              <w:rPr>
                <w:rFonts w:cs="Times New Roman"/>
                <w:szCs w:val="24"/>
              </w:rPr>
            </w:pPr>
            <w:r w:rsidRPr="001F7AFC">
              <w:rPr>
                <w:rFonts w:cs="Times New Roman"/>
                <w:szCs w:val="24"/>
              </w:rPr>
              <w:t>Центральная Азия и Южная Азия</w:t>
            </w:r>
          </w:p>
          <w:p w:rsidR="004F10B4" w:rsidRPr="001F7AFC" w:rsidRDefault="004F10B4" w:rsidP="00DF5E48">
            <w:pPr>
              <w:rPr>
                <w:rFonts w:cs="Times New Roman"/>
                <w:szCs w:val="24"/>
              </w:rPr>
            </w:pPr>
            <w:r w:rsidRPr="001F7AFC">
              <w:rPr>
                <w:rFonts w:cs="Times New Roman"/>
                <w:szCs w:val="24"/>
              </w:rPr>
              <w:t>Центральная Азия</w:t>
            </w:r>
          </w:p>
          <w:p w:rsidR="004F10B4" w:rsidRPr="001F7AFC" w:rsidRDefault="004F10B4" w:rsidP="00DF5E48">
            <w:pPr>
              <w:rPr>
                <w:rFonts w:cs="Times New Roman"/>
                <w:szCs w:val="24"/>
              </w:rPr>
            </w:pPr>
            <w:r w:rsidRPr="001F7AFC">
              <w:rPr>
                <w:rFonts w:cs="Times New Roman"/>
                <w:szCs w:val="24"/>
              </w:rPr>
              <w:t>Южная Азия</w:t>
            </w:r>
          </w:p>
          <w:p w:rsidR="004F10B4" w:rsidRPr="001F7AFC" w:rsidRDefault="004F10B4" w:rsidP="00DF5E48">
            <w:pPr>
              <w:rPr>
                <w:rFonts w:cs="Times New Roman"/>
                <w:szCs w:val="24"/>
              </w:rPr>
            </w:pPr>
            <w:r w:rsidRPr="001F7AFC">
              <w:rPr>
                <w:rFonts w:cs="Times New Roman"/>
                <w:szCs w:val="24"/>
              </w:rPr>
              <w:t>Восточная Азия и Юго-Восточная Азия</w:t>
            </w:r>
          </w:p>
          <w:p w:rsidR="004F10B4" w:rsidRPr="001F7AFC" w:rsidRDefault="004F10B4" w:rsidP="00DF5E48">
            <w:pPr>
              <w:rPr>
                <w:rFonts w:cs="Times New Roman"/>
                <w:szCs w:val="24"/>
              </w:rPr>
            </w:pPr>
            <w:r w:rsidRPr="001F7AFC">
              <w:rPr>
                <w:rFonts w:cs="Times New Roman"/>
                <w:szCs w:val="24"/>
              </w:rPr>
              <w:t>Восточная Азия</w:t>
            </w:r>
          </w:p>
          <w:p w:rsidR="004F10B4" w:rsidRPr="001F7AFC" w:rsidRDefault="004F10B4" w:rsidP="00DF5E48">
            <w:pPr>
              <w:rPr>
                <w:rFonts w:cs="Times New Roman"/>
                <w:szCs w:val="24"/>
              </w:rPr>
            </w:pPr>
            <w:r w:rsidRPr="001F7AFC">
              <w:rPr>
                <w:rFonts w:cs="Times New Roman"/>
                <w:szCs w:val="24"/>
              </w:rPr>
              <w:t>Юго-Восточная Азия</w:t>
            </w:r>
          </w:p>
          <w:p w:rsidR="004F10B4" w:rsidRPr="001F7AFC" w:rsidRDefault="004F10B4" w:rsidP="00DF5E48">
            <w:pPr>
              <w:rPr>
                <w:rFonts w:cs="Times New Roman"/>
                <w:szCs w:val="24"/>
              </w:rPr>
            </w:pPr>
            <w:r w:rsidRPr="001F7AFC">
              <w:rPr>
                <w:rFonts w:cs="Times New Roman"/>
                <w:szCs w:val="24"/>
              </w:rPr>
              <w:t>Западная Азия и Северная Африка</w:t>
            </w:r>
          </w:p>
          <w:p w:rsidR="004F10B4" w:rsidRPr="001F7AFC" w:rsidRDefault="004F10B4" w:rsidP="00DF5E48">
            <w:pPr>
              <w:rPr>
                <w:rFonts w:cs="Times New Roman"/>
                <w:szCs w:val="24"/>
              </w:rPr>
            </w:pPr>
            <w:r w:rsidRPr="001F7AFC">
              <w:rPr>
                <w:rFonts w:cs="Times New Roman"/>
                <w:szCs w:val="24"/>
              </w:rPr>
              <w:t>Западная Азия</w:t>
            </w:r>
          </w:p>
          <w:p w:rsidR="004F10B4" w:rsidRPr="001F7AFC" w:rsidRDefault="004F10B4" w:rsidP="00DF5E48">
            <w:pPr>
              <w:rPr>
                <w:rFonts w:cs="Times New Roman"/>
                <w:szCs w:val="24"/>
              </w:rPr>
            </w:pPr>
            <w:r w:rsidRPr="001F7AFC">
              <w:rPr>
                <w:rFonts w:cs="Times New Roman"/>
                <w:szCs w:val="24"/>
              </w:rPr>
              <w:t>Северная Африка</w:t>
            </w:r>
          </w:p>
          <w:p w:rsidR="004F10B4" w:rsidRPr="001F7AFC" w:rsidRDefault="004F10B4" w:rsidP="00DF5E48">
            <w:pPr>
              <w:rPr>
                <w:rFonts w:cs="Times New Roman"/>
                <w:szCs w:val="24"/>
              </w:rPr>
            </w:pPr>
            <w:r w:rsidRPr="001F7AFC">
              <w:rPr>
                <w:rFonts w:cs="Times New Roman"/>
                <w:szCs w:val="24"/>
              </w:rPr>
              <w:t>Страны Африки к югу от Сахары</w:t>
            </w:r>
          </w:p>
          <w:p w:rsidR="004F10B4" w:rsidRPr="001F7AFC" w:rsidRDefault="004F10B4" w:rsidP="00DF5E48">
            <w:pPr>
              <w:rPr>
                <w:rFonts w:cs="Times New Roman"/>
                <w:szCs w:val="24"/>
              </w:rPr>
            </w:pPr>
            <w:r w:rsidRPr="001F7AFC">
              <w:rPr>
                <w:rFonts w:cs="Times New Roman"/>
                <w:szCs w:val="24"/>
              </w:rPr>
              <w:t>Океания</w:t>
            </w:r>
          </w:p>
          <w:p w:rsidR="004F10B4" w:rsidRPr="001F7AFC" w:rsidRDefault="004F10B4" w:rsidP="00DF5E48">
            <w:pPr>
              <w:rPr>
                <w:rFonts w:cs="Times New Roman"/>
                <w:szCs w:val="24"/>
              </w:rPr>
            </w:pPr>
            <w:r w:rsidRPr="001F7AFC">
              <w:rPr>
                <w:rFonts w:cs="Times New Roman"/>
                <w:szCs w:val="24"/>
              </w:rPr>
              <w:t>Океания за исключением Австралии и Новой Зеландии</w:t>
            </w:r>
          </w:p>
          <w:p w:rsidR="004F10B4" w:rsidRPr="001F7AFC" w:rsidRDefault="004F10B4" w:rsidP="00DF5E48">
            <w:pPr>
              <w:rPr>
                <w:rFonts w:cs="Times New Roman"/>
                <w:szCs w:val="24"/>
              </w:rPr>
            </w:pPr>
            <w:r w:rsidRPr="001F7AFC">
              <w:rPr>
                <w:rFonts w:cs="Times New Roman"/>
                <w:szCs w:val="24"/>
              </w:rPr>
              <w:t>Австралия и Новая Зеландия</w:t>
            </w:r>
          </w:p>
          <w:p w:rsidR="004F10B4" w:rsidRPr="001F7AFC" w:rsidRDefault="004F10B4" w:rsidP="00DF5E48">
            <w:pPr>
              <w:rPr>
                <w:rFonts w:cs="Times New Roman"/>
                <w:szCs w:val="24"/>
              </w:rPr>
            </w:pPr>
            <w:r w:rsidRPr="001F7AFC">
              <w:rPr>
                <w:rFonts w:cs="Times New Roman"/>
                <w:szCs w:val="24"/>
              </w:rPr>
              <w:t>Развивающиеся страны, не имеющие выхода к морю (НВМРС)</w:t>
            </w:r>
          </w:p>
          <w:p w:rsidR="004F10B4" w:rsidRPr="001F7AFC" w:rsidRDefault="004F10B4" w:rsidP="00DF5E48">
            <w:pPr>
              <w:rPr>
                <w:rFonts w:cs="Times New Roman"/>
                <w:szCs w:val="24"/>
              </w:rPr>
            </w:pPr>
            <w:r w:rsidRPr="001F7AFC">
              <w:rPr>
                <w:rFonts w:cs="Times New Roman"/>
                <w:szCs w:val="24"/>
              </w:rPr>
              <w:t>Наименее развитые страны (НРС)</w:t>
            </w:r>
          </w:p>
          <w:p w:rsidR="004F10B4" w:rsidRPr="001F7AFC" w:rsidRDefault="004F10B4" w:rsidP="00DF5E48">
            <w:pPr>
              <w:rPr>
                <w:rFonts w:cs="Times New Roman"/>
                <w:szCs w:val="24"/>
              </w:rPr>
            </w:pPr>
            <w:r w:rsidRPr="001F7AFC">
              <w:rPr>
                <w:rFonts w:cs="Times New Roman"/>
                <w:szCs w:val="24"/>
              </w:rPr>
              <w:t>Малые островные развивающиеся государства (МОРГ)</w:t>
            </w:r>
          </w:p>
        </w:tc>
        <w:tc>
          <w:tcPr>
            <w:tcW w:w="1980" w:type="dxa"/>
          </w:tcPr>
          <w:p w:rsidR="004F10B4" w:rsidRPr="001F7AFC" w:rsidRDefault="004F10B4" w:rsidP="00DF5E48">
            <w:pPr>
              <w:rPr>
                <w:rFonts w:cs="Times New Roman"/>
                <w:szCs w:val="24"/>
              </w:rPr>
            </w:pPr>
            <w:r>
              <w:rPr>
                <w:rFonts w:cs="Times New Roman"/>
                <w:szCs w:val="24"/>
              </w:rPr>
              <w:t>133</w:t>
            </w:r>
          </w:p>
          <w:p w:rsidR="004F10B4" w:rsidRPr="001F7AFC" w:rsidRDefault="004F10B4" w:rsidP="00DF5E48">
            <w:pPr>
              <w:rPr>
                <w:rFonts w:cs="Times New Roman"/>
                <w:szCs w:val="24"/>
              </w:rPr>
            </w:pPr>
            <w:r w:rsidRPr="001F7AFC">
              <w:rPr>
                <w:rFonts w:cs="Times New Roman"/>
                <w:szCs w:val="24"/>
              </w:rPr>
              <w:t>1</w:t>
            </w:r>
            <w:r>
              <w:rPr>
                <w:rFonts w:cs="Times New Roman"/>
                <w:szCs w:val="24"/>
              </w:rPr>
              <w:t>5</w:t>
            </w:r>
          </w:p>
          <w:p w:rsidR="004F10B4" w:rsidRPr="001F7AFC" w:rsidRDefault="004F10B4" w:rsidP="00DF5E48">
            <w:pPr>
              <w:rPr>
                <w:rFonts w:cs="Times New Roman"/>
                <w:szCs w:val="24"/>
              </w:rPr>
            </w:pPr>
            <w:r w:rsidRPr="001F7AFC">
              <w:rPr>
                <w:rFonts w:cs="Times New Roman"/>
                <w:szCs w:val="24"/>
              </w:rPr>
              <w:t>1</w:t>
            </w:r>
          </w:p>
          <w:p w:rsidR="004F10B4" w:rsidRPr="001F7AFC" w:rsidRDefault="004F10B4" w:rsidP="00DF5E48">
            <w:pPr>
              <w:rPr>
                <w:rFonts w:cs="Times New Roman"/>
                <w:szCs w:val="24"/>
              </w:rPr>
            </w:pPr>
            <w:r>
              <w:rPr>
                <w:rFonts w:cs="Times New Roman"/>
                <w:szCs w:val="24"/>
              </w:rPr>
              <w:t>13</w:t>
            </w:r>
          </w:p>
          <w:p w:rsidR="004F10B4" w:rsidRPr="001F7AFC" w:rsidRDefault="004F10B4" w:rsidP="00DF5E48">
            <w:pPr>
              <w:rPr>
                <w:rFonts w:cs="Times New Roman"/>
                <w:szCs w:val="24"/>
              </w:rPr>
            </w:pPr>
            <w:r w:rsidRPr="001F7AFC">
              <w:rPr>
                <w:rFonts w:cs="Times New Roman"/>
                <w:szCs w:val="24"/>
              </w:rPr>
              <w:t>23</w:t>
            </w:r>
          </w:p>
          <w:p w:rsidR="004F10B4" w:rsidRPr="001F7AFC" w:rsidRDefault="004F10B4" w:rsidP="00DF5E48">
            <w:pPr>
              <w:rPr>
                <w:rFonts w:cs="Times New Roman"/>
                <w:szCs w:val="24"/>
              </w:rPr>
            </w:pPr>
            <w:r w:rsidRPr="001F7AFC">
              <w:rPr>
                <w:rFonts w:cs="Times New Roman"/>
                <w:szCs w:val="24"/>
              </w:rPr>
              <w:t>13</w:t>
            </w:r>
          </w:p>
          <w:p w:rsidR="004F10B4" w:rsidRPr="001F7AFC" w:rsidRDefault="004F10B4" w:rsidP="00DF5E48">
            <w:pPr>
              <w:rPr>
                <w:rFonts w:cs="Times New Roman"/>
                <w:szCs w:val="24"/>
              </w:rPr>
            </w:pPr>
            <w:r w:rsidRPr="001F7AFC">
              <w:rPr>
                <w:rFonts w:cs="Times New Roman"/>
                <w:szCs w:val="24"/>
              </w:rPr>
              <w:t>4</w:t>
            </w:r>
          </w:p>
          <w:p w:rsidR="004F10B4" w:rsidRPr="001F7AFC" w:rsidRDefault="004F10B4" w:rsidP="00DF5E48">
            <w:pPr>
              <w:rPr>
                <w:rFonts w:cs="Times New Roman"/>
                <w:szCs w:val="24"/>
              </w:rPr>
            </w:pPr>
            <w:r w:rsidRPr="001F7AFC">
              <w:rPr>
                <w:rFonts w:cs="Times New Roman"/>
                <w:szCs w:val="24"/>
              </w:rPr>
              <w:t>9</w:t>
            </w:r>
          </w:p>
          <w:p w:rsidR="004F10B4" w:rsidRPr="001F7AFC" w:rsidRDefault="004F10B4" w:rsidP="00DF5E48">
            <w:pPr>
              <w:rPr>
                <w:rFonts w:cs="Times New Roman"/>
                <w:szCs w:val="24"/>
              </w:rPr>
            </w:pPr>
            <w:r w:rsidRPr="001F7AFC">
              <w:rPr>
                <w:rFonts w:cs="Times New Roman"/>
                <w:szCs w:val="24"/>
              </w:rPr>
              <w:t>11</w:t>
            </w:r>
          </w:p>
          <w:p w:rsidR="004F10B4" w:rsidRPr="001F7AFC" w:rsidRDefault="004F10B4" w:rsidP="00DF5E48">
            <w:pPr>
              <w:rPr>
                <w:rFonts w:cs="Times New Roman"/>
                <w:szCs w:val="24"/>
              </w:rPr>
            </w:pPr>
            <w:r w:rsidRPr="001F7AFC">
              <w:rPr>
                <w:rFonts w:cs="Times New Roman"/>
                <w:szCs w:val="24"/>
              </w:rPr>
              <w:t>3</w:t>
            </w:r>
          </w:p>
          <w:p w:rsidR="004F10B4" w:rsidRPr="001F7AFC" w:rsidRDefault="004F10B4" w:rsidP="00DF5E48">
            <w:pPr>
              <w:rPr>
                <w:rFonts w:cs="Times New Roman"/>
                <w:szCs w:val="24"/>
              </w:rPr>
            </w:pPr>
            <w:r w:rsidRPr="001F7AFC">
              <w:rPr>
                <w:rFonts w:cs="Times New Roman"/>
                <w:szCs w:val="24"/>
              </w:rPr>
              <w:t>8</w:t>
            </w:r>
          </w:p>
          <w:p w:rsidR="004F10B4" w:rsidRPr="001F7AFC" w:rsidRDefault="004F10B4" w:rsidP="00DF5E48">
            <w:pPr>
              <w:rPr>
                <w:rFonts w:cs="Times New Roman"/>
                <w:szCs w:val="24"/>
              </w:rPr>
            </w:pPr>
            <w:r w:rsidRPr="001F7AFC">
              <w:rPr>
                <w:rFonts w:cs="Times New Roman"/>
                <w:szCs w:val="24"/>
              </w:rPr>
              <w:t>17</w:t>
            </w:r>
          </w:p>
          <w:p w:rsidR="004F10B4" w:rsidRPr="001F7AFC" w:rsidRDefault="004F10B4" w:rsidP="00DF5E48">
            <w:pPr>
              <w:rPr>
                <w:rFonts w:cs="Times New Roman"/>
                <w:szCs w:val="24"/>
              </w:rPr>
            </w:pPr>
            <w:r w:rsidRPr="001F7AFC">
              <w:rPr>
                <w:rFonts w:cs="Times New Roman"/>
                <w:szCs w:val="24"/>
              </w:rPr>
              <w:t>11</w:t>
            </w:r>
          </w:p>
          <w:p w:rsidR="004F10B4" w:rsidRPr="001F7AFC" w:rsidRDefault="004F10B4" w:rsidP="00DF5E48">
            <w:pPr>
              <w:rPr>
                <w:rFonts w:cs="Times New Roman"/>
                <w:szCs w:val="24"/>
              </w:rPr>
            </w:pPr>
            <w:r w:rsidRPr="001F7AFC">
              <w:rPr>
                <w:rFonts w:cs="Times New Roman"/>
                <w:szCs w:val="24"/>
              </w:rPr>
              <w:t>6</w:t>
            </w:r>
          </w:p>
          <w:p w:rsidR="004F10B4" w:rsidRPr="001F7AFC" w:rsidRDefault="004F10B4" w:rsidP="00DF5E48">
            <w:pPr>
              <w:rPr>
                <w:rFonts w:cs="Times New Roman"/>
                <w:szCs w:val="24"/>
              </w:rPr>
            </w:pPr>
            <w:r w:rsidRPr="001F7AFC">
              <w:rPr>
                <w:rFonts w:cs="Times New Roman"/>
                <w:szCs w:val="24"/>
              </w:rPr>
              <w:t>45</w:t>
            </w:r>
          </w:p>
          <w:p w:rsidR="004F10B4" w:rsidRPr="001F7AFC" w:rsidRDefault="004F10B4" w:rsidP="00DF5E48">
            <w:pPr>
              <w:rPr>
                <w:rFonts w:cs="Times New Roman"/>
                <w:szCs w:val="24"/>
              </w:rPr>
            </w:pPr>
            <w:r w:rsidRPr="001F7AFC">
              <w:rPr>
                <w:rFonts w:cs="Times New Roman"/>
                <w:szCs w:val="24"/>
              </w:rPr>
              <w:t>9</w:t>
            </w:r>
          </w:p>
          <w:p w:rsidR="004F10B4" w:rsidRPr="001F7AFC" w:rsidRDefault="004F10B4" w:rsidP="00DF5E48">
            <w:pPr>
              <w:rPr>
                <w:rFonts w:cs="Times New Roman"/>
                <w:szCs w:val="24"/>
              </w:rPr>
            </w:pPr>
            <w:r w:rsidRPr="001F7AFC">
              <w:rPr>
                <w:rFonts w:cs="Times New Roman"/>
                <w:szCs w:val="24"/>
              </w:rPr>
              <w:t>9</w:t>
            </w:r>
          </w:p>
          <w:p w:rsidR="004F10B4" w:rsidRPr="001F7AFC" w:rsidRDefault="004F10B4" w:rsidP="00DF5E48">
            <w:pPr>
              <w:rPr>
                <w:rFonts w:cs="Times New Roman"/>
                <w:szCs w:val="24"/>
              </w:rPr>
            </w:pPr>
            <w:r w:rsidRPr="001F7AFC">
              <w:rPr>
                <w:rFonts w:cs="Times New Roman"/>
                <w:szCs w:val="24"/>
              </w:rPr>
              <w:t>0</w:t>
            </w:r>
          </w:p>
          <w:p w:rsidR="004F10B4" w:rsidRPr="001F7AFC" w:rsidRDefault="004F10B4" w:rsidP="00DF5E48">
            <w:pPr>
              <w:rPr>
                <w:rFonts w:cs="Times New Roman"/>
                <w:szCs w:val="24"/>
              </w:rPr>
            </w:pPr>
            <w:r>
              <w:rPr>
                <w:rFonts w:cs="Times New Roman"/>
                <w:szCs w:val="24"/>
              </w:rPr>
              <w:t>30</w:t>
            </w:r>
          </w:p>
          <w:p w:rsidR="004F10B4" w:rsidRPr="001F7AFC" w:rsidRDefault="004F10B4" w:rsidP="00DF5E48">
            <w:pPr>
              <w:rPr>
                <w:rFonts w:cs="Times New Roman"/>
                <w:szCs w:val="24"/>
              </w:rPr>
            </w:pPr>
          </w:p>
          <w:p w:rsidR="004F10B4" w:rsidRPr="001F7AFC" w:rsidRDefault="004F10B4" w:rsidP="00DF5E48">
            <w:pPr>
              <w:rPr>
                <w:rFonts w:cs="Times New Roman"/>
                <w:szCs w:val="24"/>
              </w:rPr>
            </w:pPr>
            <w:r w:rsidRPr="001F7AFC">
              <w:rPr>
                <w:rFonts w:cs="Times New Roman"/>
                <w:szCs w:val="24"/>
              </w:rPr>
              <w:t>46</w:t>
            </w:r>
          </w:p>
          <w:p w:rsidR="004F10B4" w:rsidRPr="001F7AFC" w:rsidRDefault="004F10B4" w:rsidP="00DF5E48">
            <w:pPr>
              <w:rPr>
                <w:rFonts w:cs="Times New Roman"/>
                <w:szCs w:val="24"/>
              </w:rPr>
            </w:pPr>
            <w:r w:rsidRPr="001F7AFC">
              <w:rPr>
                <w:rFonts w:cs="Times New Roman"/>
                <w:szCs w:val="24"/>
              </w:rPr>
              <w:t>26</w:t>
            </w:r>
          </w:p>
        </w:tc>
        <w:tc>
          <w:tcPr>
            <w:tcW w:w="1543" w:type="dxa"/>
          </w:tcPr>
          <w:p w:rsidR="004F10B4" w:rsidRPr="001F7AFC" w:rsidRDefault="004F10B4" w:rsidP="00DF5E48">
            <w:pPr>
              <w:rPr>
                <w:rFonts w:cs="Times New Roman"/>
                <w:szCs w:val="24"/>
              </w:rPr>
            </w:pPr>
            <w:r>
              <w:rPr>
                <w:rFonts w:cs="Times New Roman"/>
                <w:szCs w:val="24"/>
              </w:rPr>
              <w:t>108</w:t>
            </w:r>
          </w:p>
          <w:p w:rsidR="004F10B4" w:rsidRPr="001F7AFC" w:rsidRDefault="004F10B4" w:rsidP="00DF5E48">
            <w:pPr>
              <w:rPr>
                <w:rFonts w:cs="Times New Roman"/>
                <w:szCs w:val="24"/>
              </w:rPr>
            </w:pPr>
            <w:r>
              <w:rPr>
                <w:rFonts w:cs="Times New Roman"/>
                <w:szCs w:val="24"/>
              </w:rPr>
              <w:t>9</w:t>
            </w:r>
          </w:p>
          <w:p w:rsidR="004F10B4" w:rsidRPr="001F7AFC" w:rsidRDefault="004F10B4" w:rsidP="00DF5E48">
            <w:pPr>
              <w:rPr>
                <w:rFonts w:cs="Times New Roman"/>
                <w:szCs w:val="24"/>
              </w:rPr>
            </w:pPr>
            <w:r w:rsidRPr="001F7AFC">
              <w:rPr>
                <w:rFonts w:cs="Times New Roman"/>
                <w:szCs w:val="24"/>
              </w:rPr>
              <w:t>1</w:t>
            </w:r>
          </w:p>
          <w:p w:rsidR="004F10B4" w:rsidRPr="001F7AFC" w:rsidRDefault="004F10B4" w:rsidP="00DF5E48">
            <w:pPr>
              <w:rPr>
                <w:rFonts w:cs="Times New Roman"/>
                <w:szCs w:val="24"/>
              </w:rPr>
            </w:pPr>
            <w:r>
              <w:rPr>
                <w:rFonts w:cs="Times New Roman"/>
                <w:szCs w:val="24"/>
              </w:rPr>
              <w:t>8</w:t>
            </w:r>
          </w:p>
          <w:p w:rsidR="004F10B4" w:rsidRPr="001F7AFC" w:rsidRDefault="004F10B4" w:rsidP="00DF5E48">
            <w:pPr>
              <w:rPr>
                <w:rFonts w:cs="Times New Roman"/>
                <w:szCs w:val="24"/>
              </w:rPr>
            </w:pPr>
            <w:r>
              <w:rPr>
                <w:rFonts w:cs="Times New Roman"/>
                <w:szCs w:val="24"/>
              </w:rPr>
              <w:t>20</w:t>
            </w:r>
          </w:p>
          <w:p w:rsidR="004F10B4" w:rsidRPr="001F7AFC" w:rsidRDefault="004F10B4" w:rsidP="00DF5E48">
            <w:pPr>
              <w:rPr>
                <w:rFonts w:cs="Times New Roman"/>
                <w:szCs w:val="24"/>
              </w:rPr>
            </w:pPr>
            <w:r>
              <w:rPr>
                <w:rFonts w:cs="Times New Roman"/>
                <w:szCs w:val="24"/>
              </w:rPr>
              <w:t>10</w:t>
            </w:r>
          </w:p>
          <w:p w:rsidR="004F10B4" w:rsidRPr="001F7AFC" w:rsidRDefault="004F10B4" w:rsidP="00DF5E48">
            <w:pPr>
              <w:rPr>
                <w:rFonts w:cs="Times New Roman"/>
                <w:szCs w:val="24"/>
              </w:rPr>
            </w:pPr>
            <w:r>
              <w:rPr>
                <w:rFonts w:cs="Times New Roman"/>
                <w:szCs w:val="24"/>
              </w:rPr>
              <w:t>4</w:t>
            </w:r>
          </w:p>
          <w:p w:rsidR="004F10B4" w:rsidRPr="001F7AFC" w:rsidRDefault="004F10B4" w:rsidP="00DF5E48">
            <w:pPr>
              <w:rPr>
                <w:rFonts w:cs="Times New Roman"/>
                <w:szCs w:val="24"/>
              </w:rPr>
            </w:pPr>
            <w:r>
              <w:rPr>
                <w:rFonts w:cs="Times New Roman"/>
                <w:szCs w:val="24"/>
              </w:rPr>
              <w:t>6</w:t>
            </w:r>
          </w:p>
          <w:p w:rsidR="004F10B4" w:rsidRPr="001F7AFC" w:rsidRDefault="004F10B4" w:rsidP="00DF5E48">
            <w:pPr>
              <w:rPr>
                <w:rFonts w:cs="Times New Roman"/>
                <w:szCs w:val="24"/>
              </w:rPr>
            </w:pPr>
            <w:r w:rsidRPr="001F7AFC">
              <w:rPr>
                <w:rFonts w:cs="Times New Roman"/>
                <w:szCs w:val="24"/>
              </w:rPr>
              <w:t>10</w:t>
            </w:r>
          </w:p>
          <w:p w:rsidR="004F10B4" w:rsidRPr="001F7AFC" w:rsidRDefault="004F10B4" w:rsidP="00DF5E48">
            <w:pPr>
              <w:rPr>
                <w:rFonts w:cs="Times New Roman"/>
                <w:szCs w:val="24"/>
              </w:rPr>
            </w:pPr>
            <w:r w:rsidRPr="001F7AFC">
              <w:rPr>
                <w:rFonts w:cs="Times New Roman"/>
                <w:szCs w:val="24"/>
              </w:rPr>
              <w:t>2</w:t>
            </w:r>
          </w:p>
          <w:p w:rsidR="004F10B4" w:rsidRPr="001F7AFC" w:rsidRDefault="004F10B4" w:rsidP="00DF5E48">
            <w:pPr>
              <w:rPr>
                <w:rFonts w:cs="Times New Roman"/>
                <w:szCs w:val="24"/>
              </w:rPr>
            </w:pPr>
            <w:r w:rsidRPr="001F7AFC">
              <w:rPr>
                <w:rFonts w:cs="Times New Roman"/>
                <w:szCs w:val="24"/>
              </w:rPr>
              <w:t>8</w:t>
            </w:r>
          </w:p>
          <w:p w:rsidR="004F10B4" w:rsidRPr="001F7AFC" w:rsidRDefault="004F10B4" w:rsidP="00DF5E48">
            <w:pPr>
              <w:rPr>
                <w:rFonts w:cs="Times New Roman"/>
                <w:szCs w:val="24"/>
              </w:rPr>
            </w:pPr>
            <w:r w:rsidRPr="001F7AFC">
              <w:rPr>
                <w:rFonts w:cs="Times New Roman"/>
                <w:szCs w:val="24"/>
              </w:rPr>
              <w:t>1</w:t>
            </w:r>
            <w:r>
              <w:rPr>
                <w:rFonts w:cs="Times New Roman"/>
                <w:szCs w:val="24"/>
              </w:rPr>
              <w:t>5</w:t>
            </w:r>
          </w:p>
          <w:p w:rsidR="004F10B4" w:rsidRPr="001F7AFC" w:rsidRDefault="004F10B4" w:rsidP="00DF5E48">
            <w:pPr>
              <w:rPr>
                <w:rFonts w:cs="Times New Roman"/>
                <w:szCs w:val="24"/>
              </w:rPr>
            </w:pPr>
            <w:r>
              <w:rPr>
                <w:rFonts w:cs="Times New Roman"/>
                <w:szCs w:val="24"/>
              </w:rPr>
              <w:t>9</w:t>
            </w:r>
          </w:p>
          <w:p w:rsidR="004F10B4" w:rsidRPr="001F7AFC" w:rsidRDefault="004F10B4" w:rsidP="00DF5E48">
            <w:pPr>
              <w:rPr>
                <w:rFonts w:cs="Times New Roman"/>
                <w:szCs w:val="24"/>
              </w:rPr>
            </w:pPr>
            <w:r>
              <w:rPr>
                <w:rFonts w:cs="Times New Roman"/>
                <w:szCs w:val="24"/>
              </w:rPr>
              <w:t>6</w:t>
            </w:r>
          </w:p>
          <w:p w:rsidR="004F10B4" w:rsidRPr="001F7AFC" w:rsidRDefault="004F10B4" w:rsidP="00DF5E48">
            <w:pPr>
              <w:rPr>
                <w:rFonts w:cs="Times New Roman"/>
                <w:szCs w:val="24"/>
              </w:rPr>
            </w:pPr>
            <w:r w:rsidRPr="001F7AFC">
              <w:rPr>
                <w:rFonts w:cs="Times New Roman"/>
                <w:szCs w:val="24"/>
              </w:rPr>
              <w:t>3</w:t>
            </w:r>
            <w:r>
              <w:rPr>
                <w:rFonts w:cs="Times New Roman"/>
                <w:szCs w:val="24"/>
              </w:rPr>
              <w:t>9</w:t>
            </w:r>
          </w:p>
          <w:p w:rsidR="004F10B4" w:rsidRPr="001F7AFC" w:rsidRDefault="004F10B4" w:rsidP="00DF5E48">
            <w:pPr>
              <w:rPr>
                <w:rFonts w:cs="Times New Roman"/>
                <w:szCs w:val="24"/>
              </w:rPr>
            </w:pPr>
            <w:r>
              <w:rPr>
                <w:rFonts w:cs="Times New Roman"/>
                <w:szCs w:val="24"/>
              </w:rPr>
              <w:t>5</w:t>
            </w:r>
          </w:p>
          <w:p w:rsidR="004F10B4" w:rsidRPr="001F7AFC" w:rsidRDefault="004F10B4" w:rsidP="00DF5E48">
            <w:pPr>
              <w:rPr>
                <w:rFonts w:cs="Times New Roman"/>
                <w:szCs w:val="24"/>
              </w:rPr>
            </w:pPr>
            <w:r>
              <w:rPr>
                <w:rFonts w:cs="Times New Roman"/>
                <w:szCs w:val="24"/>
              </w:rPr>
              <w:t>5</w:t>
            </w:r>
          </w:p>
          <w:p w:rsidR="004F10B4" w:rsidRPr="001F7AFC" w:rsidRDefault="004F10B4" w:rsidP="00DF5E48">
            <w:pPr>
              <w:rPr>
                <w:rFonts w:cs="Times New Roman"/>
                <w:szCs w:val="24"/>
              </w:rPr>
            </w:pPr>
            <w:r w:rsidRPr="001F7AFC">
              <w:rPr>
                <w:rFonts w:cs="Times New Roman"/>
                <w:szCs w:val="24"/>
              </w:rPr>
              <w:t>0</w:t>
            </w:r>
          </w:p>
          <w:p w:rsidR="004F10B4" w:rsidRPr="001F7AFC" w:rsidRDefault="004F10B4" w:rsidP="00DF5E48">
            <w:pPr>
              <w:rPr>
                <w:rFonts w:cs="Times New Roman"/>
                <w:szCs w:val="24"/>
              </w:rPr>
            </w:pPr>
            <w:r>
              <w:rPr>
                <w:rFonts w:cs="Times New Roman"/>
                <w:szCs w:val="24"/>
              </w:rPr>
              <w:t>27</w:t>
            </w:r>
          </w:p>
          <w:p w:rsidR="004F10B4" w:rsidRPr="001F7AFC" w:rsidRDefault="004F10B4" w:rsidP="00DF5E48">
            <w:pPr>
              <w:rPr>
                <w:rFonts w:cs="Times New Roman"/>
                <w:szCs w:val="24"/>
              </w:rPr>
            </w:pPr>
          </w:p>
          <w:p w:rsidR="004F10B4" w:rsidRPr="001F7AFC" w:rsidRDefault="004F10B4" w:rsidP="00DF5E48">
            <w:pPr>
              <w:rPr>
                <w:rFonts w:cs="Times New Roman"/>
                <w:szCs w:val="24"/>
              </w:rPr>
            </w:pPr>
            <w:r>
              <w:rPr>
                <w:rFonts w:cs="Times New Roman"/>
                <w:szCs w:val="24"/>
              </w:rPr>
              <w:t>38</w:t>
            </w:r>
          </w:p>
          <w:p w:rsidR="004F10B4" w:rsidRPr="001F7AFC" w:rsidRDefault="004F10B4" w:rsidP="00DF5E48">
            <w:pPr>
              <w:rPr>
                <w:rFonts w:cs="Times New Roman"/>
                <w:szCs w:val="24"/>
              </w:rPr>
            </w:pPr>
            <w:r>
              <w:rPr>
                <w:rFonts w:cs="Times New Roman"/>
                <w:szCs w:val="24"/>
              </w:rPr>
              <w:t>18</w:t>
            </w:r>
          </w:p>
        </w:tc>
      </w:tr>
    </w:tbl>
    <w:p w:rsidR="004F10B4" w:rsidRPr="00BD29EC" w:rsidRDefault="004F10B4" w:rsidP="004F10B4">
      <w:pPr>
        <w:pStyle w:val="MText"/>
        <w:rPr>
          <w:color w:val="auto"/>
          <w:sz w:val="24"/>
          <w:szCs w:val="24"/>
          <w:lang w:val="ru-RU"/>
        </w:rPr>
      </w:pPr>
    </w:p>
    <w:p w:rsidR="0075371E" w:rsidRPr="00BD29EC" w:rsidRDefault="0075371E" w:rsidP="0075371E">
      <w:pPr>
        <w:pStyle w:val="MText"/>
        <w:rPr>
          <w:color w:val="auto"/>
          <w:sz w:val="24"/>
          <w:szCs w:val="24"/>
          <w:lang w:val="ru-RU"/>
        </w:rPr>
      </w:pPr>
      <w:r w:rsidRPr="00BD29EC">
        <w:rPr>
          <w:color w:val="auto"/>
          <w:sz w:val="24"/>
          <w:szCs w:val="24"/>
          <w:lang w:val="ru-RU"/>
        </w:rPr>
        <w:t>Временные ряды:</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BB39F6" w:rsidRPr="00BD29EC" w:rsidRDefault="00BB39F6" w:rsidP="0075371E">
      <w:pPr>
        <w:pStyle w:val="MText"/>
        <w:rPr>
          <w:color w:val="auto"/>
          <w:sz w:val="24"/>
          <w:szCs w:val="24"/>
          <w:lang w:val="ru-RU"/>
        </w:rPr>
      </w:pPr>
      <w:r w:rsidRPr="00BB39F6">
        <w:rPr>
          <w:color w:val="auto"/>
          <w:sz w:val="24"/>
          <w:szCs w:val="24"/>
          <w:lang w:val="ru-RU"/>
        </w:rPr>
        <w:t>Возраст, семейное положение, географическое положение, социально-экономическое положение и другие категории в зависимости от источника данных и количества наблюдений.</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BB39F6" w:rsidRPr="00BB39F6" w:rsidRDefault="00BB39F6" w:rsidP="00BB39F6">
      <w:pPr>
        <w:rPr>
          <w:lang w:eastAsia="en-GB"/>
        </w:rPr>
      </w:pPr>
      <w:r w:rsidRPr="00BB39F6">
        <w:rPr>
          <w:lang w:eastAsia="en-GB"/>
        </w:rPr>
        <w:t xml:space="preserve">Как правило, между представленными данными и данными, опубликованными в отчетах об обследованиях, нет расхождений. Однако некоторые опубликованные национальные данные были скорректированы Отделом народонаселения для улучшения сопоставимости. Примечания используются в наборе данных для указания того, когда были внесены корректировки и где данные отличались от стандартных определений. Обследования могут отличаться в классификации современных и традиционных методов. Для улучшения сопоставимости данных с течением времени и между странами классификации </w:t>
      </w:r>
      <w:r w:rsidRPr="00BB39F6">
        <w:rPr>
          <w:lang w:eastAsia="en-GB"/>
        </w:rPr>
        <w:lastRenderedPageBreak/>
        <w:t>методов, используемые в некоторых обследованиях, корректируются в соответствии с классификацией, описанной выше.</w:t>
      </w:r>
    </w:p>
    <w:p w:rsidR="00BB39F6" w:rsidRDefault="00BB39F6" w:rsidP="00BB39F6">
      <w:pPr>
        <w:rPr>
          <w:lang w:eastAsia="en-GB"/>
        </w:rPr>
      </w:pPr>
      <w:r w:rsidRPr="00BB39F6">
        <w:rPr>
          <w:lang w:eastAsia="en-GB"/>
        </w:rPr>
        <w:t>Глобальный показатель отражает всех женщин репродуктивного возраста. Некоторые оценки обследования отражают женщин, состоящих в браке или состоящих в</w:t>
      </w:r>
      <w:r>
        <w:rPr>
          <w:lang w:eastAsia="en-GB"/>
        </w:rPr>
        <w:t xml:space="preserve"> гражданском</w:t>
      </w:r>
      <w:r w:rsidRPr="00BB39F6">
        <w:rPr>
          <w:lang w:eastAsia="en-GB"/>
        </w:rPr>
        <w:t xml:space="preserve"> браке, и это указано в примечании.</w:t>
      </w:r>
    </w:p>
    <w:p w:rsidR="00040034" w:rsidRDefault="00040034" w:rsidP="00BB39F6">
      <w:pPr>
        <w:pBdr>
          <w:bottom w:val="single" w:sz="12" w:space="4" w:color="DDDDDD"/>
        </w:pBdr>
        <w:shd w:val="clear" w:color="auto" w:fill="FFFFFF"/>
        <w:spacing w:after="100"/>
        <w:outlineLvl w:val="2"/>
        <w:rPr>
          <w:rFonts w:eastAsia="Times New Roman" w:cs="Times New Roman"/>
          <w:b/>
          <w:szCs w:val="24"/>
          <w:lang w:eastAsia="en-GB"/>
        </w:rPr>
      </w:pPr>
      <w:r w:rsidRPr="00BB39F6">
        <w:rPr>
          <w:rFonts w:eastAsia="Times New Roman" w:cs="Times New Roman"/>
          <w:b/>
          <w:szCs w:val="24"/>
          <w:lang w:eastAsia="en-GB"/>
        </w:rPr>
        <w:t xml:space="preserve">7. </w:t>
      </w:r>
      <w:r>
        <w:rPr>
          <w:rFonts w:eastAsia="Times New Roman" w:cs="Times New Roman"/>
          <w:b/>
          <w:szCs w:val="24"/>
          <w:lang w:eastAsia="en-GB"/>
        </w:rPr>
        <w:t>Ссылки</w:t>
      </w:r>
      <w:r w:rsidRPr="00BB39F6">
        <w:rPr>
          <w:rFonts w:eastAsia="Times New Roman" w:cs="Times New Roman"/>
          <w:b/>
          <w:szCs w:val="24"/>
          <w:lang w:eastAsia="en-GB"/>
        </w:rPr>
        <w:t xml:space="preserve"> </w:t>
      </w:r>
      <w:r>
        <w:rPr>
          <w:rFonts w:eastAsia="Times New Roman" w:cs="Times New Roman"/>
          <w:b/>
          <w:szCs w:val="24"/>
          <w:lang w:eastAsia="en-GB"/>
        </w:rPr>
        <w:t>и</w:t>
      </w:r>
      <w:r w:rsidRPr="00BB39F6">
        <w:rPr>
          <w:rFonts w:eastAsia="Times New Roman" w:cs="Times New Roman"/>
          <w:b/>
          <w:szCs w:val="24"/>
          <w:lang w:eastAsia="en-GB"/>
        </w:rPr>
        <w:t xml:space="preserve"> </w:t>
      </w:r>
      <w:r>
        <w:rPr>
          <w:rFonts w:eastAsia="Times New Roman" w:cs="Times New Roman"/>
          <w:b/>
          <w:szCs w:val="24"/>
          <w:lang w:eastAsia="en-GB"/>
        </w:rPr>
        <w:t>документы</w:t>
      </w:r>
    </w:p>
    <w:p w:rsidR="00486C7B" w:rsidRDefault="00486C7B" w:rsidP="00C026AF">
      <w:r w:rsidRPr="00486C7B">
        <w:rPr>
          <w:lang w:val="en-US"/>
        </w:rPr>
        <w:t xml:space="preserve">URL: https://www.un.org/development/desa/pd/; </w:t>
      </w:r>
    </w:p>
    <w:p w:rsidR="00486C7B" w:rsidRDefault="00486C7B" w:rsidP="00C026AF">
      <w:r w:rsidRPr="00486C7B">
        <w:rPr>
          <w:lang w:val="en-US"/>
        </w:rPr>
        <w:t>https://population.un.or</w:t>
      </w:r>
      <w:r>
        <w:rPr>
          <w:lang w:val="en-US"/>
        </w:rPr>
        <w:t xml:space="preserve">g/dataportal/home; </w:t>
      </w:r>
    </w:p>
    <w:p w:rsidR="00C026AF" w:rsidRDefault="00C026AF" w:rsidP="00C026AF">
      <w:hyperlink r:id="rId12" w:history="1">
        <w:r w:rsidRPr="00BB1D57">
          <w:rPr>
            <w:rStyle w:val="ac"/>
            <w:lang w:val="en-US"/>
          </w:rPr>
          <w:t>https</w:t>
        </w:r>
        <w:r w:rsidRPr="00C026AF">
          <w:rPr>
            <w:rStyle w:val="ac"/>
          </w:rPr>
          <w:t>://</w:t>
        </w:r>
        <w:r w:rsidRPr="00BB1D57">
          <w:rPr>
            <w:rStyle w:val="ac"/>
            <w:lang w:val="en-US"/>
          </w:rPr>
          <w:t>www</w:t>
        </w:r>
        <w:r w:rsidRPr="00C026AF">
          <w:rPr>
            <w:rStyle w:val="ac"/>
          </w:rPr>
          <w:t>.</w:t>
        </w:r>
        <w:proofErr w:type="spellStart"/>
        <w:r w:rsidRPr="00BB1D57">
          <w:rPr>
            <w:rStyle w:val="ac"/>
            <w:lang w:val="en-US"/>
          </w:rPr>
          <w:t>unfpa</w:t>
        </w:r>
        <w:proofErr w:type="spellEnd"/>
        <w:r w:rsidRPr="00C026AF">
          <w:rPr>
            <w:rStyle w:val="ac"/>
          </w:rPr>
          <w:t>.</w:t>
        </w:r>
        <w:r w:rsidRPr="00BB1D57">
          <w:rPr>
            <w:rStyle w:val="ac"/>
            <w:lang w:val="en-US"/>
          </w:rPr>
          <w:t>org</w:t>
        </w:r>
        <w:r w:rsidRPr="00C026AF">
          <w:rPr>
            <w:rStyle w:val="ac"/>
          </w:rPr>
          <w:t>/</w:t>
        </w:r>
        <w:r w:rsidRPr="00BB1D57">
          <w:rPr>
            <w:rStyle w:val="ac"/>
            <w:lang w:val="en-US"/>
          </w:rPr>
          <w:t>data</w:t>
        </w:r>
      </w:hyperlink>
      <w:r w:rsidR="00486C7B" w:rsidRPr="00C026AF">
        <w:t xml:space="preserve"> </w:t>
      </w:r>
    </w:p>
    <w:p w:rsidR="00C026AF" w:rsidRDefault="00C026AF" w:rsidP="00C026AF">
      <w:r>
        <w:t>Использованные документы</w:t>
      </w:r>
      <w:r w:rsidR="00486C7B" w:rsidRPr="00C026AF">
        <w:t xml:space="preserve">: </w:t>
      </w:r>
    </w:p>
    <w:p w:rsidR="00C026AF" w:rsidRPr="00C026AF" w:rsidRDefault="00C026AF" w:rsidP="00C026AF">
      <w:pPr>
        <w:rPr>
          <w:lang w:eastAsia="en-GB"/>
        </w:rPr>
      </w:pPr>
      <w:r w:rsidRPr="00C026AF">
        <w:rPr>
          <w:lang w:eastAsia="en-GB"/>
        </w:rPr>
        <w:t xml:space="preserve">Организация Объединенных Наций, Департамент по экономическим и социальным вопросам, Отдел народонаселения </w:t>
      </w:r>
      <w:r w:rsidRPr="00C026AF">
        <w:rPr>
          <w:lang w:eastAsia="en-GB"/>
        </w:rPr>
        <w:t xml:space="preserve">(2019). </w:t>
      </w:r>
      <w:proofErr w:type="gramStart"/>
      <w:r w:rsidRPr="00C026AF">
        <w:rPr>
          <w:lang w:val="en-US" w:eastAsia="en-GB"/>
        </w:rPr>
        <w:t>World Population Prospects 2019.</w:t>
      </w:r>
      <w:proofErr w:type="gramEnd"/>
      <w:r w:rsidRPr="00C026AF">
        <w:rPr>
          <w:lang w:val="en-US" w:eastAsia="en-GB"/>
        </w:rPr>
        <w:t xml:space="preserve"> </w:t>
      </w:r>
      <w:r w:rsidRPr="00C026AF">
        <w:rPr>
          <w:lang w:eastAsia="en-GB"/>
        </w:rPr>
        <w:t>(</w:t>
      </w:r>
      <w:r>
        <w:rPr>
          <w:lang w:val="en-US" w:eastAsia="en-GB"/>
        </w:rPr>
        <w:t>https</w:t>
      </w:r>
      <w:r w:rsidRPr="00C026AF">
        <w:rPr>
          <w:lang w:eastAsia="en-GB"/>
        </w:rPr>
        <w:t>://</w:t>
      </w:r>
      <w:r>
        <w:rPr>
          <w:lang w:val="en-US" w:eastAsia="en-GB"/>
        </w:rPr>
        <w:t>population</w:t>
      </w:r>
      <w:r w:rsidRPr="00C026AF">
        <w:rPr>
          <w:lang w:eastAsia="en-GB"/>
        </w:rPr>
        <w:t>.</w:t>
      </w:r>
      <w:r>
        <w:rPr>
          <w:lang w:val="en-US" w:eastAsia="en-GB"/>
        </w:rPr>
        <w:t>un</w:t>
      </w:r>
      <w:r w:rsidRPr="00C026AF">
        <w:rPr>
          <w:lang w:eastAsia="en-GB"/>
        </w:rPr>
        <w:t>.</w:t>
      </w:r>
      <w:r>
        <w:rPr>
          <w:lang w:val="en-US" w:eastAsia="en-GB"/>
        </w:rPr>
        <w:t>org</w:t>
      </w:r>
      <w:r w:rsidRPr="00C026AF">
        <w:rPr>
          <w:lang w:eastAsia="en-GB"/>
        </w:rPr>
        <w:t>/</w:t>
      </w:r>
      <w:proofErr w:type="spellStart"/>
      <w:r>
        <w:rPr>
          <w:lang w:val="en-US" w:eastAsia="en-GB"/>
        </w:rPr>
        <w:t>wpp</w:t>
      </w:r>
      <w:proofErr w:type="spellEnd"/>
      <w:r w:rsidRPr="00C026AF">
        <w:rPr>
          <w:lang w:eastAsia="en-GB"/>
        </w:rPr>
        <w:t>/)</w:t>
      </w:r>
    </w:p>
    <w:p w:rsidR="00C026AF" w:rsidRPr="00C026AF" w:rsidRDefault="00C026AF" w:rsidP="00C026AF">
      <w:pPr>
        <w:rPr>
          <w:lang w:val="en-US" w:eastAsia="en-GB"/>
        </w:rPr>
      </w:pPr>
      <w:r w:rsidRPr="00C026AF">
        <w:rPr>
          <w:lang w:eastAsia="en-GB"/>
        </w:rPr>
        <w:t xml:space="preserve">Организация Объединенных Наций, Департамент по экономическим и социальным вопросам, Отдел народонаселения </w:t>
      </w:r>
      <w:r w:rsidRPr="00C026AF">
        <w:rPr>
          <w:lang w:eastAsia="en-GB"/>
        </w:rPr>
        <w:t xml:space="preserve">(2019). </w:t>
      </w:r>
      <w:proofErr w:type="gramStart"/>
      <w:r w:rsidRPr="00C026AF">
        <w:rPr>
          <w:lang w:val="en-US" w:eastAsia="en-GB"/>
        </w:rPr>
        <w:t>World Marriage Data 2019.</w:t>
      </w:r>
      <w:proofErr w:type="gramEnd"/>
      <w:r w:rsidRPr="00C026AF">
        <w:rPr>
          <w:lang w:val="en-US" w:eastAsia="en-GB"/>
        </w:rPr>
        <w:t xml:space="preserve"> (https://www.un.org/development/de</w:t>
      </w:r>
      <w:r>
        <w:rPr>
          <w:lang w:val="en-US" w:eastAsia="en-GB"/>
        </w:rPr>
        <w:t>sa/pd/data/world-marriage-data)</w:t>
      </w:r>
    </w:p>
    <w:p w:rsidR="00C026AF" w:rsidRPr="00C026AF" w:rsidRDefault="00C026AF" w:rsidP="00C026AF">
      <w:pPr>
        <w:rPr>
          <w:lang w:eastAsia="en-GB"/>
        </w:rPr>
      </w:pPr>
      <w:r w:rsidRPr="00C026AF">
        <w:rPr>
          <w:lang w:eastAsia="en-GB"/>
        </w:rPr>
        <w:t xml:space="preserve">Организация Объединенных Наций, Департамент по экономическим и социальным вопросам, Отдел народонаселения </w:t>
      </w:r>
      <w:r w:rsidRPr="00C026AF">
        <w:rPr>
          <w:lang w:eastAsia="en-GB"/>
        </w:rPr>
        <w:t xml:space="preserve">(2020).  </w:t>
      </w:r>
      <w:r w:rsidRPr="00C026AF">
        <w:rPr>
          <w:lang w:val="en-US" w:eastAsia="en-GB"/>
        </w:rPr>
        <w:t xml:space="preserve">Estimates and Projections of Women of Reproductive Age Who Are Married or in a Union: 2020 Revision.  </w:t>
      </w:r>
      <w:r>
        <w:rPr>
          <w:lang w:val="en-US" w:eastAsia="en-GB"/>
        </w:rPr>
        <w:t>New</w:t>
      </w:r>
      <w:r w:rsidRPr="00C026AF">
        <w:rPr>
          <w:lang w:eastAsia="en-GB"/>
        </w:rPr>
        <w:t xml:space="preserve"> </w:t>
      </w:r>
      <w:r>
        <w:rPr>
          <w:lang w:val="en-US" w:eastAsia="en-GB"/>
        </w:rPr>
        <w:t>York</w:t>
      </w:r>
      <w:r w:rsidRPr="00C026AF">
        <w:rPr>
          <w:lang w:eastAsia="en-GB"/>
        </w:rPr>
        <w:t xml:space="preserve">: </w:t>
      </w:r>
      <w:r>
        <w:rPr>
          <w:lang w:val="en-US" w:eastAsia="en-GB"/>
        </w:rPr>
        <w:t>United</w:t>
      </w:r>
      <w:r w:rsidRPr="00C026AF">
        <w:rPr>
          <w:lang w:eastAsia="en-GB"/>
        </w:rPr>
        <w:t xml:space="preserve"> </w:t>
      </w:r>
      <w:r>
        <w:rPr>
          <w:lang w:val="en-US" w:eastAsia="en-GB"/>
        </w:rPr>
        <w:t>Nations</w:t>
      </w:r>
      <w:r w:rsidRPr="00C026AF">
        <w:rPr>
          <w:lang w:eastAsia="en-GB"/>
        </w:rPr>
        <w:t>.</w:t>
      </w:r>
    </w:p>
    <w:p w:rsidR="00C026AF" w:rsidRPr="00C026AF" w:rsidRDefault="00C026AF" w:rsidP="00C026AF">
      <w:pPr>
        <w:rPr>
          <w:lang w:val="en-US" w:eastAsia="en-GB"/>
        </w:rPr>
      </w:pPr>
      <w:r w:rsidRPr="00C026AF">
        <w:rPr>
          <w:lang w:eastAsia="en-GB"/>
        </w:rPr>
        <w:t xml:space="preserve">Организация Объединенных Наций, Департамент по экономическим и социальным вопросам, Отдел народонаселения </w:t>
      </w:r>
      <w:r w:rsidRPr="00C026AF">
        <w:rPr>
          <w:lang w:eastAsia="en-GB"/>
        </w:rPr>
        <w:t xml:space="preserve">(2021). </w:t>
      </w:r>
      <w:proofErr w:type="gramStart"/>
      <w:r w:rsidRPr="00C026AF">
        <w:rPr>
          <w:lang w:val="en-US" w:eastAsia="en-GB"/>
        </w:rPr>
        <w:t>World Contraceptive Use 2021.</w:t>
      </w:r>
      <w:proofErr w:type="gramEnd"/>
      <w:r w:rsidRPr="00C026AF">
        <w:rPr>
          <w:lang w:val="en-US" w:eastAsia="en-GB"/>
        </w:rPr>
        <w:t xml:space="preserve">  See also methodology with </w:t>
      </w:r>
      <w:r>
        <w:rPr>
          <w:lang w:val="en-US" w:eastAsia="en-GB"/>
        </w:rPr>
        <w:t xml:space="preserve">technical details available </w:t>
      </w:r>
      <w:proofErr w:type="gramStart"/>
      <w:r>
        <w:rPr>
          <w:lang w:val="en-US" w:eastAsia="en-GB"/>
        </w:rPr>
        <w:t xml:space="preserve">at </w:t>
      </w:r>
      <w:r w:rsidRPr="00C026AF">
        <w:rPr>
          <w:lang w:val="en-US" w:eastAsia="en-GB"/>
        </w:rPr>
        <w:t xml:space="preserve"> </w:t>
      </w:r>
      <w:r w:rsidRPr="00C026AF">
        <w:rPr>
          <w:lang w:val="en-US" w:eastAsia="en-GB"/>
        </w:rPr>
        <w:t>(</w:t>
      </w:r>
      <w:proofErr w:type="gramEnd"/>
      <w:r w:rsidRPr="00C026AF">
        <w:rPr>
          <w:lang w:val="en-US" w:eastAsia="en-GB"/>
        </w:rPr>
        <w:t>https://www.un.org/development/desa/pd/data/world-co</w:t>
      </w:r>
      <w:r>
        <w:rPr>
          <w:lang w:val="en-US" w:eastAsia="en-GB"/>
        </w:rPr>
        <w:t xml:space="preserve">ntraceptive-use) </w:t>
      </w:r>
    </w:p>
    <w:p w:rsidR="00C026AF" w:rsidRPr="00C026AF" w:rsidRDefault="00C026AF" w:rsidP="00C026AF">
      <w:pPr>
        <w:rPr>
          <w:lang w:val="en-US" w:eastAsia="en-GB"/>
        </w:rPr>
      </w:pPr>
      <w:r w:rsidRPr="00C026AF">
        <w:rPr>
          <w:lang w:eastAsia="en-GB"/>
        </w:rPr>
        <w:t xml:space="preserve">Организация Объединенных Наций, Департамент по экономическим и социальным вопросам, Отдел народонаселения </w:t>
      </w:r>
      <w:r w:rsidRPr="00C026AF">
        <w:rPr>
          <w:lang w:eastAsia="en-GB"/>
        </w:rPr>
        <w:t xml:space="preserve">(2021). </w:t>
      </w:r>
      <w:proofErr w:type="gramStart"/>
      <w:r w:rsidRPr="00C026AF">
        <w:rPr>
          <w:lang w:val="en-US" w:eastAsia="en-GB"/>
        </w:rPr>
        <w:t>Estimates and Projections of Family Planning Indicators 2021.</w:t>
      </w:r>
      <w:proofErr w:type="gramEnd"/>
      <w:r w:rsidRPr="00C026AF">
        <w:rPr>
          <w:lang w:val="en-US" w:eastAsia="en-GB"/>
        </w:rPr>
        <w:t xml:space="preserve"> New York: United Nations. (https://www.un.org/development/desa/pd/data/family-planning-</w:t>
      </w:r>
      <w:r>
        <w:rPr>
          <w:lang w:val="en-US" w:eastAsia="en-GB"/>
        </w:rPr>
        <w:t>indicators)</w:t>
      </w:r>
    </w:p>
    <w:p w:rsidR="00C026AF" w:rsidRPr="00C026AF" w:rsidRDefault="00C026AF" w:rsidP="00C026AF">
      <w:pPr>
        <w:rPr>
          <w:lang w:val="en-US" w:eastAsia="en-GB"/>
        </w:rPr>
      </w:pPr>
      <w:r w:rsidRPr="00C026AF">
        <w:rPr>
          <w:lang w:eastAsia="en-GB"/>
        </w:rPr>
        <w:t xml:space="preserve">Организация Объединенных Наций, Департамент по экономическим и социальным вопросам, Отдел народонаселения </w:t>
      </w:r>
      <w:r w:rsidRPr="00C026AF">
        <w:rPr>
          <w:lang w:eastAsia="en-GB"/>
        </w:rPr>
        <w:t xml:space="preserve">(2020). </w:t>
      </w:r>
      <w:r w:rsidRPr="00C026AF">
        <w:rPr>
          <w:lang w:val="en-US" w:eastAsia="en-GB"/>
        </w:rPr>
        <w:t>World Family Planning 2020 Highlights: Accelerating action to ensure universal access to family planning. (https://www.un.org/development/desa/pd/themes/family-planning)</w:t>
      </w:r>
    </w:p>
    <w:p w:rsidR="00C026AF" w:rsidRPr="00C026AF" w:rsidRDefault="00C026AF" w:rsidP="00C026AF">
      <w:pPr>
        <w:rPr>
          <w:lang w:val="en-US" w:eastAsia="en-GB"/>
        </w:rPr>
      </w:pPr>
      <w:r w:rsidRPr="00C026AF">
        <w:rPr>
          <w:lang w:eastAsia="en-GB"/>
        </w:rPr>
        <w:t xml:space="preserve">Организация Объединенных Наций, Департамент по экономическим и социальным вопросам, Отдел народонаселения </w:t>
      </w:r>
      <w:r w:rsidRPr="00C026AF">
        <w:rPr>
          <w:lang w:eastAsia="en-GB"/>
        </w:rPr>
        <w:t xml:space="preserve">(2020). </w:t>
      </w:r>
      <w:proofErr w:type="gramStart"/>
      <w:r w:rsidRPr="00C026AF">
        <w:rPr>
          <w:lang w:val="en-US" w:eastAsia="en-GB"/>
        </w:rPr>
        <w:t>E-Learning for SDG indicator 3.7.1.</w:t>
      </w:r>
      <w:proofErr w:type="gramEnd"/>
      <w:r w:rsidRPr="00C026AF">
        <w:rPr>
          <w:lang w:val="en-US" w:eastAsia="en-GB"/>
        </w:rPr>
        <w:t xml:space="preserve"> (https://www.un.org/development/</w:t>
      </w:r>
      <w:r>
        <w:rPr>
          <w:lang w:val="en-US" w:eastAsia="en-GB"/>
        </w:rPr>
        <w:t>desa/pd/themes/family-planning)</w:t>
      </w:r>
    </w:p>
    <w:p w:rsidR="00C026AF" w:rsidRPr="00C026AF" w:rsidRDefault="00C026AF" w:rsidP="00C026AF">
      <w:pPr>
        <w:rPr>
          <w:lang w:eastAsia="en-GB"/>
        </w:rPr>
      </w:pPr>
      <w:r w:rsidRPr="00C026AF">
        <w:rPr>
          <w:lang w:eastAsia="en-GB"/>
        </w:rPr>
        <w:lastRenderedPageBreak/>
        <w:t xml:space="preserve"> </w:t>
      </w:r>
      <w:proofErr w:type="gramStart"/>
      <w:r w:rsidRPr="00C026AF">
        <w:rPr>
          <w:lang w:val="en-US" w:eastAsia="en-GB"/>
        </w:rPr>
        <w:t>Alkema</w:t>
      </w:r>
      <w:r w:rsidRPr="00C026AF">
        <w:rPr>
          <w:lang w:eastAsia="en-GB"/>
        </w:rPr>
        <w:t xml:space="preserve">, </w:t>
      </w:r>
      <w:r w:rsidRPr="00C026AF">
        <w:rPr>
          <w:lang w:val="en-US" w:eastAsia="en-GB"/>
        </w:rPr>
        <w:t>LA</w:t>
      </w:r>
      <w:r w:rsidRPr="00C026AF">
        <w:rPr>
          <w:lang w:eastAsia="en-GB"/>
        </w:rPr>
        <w:t xml:space="preserve"> </w:t>
      </w:r>
      <w:r w:rsidRPr="00C026AF">
        <w:rPr>
          <w:lang w:val="en-US" w:eastAsia="en-GB"/>
        </w:rPr>
        <w:t>and</w:t>
      </w:r>
      <w:r w:rsidRPr="00C026AF">
        <w:rPr>
          <w:lang w:eastAsia="en-GB"/>
        </w:rPr>
        <w:t xml:space="preserve"> </w:t>
      </w:r>
      <w:r w:rsidRPr="00C026AF">
        <w:rPr>
          <w:lang w:val="en-US" w:eastAsia="en-GB"/>
        </w:rPr>
        <w:t>others</w:t>
      </w:r>
      <w:r w:rsidRPr="00C026AF">
        <w:rPr>
          <w:lang w:eastAsia="en-GB"/>
        </w:rPr>
        <w:t xml:space="preserve"> (2013).</w:t>
      </w:r>
      <w:proofErr w:type="gramEnd"/>
      <w:r w:rsidRPr="00C026AF">
        <w:rPr>
          <w:lang w:eastAsia="en-GB"/>
        </w:rPr>
        <w:t xml:space="preserve"> </w:t>
      </w:r>
      <w:r w:rsidRPr="00C026AF">
        <w:rPr>
          <w:lang w:eastAsia="en-GB"/>
        </w:rPr>
        <w:t>Национальные, региональные и глобальные показатели и тенденции распространенности противозачаточных средств и неудовлетворенных потребностей в планировании семьи в период с 1990 по 2015 год: систематический и всесторонний анализ.</w:t>
      </w:r>
      <w:r w:rsidRPr="00C026AF">
        <w:rPr>
          <w:lang w:eastAsia="en-GB"/>
        </w:rPr>
        <w:t xml:space="preserve"> </w:t>
      </w:r>
      <w:r w:rsidRPr="00C026AF">
        <w:rPr>
          <w:lang w:val="en-US" w:eastAsia="en-GB"/>
        </w:rPr>
        <w:t>The</w:t>
      </w:r>
      <w:r w:rsidRPr="00C026AF">
        <w:rPr>
          <w:lang w:eastAsia="en-GB"/>
        </w:rPr>
        <w:t xml:space="preserve"> </w:t>
      </w:r>
      <w:r w:rsidRPr="00C026AF">
        <w:rPr>
          <w:lang w:val="en-US" w:eastAsia="en-GB"/>
        </w:rPr>
        <w:t>Lancet</w:t>
      </w:r>
      <w:r w:rsidRPr="00C026AF">
        <w:rPr>
          <w:lang w:eastAsia="en-GB"/>
        </w:rPr>
        <w:t xml:space="preserve">, </w:t>
      </w:r>
      <w:r w:rsidRPr="00C026AF">
        <w:rPr>
          <w:lang w:val="en-US" w:eastAsia="en-GB"/>
        </w:rPr>
        <w:t>Volume</w:t>
      </w:r>
      <w:r w:rsidRPr="00C026AF">
        <w:rPr>
          <w:lang w:eastAsia="en-GB"/>
        </w:rPr>
        <w:t xml:space="preserve"> 38</w:t>
      </w:r>
      <w:r w:rsidRPr="00C026AF">
        <w:rPr>
          <w:lang w:eastAsia="en-GB"/>
        </w:rPr>
        <w:t xml:space="preserve">1, </w:t>
      </w:r>
      <w:r>
        <w:rPr>
          <w:lang w:val="en-US" w:eastAsia="en-GB"/>
        </w:rPr>
        <w:t>Issue</w:t>
      </w:r>
      <w:r w:rsidRPr="00C026AF">
        <w:rPr>
          <w:lang w:eastAsia="en-GB"/>
        </w:rPr>
        <w:t xml:space="preserve"> 9878, </w:t>
      </w:r>
      <w:r>
        <w:rPr>
          <w:lang w:val="en-US" w:eastAsia="en-GB"/>
        </w:rPr>
        <w:t>pp</w:t>
      </w:r>
      <w:r w:rsidRPr="00C026AF">
        <w:rPr>
          <w:lang w:eastAsia="en-GB"/>
        </w:rPr>
        <w:t xml:space="preserve">. 1642-1652.  </w:t>
      </w:r>
    </w:p>
    <w:p w:rsidR="00C026AF" w:rsidRPr="00C026AF" w:rsidRDefault="00C026AF" w:rsidP="00C026AF">
      <w:pPr>
        <w:rPr>
          <w:lang w:val="en-US" w:eastAsia="en-GB"/>
        </w:rPr>
      </w:pPr>
      <w:proofErr w:type="gramStart"/>
      <w:r w:rsidRPr="00C026AF">
        <w:rPr>
          <w:lang w:val="en-US" w:eastAsia="en-GB"/>
        </w:rPr>
        <w:t>Bradley and others (2012).</w:t>
      </w:r>
      <w:proofErr w:type="gramEnd"/>
      <w:r w:rsidRPr="00C026AF">
        <w:rPr>
          <w:lang w:val="en-US" w:eastAsia="en-GB"/>
        </w:rPr>
        <w:t xml:space="preserve"> </w:t>
      </w:r>
      <w:r w:rsidRPr="00C026AF">
        <w:rPr>
          <w:lang w:eastAsia="en-GB"/>
        </w:rPr>
        <w:t>Пересмотр неудовлетворенных потребностей в планировании семьи</w:t>
      </w:r>
      <w:r w:rsidRPr="00C026AF">
        <w:rPr>
          <w:lang w:eastAsia="en-GB"/>
        </w:rPr>
        <w:t xml:space="preserve">. </w:t>
      </w:r>
      <w:r w:rsidRPr="00C026AF">
        <w:rPr>
          <w:lang w:val="en-US" w:eastAsia="en-GB"/>
        </w:rPr>
        <w:t>DHS Analytical Studies No. 25, Calverton, Maryland: ICF International. http://dhsprogram.com/pubs</w:t>
      </w:r>
      <w:r>
        <w:rPr>
          <w:lang w:val="en-US" w:eastAsia="en-GB"/>
        </w:rPr>
        <w:t xml:space="preserve">/pdf/AS25/AS25[12June2012].pdf </w:t>
      </w:r>
    </w:p>
    <w:p w:rsidR="00C026AF" w:rsidRPr="00C026AF" w:rsidRDefault="00C026AF" w:rsidP="00C026AF">
      <w:pPr>
        <w:rPr>
          <w:lang w:eastAsia="en-GB"/>
        </w:rPr>
      </w:pPr>
      <w:proofErr w:type="spellStart"/>
      <w:r w:rsidRPr="00C026AF">
        <w:rPr>
          <w:lang w:val="en-US" w:eastAsia="en-GB"/>
        </w:rPr>
        <w:t>Kantorová</w:t>
      </w:r>
      <w:proofErr w:type="spellEnd"/>
      <w:r w:rsidRPr="00C026AF">
        <w:rPr>
          <w:lang w:val="en-US" w:eastAsia="en-GB"/>
        </w:rPr>
        <w:t xml:space="preserve"> V., M. C. </w:t>
      </w:r>
      <w:proofErr w:type="spellStart"/>
      <w:r w:rsidRPr="00C026AF">
        <w:rPr>
          <w:lang w:val="en-US" w:eastAsia="en-GB"/>
        </w:rPr>
        <w:t>Wheldon</w:t>
      </w:r>
      <w:proofErr w:type="spellEnd"/>
      <w:r w:rsidRPr="00C026AF">
        <w:rPr>
          <w:lang w:val="en-US" w:eastAsia="en-GB"/>
        </w:rPr>
        <w:t xml:space="preserve">, P. </w:t>
      </w:r>
      <w:proofErr w:type="spellStart"/>
      <w:r w:rsidRPr="00C026AF">
        <w:rPr>
          <w:lang w:val="en-US" w:eastAsia="en-GB"/>
        </w:rPr>
        <w:t>Ueffing</w:t>
      </w:r>
      <w:proofErr w:type="spellEnd"/>
      <w:r w:rsidRPr="00C026AF">
        <w:rPr>
          <w:lang w:val="en-US" w:eastAsia="en-GB"/>
        </w:rPr>
        <w:t xml:space="preserve">., A. N. Z. </w:t>
      </w:r>
      <w:proofErr w:type="spellStart"/>
      <w:r w:rsidRPr="00C026AF">
        <w:rPr>
          <w:lang w:val="en-US" w:eastAsia="en-GB"/>
        </w:rPr>
        <w:t>Dasgupta</w:t>
      </w:r>
      <w:proofErr w:type="spellEnd"/>
      <w:r w:rsidRPr="00C026AF">
        <w:rPr>
          <w:lang w:val="en-US" w:eastAsia="en-GB"/>
        </w:rPr>
        <w:t xml:space="preserve"> (2020). </w:t>
      </w:r>
      <w:r w:rsidRPr="00C026AF">
        <w:rPr>
          <w:lang w:eastAsia="en-GB"/>
        </w:rPr>
        <w:t>Оценка прогресса в удовлетворении потребностей женщин в противозачаточных средствах в 185 странах: исследование байесовского иерархического моделирования</w:t>
      </w:r>
      <w:r w:rsidRPr="00C026AF">
        <w:rPr>
          <w:lang w:eastAsia="en-GB"/>
        </w:rPr>
        <w:t xml:space="preserve">. </w:t>
      </w:r>
      <w:proofErr w:type="spellStart"/>
      <w:r>
        <w:rPr>
          <w:lang w:val="en-US" w:eastAsia="en-GB"/>
        </w:rPr>
        <w:t>PLoS</w:t>
      </w:r>
      <w:proofErr w:type="spellEnd"/>
      <w:r w:rsidRPr="00C026AF">
        <w:rPr>
          <w:lang w:eastAsia="en-GB"/>
        </w:rPr>
        <w:t xml:space="preserve"> </w:t>
      </w:r>
      <w:r>
        <w:rPr>
          <w:lang w:val="en-US" w:eastAsia="en-GB"/>
        </w:rPr>
        <w:t>Medicine</w:t>
      </w:r>
      <w:r w:rsidRPr="00C026AF">
        <w:rPr>
          <w:lang w:eastAsia="en-GB"/>
        </w:rPr>
        <w:t xml:space="preserve"> 17(2):</w:t>
      </w:r>
      <w:r>
        <w:rPr>
          <w:lang w:val="en-US" w:eastAsia="en-GB"/>
        </w:rPr>
        <w:t>e</w:t>
      </w:r>
      <w:r w:rsidRPr="00C026AF">
        <w:rPr>
          <w:lang w:eastAsia="en-GB"/>
        </w:rPr>
        <w:t xml:space="preserve">1003026.  </w:t>
      </w:r>
    </w:p>
    <w:p w:rsidR="00C026AF" w:rsidRPr="00C026AF" w:rsidRDefault="00C026AF" w:rsidP="00C026AF">
      <w:pPr>
        <w:rPr>
          <w:lang w:eastAsia="en-GB"/>
        </w:rPr>
      </w:pPr>
      <w:r w:rsidRPr="00C026AF">
        <w:rPr>
          <w:lang w:eastAsia="en-GB"/>
        </w:rPr>
        <w:t>Мониторинг прогресса в планировании семьи</w:t>
      </w:r>
      <w:r w:rsidRPr="00C026AF">
        <w:rPr>
          <w:lang w:eastAsia="en-GB"/>
        </w:rPr>
        <w:t xml:space="preserve">. </w:t>
      </w:r>
      <w:proofErr w:type="gramStart"/>
      <w:r w:rsidRPr="00C026AF">
        <w:rPr>
          <w:lang w:val="en-US" w:eastAsia="en-GB"/>
        </w:rPr>
        <w:t>FP2020 core indicato</w:t>
      </w:r>
      <w:r>
        <w:rPr>
          <w:lang w:val="en-US" w:eastAsia="en-GB"/>
        </w:rPr>
        <w:t>rs.</w:t>
      </w:r>
      <w:proofErr w:type="gramEnd"/>
      <w:r>
        <w:rPr>
          <w:lang w:val="en-US" w:eastAsia="en-GB"/>
        </w:rPr>
        <w:t xml:space="preserve"> Glastonbury</w:t>
      </w:r>
      <w:r w:rsidRPr="00C026AF">
        <w:rPr>
          <w:lang w:eastAsia="en-GB"/>
        </w:rPr>
        <w:t xml:space="preserve"> (</w:t>
      </w:r>
      <w:r>
        <w:rPr>
          <w:lang w:val="en-US" w:eastAsia="en-GB"/>
        </w:rPr>
        <w:t>CT</w:t>
      </w:r>
      <w:r w:rsidRPr="00C026AF">
        <w:rPr>
          <w:lang w:eastAsia="en-GB"/>
        </w:rPr>
        <w:t xml:space="preserve">): </w:t>
      </w:r>
      <w:proofErr w:type="gramStart"/>
      <w:r>
        <w:rPr>
          <w:lang w:val="en-US" w:eastAsia="en-GB"/>
        </w:rPr>
        <w:t>Track</w:t>
      </w:r>
      <w:r w:rsidRPr="00C026AF">
        <w:rPr>
          <w:lang w:eastAsia="en-GB"/>
        </w:rPr>
        <w:t xml:space="preserve">20  </w:t>
      </w:r>
      <w:r w:rsidRPr="00C026AF">
        <w:rPr>
          <w:lang w:val="en-US" w:eastAsia="en-GB"/>
        </w:rPr>
        <w:t>http</w:t>
      </w:r>
      <w:proofErr w:type="gramEnd"/>
      <w:r w:rsidRPr="00C026AF">
        <w:rPr>
          <w:lang w:eastAsia="en-GB"/>
        </w:rPr>
        <w:t>://</w:t>
      </w:r>
      <w:r w:rsidRPr="00C026AF">
        <w:rPr>
          <w:lang w:val="en-US" w:eastAsia="en-GB"/>
        </w:rPr>
        <w:t>www</w:t>
      </w:r>
      <w:r w:rsidRPr="00C026AF">
        <w:rPr>
          <w:lang w:eastAsia="en-GB"/>
        </w:rPr>
        <w:t>.</w:t>
      </w:r>
      <w:r w:rsidRPr="00C026AF">
        <w:rPr>
          <w:lang w:val="en-US" w:eastAsia="en-GB"/>
        </w:rPr>
        <w:t>track</w:t>
      </w:r>
      <w:r w:rsidRPr="00C026AF">
        <w:rPr>
          <w:lang w:eastAsia="en-GB"/>
        </w:rPr>
        <w:t>20.</w:t>
      </w:r>
      <w:r w:rsidRPr="00C026AF">
        <w:rPr>
          <w:lang w:val="en-US" w:eastAsia="en-GB"/>
        </w:rPr>
        <w:t>org</w:t>
      </w:r>
      <w:r w:rsidRPr="00C026AF">
        <w:rPr>
          <w:lang w:eastAsia="en-GB"/>
        </w:rPr>
        <w:t>/</w:t>
      </w:r>
      <w:r w:rsidRPr="00C026AF">
        <w:rPr>
          <w:lang w:val="en-US" w:eastAsia="en-GB"/>
        </w:rPr>
        <w:t>pages</w:t>
      </w:r>
      <w:r w:rsidRPr="00C026AF">
        <w:rPr>
          <w:lang w:eastAsia="en-GB"/>
        </w:rPr>
        <w:t>/</w:t>
      </w:r>
      <w:r w:rsidRPr="00C026AF">
        <w:rPr>
          <w:lang w:val="en-US" w:eastAsia="en-GB"/>
        </w:rPr>
        <w:t>data</w:t>
      </w:r>
      <w:r w:rsidRPr="00C026AF">
        <w:rPr>
          <w:lang w:eastAsia="en-GB"/>
        </w:rPr>
        <w:t>/</w:t>
      </w:r>
      <w:r w:rsidRPr="00C026AF">
        <w:rPr>
          <w:lang w:val="en-US" w:eastAsia="en-GB"/>
        </w:rPr>
        <w:t>indicators</w:t>
      </w:r>
      <w:r w:rsidRPr="00C026AF">
        <w:rPr>
          <w:lang w:eastAsia="en-GB"/>
        </w:rPr>
        <w:t xml:space="preserve"> </w:t>
      </w:r>
    </w:p>
    <w:p w:rsidR="00C026AF" w:rsidRPr="00C026AF" w:rsidRDefault="00C026AF" w:rsidP="00C026AF">
      <w:pPr>
        <w:rPr>
          <w:lang w:eastAsia="en-GB"/>
        </w:rPr>
      </w:pPr>
      <w:r w:rsidRPr="00C026AF">
        <w:rPr>
          <w:lang w:eastAsia="en-GB"/>
        </w:rPr>
        <w:t>Всемирная организация здравоохранения (2020 г.). Планирование семьи/методы контрацепции</w:t>
      </w:r>
      <w:r w:rsidRPr="00C026AF">
        <w:rPr>
          <w:lang w:eastAsia="en-GB"/>
        </w:rPr>
        <w:t xml:space="preserve">. </w:t>
      </w:r>
      <w:r w:rsidRPr="00C026AF">
        <w:rPr>
          <w:lang w:val="en-US" w:eastAsia="en-GB"/>
        </w:rPr>
        <w:t>https</w:t>
      </w:r>
      <w:r w:rsidRPr="00C026AF">
        <w:rPr>
          <w:lang w:eastAsia="en-GB"/>
        </w:rPr>
        <w:t>://</w:t>
      </w:r>
      <w:r w:rsidRPr="00C026AF">
        <w:rPr>
          <w:lang w:val="en-US" w:eastAsia="en-GB"/>
        </w:rPr>
        <w:t>www</w:t>
      </w:r>
      <w:r w:rsidRPr="00C026AF">
        <w:rPr>
          <w:lang w:eastAsia="en-GB"/>
        </w:rPr>
        <w:t>.</w:t>
      </w:r>
      <w:r w:rsidRPr="00C026AF">
        <w:rPr>
          <w:lang w:val="en-US" w:eastAsia="en-GB"/>
        </w:rPr>
        <w:t>who</w:t>
      </w:r>
      <w:r w:rsidRPr="00C026AF">
        <w:rPr>
          <w:lang w:eastAsia="en-GB"/>
        </w:rPr>
        <w:t>.</w:t>
      </w:r>
      <w:proofErr w:type="spellStart"/>
      <w:r w:rsidRPr="00C026AF">
        <w:rPr>
          <w:lang w:val="en-US" w:eastAsia="en-GB"/>
        </w:rPr>
        <w:t>int</w:t>
      </w:r>
      <w:proofErr w:type="spellEnd"/>
      <w:r w:rsidRPr="00C026AF">
        <w:rPr>
          <w:lang w:eastAsia="en-GB"/>
        </w:rPr>
        <w:t>/</w:t>
      </w:r>
      <w:r w:rsidRPr="00C026AF">
        <w:rPr>
          <w:lang w:val="en-US" w:eastAsia="en-GB"/>
        </w:rPr>
        <w:t>news</w:t>
      </w:r>
      <w:r w:rsidRPr="00C026AF">
        <w:rPr>
          <w:lang w:eastAsia="en-GB"/>
        </w:rPr>
        <w:t>-</w:t>
      </w:r>
      <w:r w:rsidRPr="00C026AF">
        <w:rPr>
          <w:lang w:val="en-US" w:eastAsia="en-GB"/>
        </w:rPr>
        <w:t>room</w:t>
      </w:r>
      <w:r w:rsidRPr="00C026AF">
        <w:rPr>
          <w:lang w:eastAsia="en-GB"/>
        </w:rPr>
        <w:t>/</w:t>
      </w:r>
      <w:r w:rsidRPr="00C026AF">
        <w:rPr>
          <w:lang w:val="en-US" w:eastAsia="en-GB"/>
        </w:rPr>
        <w:t>fact</w:t>
      </w:r>
      <w:r w:rsidRPr="00C026AF">
        <w:rPr>
          <w:lang w:eastAsia="en-GB"/>
        </w:rPr>
        <w:t>-</w:t>
      </w:r>
      <w:r w:rsidRPr="00C026AF">
        <w:rPr>
          <w:lang w:val="en-US" w:eastAsia="en-GB"/>
        </w:rPr>
        <w:t>sheets</w:t>
      </w:r>
      <w:r w:rsidRPr="00C026AF">
        <w:rPr>
          <w:lang w:eastAsia="en-GB"/>
        </w:rPr>
        <w:t>/</w:t>
      </w:r>
      <w:r w:rsidRPr="00C026AF">
        <w:rPr>
          <w:lang w:val="en-US" w:eastAsia="en-GB"/>
        </w:rPr>
        <w:t>detail</w:t>
      </w:r>
      <w:r w:rsidRPr="00C026AF">
        <w:rPr>
          <w:lang w:eastAsia="en-GB"/>
        </w:rPr>
        <w:t>/</w:t>
      </w:r>
      <w:r>
        <w:rPr>
          <w:lang w:val="en-US" w:eastAsia="en-GB"/>
        </w:rPr>
        <w:t>family</w:t>
      </w:r>
      <w:r w:rsidRPr="00C026AF">
        <w:rPr>
          <w:lang w:eastAsia="en-GB"/>
        </w:rPr>
        <w:t>-</w:t>
      </w:r>
      <w:r>
        <w:rPr>
          <w:lang w:val="en-US" w:eastAsia="en-GB"/>
        </w:rPr>
        <w:t>planning</w:t>
      </w:r>
      <w:r w:rsidRPr="00C026AF">
        <w:rPr>
          <w:lang w:eastAsia="en-GB"/>
        </w:rPr>
        <w:t>-</w:t>
      </w:r>
      <w:r>
        <w:rPr>
          <w:lang w:val="en-US" w:eastAsia="en-GB"/>
        </w:rPr>
        <w:t>contraception</w:t>
      </w:r>
      <w:r w:rsidRPr="00C026AF">
        <w:rPr>
          <w:lang w:eastAsia="en-GB"/>
        </w:rPr>
        <w:t xml:space="preserve"> </w:t>
      </w:r>
    </w:p>
    <w:p w:rsidR="00C026AF" w:rsidRPr="00C026AF" w:rsidRDefault="00C026AF" w:rsidP="00C026AF">
      <w:pPr>
        <w:rPr>
          <w:lang w:eastAsia="en-GB"/>
        </w:rPr>
      </w:pPr>
      <w:r w:rsidRPr="00C026AF">
        <w:rPr>
          <w:lang w:eastAsia="en-GB"/>
        </w:rPr>
        <w:t>Всемирная организация здравоохранения (2020 г.). Мировая статистика здравоохранения</w:t>
      </w:r>
      <w:r w:rsidRPr="00C026AF">
        <w:rPr>
          <w:lang w:eastAsia="en-GB"/>
        </w:rPr>
        <w:t xml:space="preserve"> 2020.  </w:t>
      </w:r>
      <w:r w:rsidRPr="00C026AF">
        <w:rPr>
          <w:lang w:val="en-US" w:eastAsia="en-GB"/>
        </w:rPr>
        <w:t>https</w:t>
      </w:r>
      <w:r w:rsidRPr="00C026AF">
        <w:rPr>
          <w:lang w:eastAsia="en-GB"/>
        </w:rPr>
        <w:t>://</w:t>
      </w:r>
      <w:r w:rsidRPr="00C026AF">
        <w:rPr>
          <w:lang w:val="en-US" w:eastAsia="en-GB"/>
        </w:rPr>
        <w:t>www</w:t>
      </w:r>
      <w:r w:rsidRPr="00C026AF">
        <w:rPr>
          <w:lang w:eastAsia="en-GB"/>
        </w:rPr>
        <w:t>.</w:t>
      </w:r>
      <w:r w:rsidRPr="00C026AF">
        <w:rPr>
          <w:lang w:val="en-US" w:eastAsia="en-GB"/>
        </w:rPr>
        <w:t>who</w:t>
      </w:r>
      <w:r w:rsidRPr="00C026AF">
        <w:rPr>
          <w:lang w:eastAsia="en-GB"/>
        </w:rPr>
        <w:t>.</w:t>
      </w:r>
      <w:proofErr w:type="spellStart"/>
      <w:r w:rsidRPr="00C026AF">
        <w:rPr>
          <w:lang w:val="en-US" w:eastAsia="en-GB"/>
        </w:rPr>
        <w:t>int</w:t>
      </w:r>
      <w:proofErr w:type="spellEnd"/>
      <w:r w:rsidRPr="00C026AF">
        <w:rPr>
          <w:lang w:eastAsia="en-GB"/>
        </w:rPr>
        <w:t>/</w:t>
      </w:r>
      <w:r w:rsidRPr="00C026AF">
        <w:rPr>
          <w:lang w:val="en-US" w:eastAsia="en-GB"/>
        </w:rPr>
        <w:t>data</w:t>
      </w:r>
      <w:r w:rsidRPr="00C026AF">
        <w:rPr>
          <w:lang w:eastAsia="en-GB"/>
        </w:rPr>
        <w:t>/</w:t>
      </w:r>
      <w:proofErr w:type="spellStart"/>
      <w:r w:rsidRPr="00C026AF">
        <w:rPr>
          <w:lang w:val="en-US" w:eastAsia="en-GB"/>
        </w:rPr>
        <w:t>gho</w:t>
      </w:r>
      <w:proofErr w:type="spellEnd"/>
      <w:r w:rsidRPr="00C026AF">
        <w:rPr>
          <w:lang w:eastAsia="en-GB"/>
        </w:rPr>
        <w:t>/</w:t>
      </w:r>
      <w:r w:rsidRPr="00C026AF">
        <w:rPr>
          <w:lang w:val="en-US" w:eastAsia="en-GB"/>
        </w:rPr>
        <w:t>publi</w:t>
      </w:r>
      <w:r>
        <w:rPr>
          <w:lang w:val="en-US" w:eastAsia="en-GB"/>
        </w:rPr>
        <w:t>cations</w:t>
      </w:r>
      <w:r w:rsidRPr="00C026AF">
        <w:rPr>
          <w:lang w:eastAsia="en-GB"/>
        </w:rPr>
        <w:t>/</w:t>
      </w:r>
      <w:r>
        <w:rPr>
          <w:lang w:val="en-US" w:eastAsia="en-GB"/>
        </w:rPr>
        <w:t>world</w:t>
      </w:r>
      <w:r w:rsidRPr="00C026AF">
        <w:rPr>
          <w:lang w:eastAsia="en-GB"/>
        </w:rPr>
        <w:t>-</w:t>
      </w:r>
      <w:r>
        <w:rPr>
          <w:lang w:val="en-US" w:eastAsia="en-GB"/>
        </w:rPr>
        <w:t>health</w:t>
      </w:r>
      <w:r w:rsidRPr="00C026AF">
        <w:rPr>
          <w:lang w:eastAsia="en-GB"/>
        </w:rPr>
        <w:t>-</w:t>
      </w:r>
      <w:r>
        <w:rPr>
          <w:lang w:val="en-US" w:eastAsia="en-GB"/>
        </w:rPr>
        <w:t>statistics</w:t>
      </w:r>
    </w:p>
    <w:p w:rsidR="00C026AF" w:rsidRPr="00C026AF" w:rsidRDefault="00C026AF" w:rsidP="00C026AF">
      <w:pPr>
        <w:rPr>
          <w:lang w:eastAsia="en-GB"/>
        </w:rPr>
      </w:pPr>
      <w:r w:rsidRPr="00C026AF">
        <w:rPr>
          <w:lang w:eastAsia="en-GB"/>
        </w:rPr>
        <w:t xml:space="preserve">Всемирная организация здравоохранения (2020 г.). Мировая статистика здравоохранения </w:t>
      </w:r>
      <w:r w:rsidRPr="00C026AF">
        <w:rPr>
          <w:lang w:eastAsia="en-GB"/>
        </w:rPr>
        <w:t xml:space="preserve">(2016-2030), </w:t>
      </w:r>
      <w:r w:rsidRPr="00C026AF">
        <w:rPr>
          <w:lang w:val="en-US" w:eastAsia="en-GB"/>
        </w:rPr>
        <w:t>https</w:t>
      </w:r>
      <w:r w:rsidRPr="00C026AF">
        <w:rPr>
          <w:lang w:eastAsia="en-GB"/>
        </w:rPr>
        <w:t>://</w:t>
      </w:r>
      <w:r w:rsidRPr="00C026AF">
        <w:rPr>
          <w:lang w:val="en-US" w:eastAsia="en-GB"/>
        </w:rPr>
        <w:t>www</w:t>
      </w:r>
      <w:r w:rsidRPr="00C026AF">
        <w:rPr>
          <w:lang w:eastAsia="en-GB"/>
        </w:rPr>
        <w:t>.</w:t>
      </w:r>
      <w:proofErr w:type="spellStart"/>
      <w:r w:rsidRPr="00C026AF">
        <w:rPr>
          <w:lang w:val="en-US" w:eastAsia="en-GB"/>
        </w:rPr>
        <w:t>everywoman</w:t>
      </w:r>
      <w:r>
        <w:rPr>
          <w:lang w:val="en-US" w:eastAsia="en-GB"/>
        </w:rPr>
        <w:t>everychild</w:t>
      </w:r>
      <w:proofErr w:type="spellEnd"/>
      <w:r w:rsidRPr="00C026AF">
        <w:rPr>
          <w:lang w:eastAsia="en-GB"/>
        </w:rPr>
        <w:t>.</w:t>
      </w:r>
      <w:r>
        <w:rPr>
          <w:lang w:val="en-US" w:eastAsia="en-GB"/>
        </w:rPr>
        <w:t>org</w:t>
      </w:r>
      <w:r w:rsidRPr="00C026AF">
        <w:rPr>
          <w:lang w:eastAsia="en-GB"/>
        </w:rPr>
        <w:t>/</w:t>
      </w:r>
      <w:r>
        <w:rPr>
          <w:lang w:val="en-US" w:eastAsia="en-GB"/>
        </w:rPr>
        <w:t>global</w:t>
      </w:r>
      <w:r w:rsidRPr="00C026AF">
        <w:rPr>
          <w:lang w:eastAsia="en-GB"/>
        </w:rPr>
        <w:t>-</w:t>
      </w:r>
      <w:r>
        <w:rPr>
          <w:lang w:val="en-US" w:eastAsia="en-GB"/>
        </w:rPr>
        <w:t>strategy</w:t>
      </w:r>
      <w:r w:rsidRPr="00C026AF">
        <w:rPr>
          <w:lang w:eastAsia="en-GB"/>
        </w:rPr>
        <w:t>/</w:t>
      </w:r>
      <w:r w:rsidRPr="00C026AF">
        <w:rPr>
          <w:lang w:eastAsia="en-GB"/>
        </w:rPr>
        <w:t xml:space="preserve"> </w:t>
      </w:r>
    </w:p>
    <w:p w:rsidR="00486C7B" w:rsidRPr="00C026AF" w:rsidRDefault="00C026AF" w:rsidP="00C026AF">
      <w:pPr>
        <w:rPr>
          <w:lang w:eastAsia="en-GB"/>
        </w:rPr>
      </w:pPr>
      <w:r w:rsidRPr="00C026AF">
        <w:rPr>
          <w:lang w:eastAsia="en-GB"/>
        </w:rPr>
        <w:t xml:space="preserve">Каждая женщина, каждый ребенок (2020). Отчет о ходе работы </w:t>
      </w:r>
      <w:r w:rsidRPr="00C026AF">
        <w:rPr>
          <w:lang w:val="en-US" w:eastAsia="en-GB"/>
        </w:rPr>
        <w:t>EWEC</w:t>
      </w:r>
      <w:r w:rsidRPr="00C026AF">
        <w:rPr>
          <w:lang w:eastAsia="en-GB"/>
        </w:rPr>
        <w:t xml:space="preserve"> Организации Объединенных Наций за 2020 г. – Защита прогресса: рост, переориентация, восстановление</w:t>
      </w:r>
      <w:bookmarkStart w:id="5" w:name="_GoBack"/>
      <w:bookmarkEnd w:id="5"/>
      <w:r w:rsidRPr="00C026AF">
        <w:rPr>
          <w:lang w:eastAsia="en-GB"/>
        </w:rPr>
        <w:t xml:space="preserve">. </w:t>
      </w:r>
      <w:r w:rsidRPr="00C026AF">
        <w:rPr>
          <w:lang w:val="en-US" w:eastAsia="en-GB"/>
        </w:rPr>
        <w:t>https</w:t>
      </w:r>
      <w:r w:rsidRPr="00C026AF">
        <w:rPr>
          <w:lang w:eastAsia="en-GB"/>
        </w:rPr>
        <w:t>://</w:t>
      </w:r>
      <w:r w:rsidRPr="00C026AF">
        <w:rPr>
          <w:lang w:val="en-US" w:eastAsia="en-GB"/>
        </w:rPr>
        <w:t>protect</w:t>
      </w:r>
      <w:r w:rsidRPr="00C026AF">
        <w:rPr>
          <w:lang w:eastAsia="en-GB"/>
        </w:rPr>
        <w:t>.</w:t>
      </w:r>
      <w:r w:rsidRPr="00C026AF">
        <w:rPr>
          <w:lang w:val="en-US" w:eastAsia="en-GB"/>
        </w:rPr>
        <w:t>everywomaneverychild</w:t>
      </w:r>
      <w:r w:rsidRPr="00C026AF">
        <w:rPr>
          <w:lang w:eastAsia="en-GB"/>
        </w:rPr>
        <w:t>.</w:t>
      </w:r>
      <w:r w:rsidRPr="00C026AF">
        <w:rPr>
          <w:lang w:val="en-US" w:eastAsia="en-GB"/>
        </w:rPr>
        <w:t>org</w:t>
      </w:r>
      <w:r w:rsidRPr="00C026AF">
        <w:rPr>
          <w:lang w:eastAsia="en-GB"/>
        </w:rPr>
        <w:t>/</w:t>
      </w:r>
    </w:p>
    <w:sectPr w:rsidR="00486C7B" w:rsidRPr="00C026AF">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F5" w:rsidRDefault="000C5EF5" w:rsidP="00F73DBC">
      <w:pPr>
        <w:spacing w:after="0" w:line="240" w:lineRule="auto"/>
      </w:pPr>
      <w:r>
        <w:separator/>
      </w:r>
    </w:p>
  </w:endnote>
  <w:endnote w:type="continuationSeparator" w:id="0">
    <w:p w:rsidR="000C5EF5" w:rsidRDefault="000C5EF5"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F5" w:rsidRDefault="000C5EF5" w:rsidP="00F73DBC">
      <w:pPr>
        <w:spacing w:after="0" w:line="240" w:lineRule="auto"/>
      </w:pPr>
      <w:r>
        <w:separator/>
      </w:r>
    </w:p>
  </w:footnote>
  <w:footnote w:type="continuationSeparator" w:id="0">
    <w:p w:rsidR="000C5EF5" w:rsidRDefault="000C5EF5"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5F2C0B">
      <w:t>февраль</w:t>
    </w:r>
    <w:r w:rsidR="00781DE7">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A210D"/>
    <w:rsid w:val="000A229E"/>
    <w:rsid w:val="000B6C80"/>
    <w:rsid w:val="000C5EF5"/>
    <w:rsid w:val="00116248"/>
    <w:rsid w:val="00136487"/>
    <w:rsid w:val="001470A2"/>
    <w:rsid w:val="00165896"/>
    <w:rsid w:val="00184BD4"/>
    <w:rsid w:val="001A163A"/>
    <w:rsid w:val="001C1561"/>
    <w:rsid w:val="001E2FC9"/>
    <w:rsid w:val="002323E8"/>
    <w:rsid w:val="00291FA0"/>
    <w:rsid w:val="002E122C"/>
    <w:rsid w:val="002E15F9"/>
    <w:rsid w:val="002F63E5"/>
    <w:rsid w:val="00303D71"/>
    <w:rsid w:val="003143BC"/>
    <w:rsid w:val="00360BC7"/>
    <w:rsid w:val="003746BC"/>
    <w:rsid w:val="003859BD"/>
    <w:rsid w:val="003D58DC"/>
    <w:rsid w:val="003F68A4"/>
    <w:rsid w:val="00407E4E"/>
    <w:rsid w:val="004143B4"/>
    <w:rsid w:val="00421928"/>
    <w:rsid w:val="00486C7B"/>
    <w:rsid w:val="004E087E"/>
    <w:rsid w:val="004F10B4"/>
    <w:rsid w:val="0056765D"/>
    <w:rsid w:val="005E47BD"/>
    <w:rsid w:val="005F2C0B"/>
    <w:rsid w:val="0062303C"/>
    <w:rsid w:val="00625226"/>
    <w:rsid w:val="006704C2"/>
    <w:rsid w:val="00694160"/>
    <w:rsid w:val="006B260E"/>
    <w:rsid w:val="006B3939"/>
    <w:rsid w:val="006D7049"/>
    <w:rsid w:val="006F65C6"/>
    <w:rsid w:val="00702333"/>
    <w:rsid w:val="00705161"/>
    <w:rsid w:val="0075371E"/>
    <w:rsid w:val="00780F08"/>
    <w:rsid w:val="00781DE7"/>
    <w:rsid w:val="00792FD0"/>
    <w:rsid w:val="007B0CFD"/>
    <w:rsid w:val="007C27E0"/>
    <w:rsid w:val="007D1185"/>
    <w:rsid w:val="007D600A"/>
    <w:rsid w:val="007F06DF"/>
    <w:rsid w:val="00836F3E"/>
    <w:rsid w:val="00853C09"/>
    <w:rsid w:val="009508D1"/>
    <w:rsid w:val="00957A62"/>
    <w:rsid w:val="00974E31"/>
    <w:rsid w:val="00980F79"/>
    <w:rsid w:val="00982FE8"/>
    <w:rsid w:val="009C064B"/>
    <w:rsid w:val="00A53D4B"/>
    <w:rsid w:val="00A618FC"/>
    <w:rsid w:val="00A71EC6"/>
    <w:rsid w:val="00A82CD3"/>
    <w:rsid w:val="00A91FDE"/>
    <w:rsid w:val="00A9247A"/>
    <w:rsid w:val="00A94C56"/>
    <w:rsid w:val="00AA4914"/>
    <w:rsid w:val="00AC1A97"/>
    <w:rsid w:val="00B0378B"/>
    <w:rsid w:val="00B22EE5"/>
    <w:rsid w:val="00B31DAD"/>
    <w:rsid w:val="00B72F77"/>
    <w:rsid w:val="00BB39F6"/>
    <w:rsid w:val="00BD29EC"/>
    <w:rsid w:val="00BE2C5D"/>
    <w:rsid w:val="00BE415C"/>
    <w:rsid w:val="00C026AF"/>
    <w:rsid w:val="00C47A4A"/>
    <w:rsid w:val="00C8596F"/>
    <w:rsid w:val="00CA1CB1"/>
    <w:rsid w:val="00D05466"/>
    <w:rsid w:val="00D2619D"/>
    <w:rsid w:val="00DA0195"/>
    <w:rsid w:val="00DA19D7"/>
    <w:rsid w:val="00E123F7"/>
    <w:rsid w:val="00E21B43"/>
    <w:rsid w:val="00E27922"/>
    <w:rsid w:val="00E30B6F"/>
    <w:rsid w:val="00E33CA8"/>
    <w:rsid w:val="00E90BD4"/>
    <w:rsid w:val="00EB362A"/>
    <w:rsid w:val="00EB389E"/>
    <w:rsid w:val="00EE0900"/>
    <w:rsid w:val="00F6371F"/>
    <w:rsid w:val="00F73DBC"/>
    <w:rsid w:val="00F84FF1"/>
    <w:rsid w:val="00F92D6F"/>
    <w:rsid w:val="00FB66D9"/>
    <w:rsid w:val="00FE35CF"/>
    <w:rsid w:val="00FF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D0"/>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styleId="af4">
    <w:name w:val="No Spacing"/>
    <w:uiPriority w:val="1"/>
    <w:qFormat/>
    <w:rsid w:val="00FF4201"/>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D0"/>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styleId="af4">
    <w:name w:val="No Spacing"/>
    <w:uiPriority w:val="1"/>
    <w:qFormat/>
    <w:rsid w:val="00FF4201"/>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9896">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fpa.org/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cs.unicef.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n.org/development/desa/pd/file/10712" TargetMode="External"/><Relationship Id="rId4" Type="http://schemas.microsoft.com/office/2007/relationships/stylesWithEffects" Target="stylesWithEffects.xml"/><Relationship Id="rId9" Type="http://schemas.openxmlformats.org/officeDocument/2006/relationships/hyperlink" Target="http://measuredhs.com/Topics/Unmet-Need.c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A155-30C1-44A5-9ACC-EBDFAE24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3921</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17</cp:revision>
  <dcterms:created xsi:type="dcterms:W3CDTF">2022-02-04T10:50:00Z</dcterms:created>
  <dcterms:modified xsi:type="dcterms:W3CDTF">2022-02-04T13:41:00Z</dcterms:modified>
</cp:coreProperties>
</file>