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5712CD" w:rsidRDefault="00BE415C" w:rsidP="00781DE7">
      <w:pPr>
        <w:pBdr>
          <w:top w:val="nil"/>
          <w:left w:val="nil"/>
          <w:bottom w:val="nil"/>
          <w:right w:val="nil"/>
          <w:between w:val="nil"/>
          <w:bar w:val="nil"/>
        </w:pBdr>
        <w:spacing w:after="0"/>
        <w:rPr>
          <w:rFonts w:cs="Times New Roman"/>
          <w:b/>
          <w:szCs w:val="24"/>
        </w:rPr>
      </w:pPr>
      <w:r>
        <w:rPr>
          <w:rFonts w:cs="Times New Roman"/>
          <w:szCs w:val="24"/>
        </w:rPr>
        <w:t>3</w:t>
      </w:r>
      <w:r w:rsidR="00780F08" w:rsidRPr="00BD29EC">
        <w:rPr>
          <w:rFonts w:cs="Times New Roman"/>
          <w:szCs w:val="24"/>
        </w:rPr>
        <w:t>.</w:t>
      </w:r>
      <w:r w:rsidR="005712CD">
        <w:rPr>
          <w:rFonts w:cs="Times New Roman"/>
          <w:szCs w:val="24"/>
        </w:rPr>
        <w:t>8</w:t>
      </w:r>
      <w:r w:rsidR="00780F08" w:rsidRPr="00BD29EC">
        <w:rPr>
          <w:rFonts w:cs="Times New Roman"/>
          <w:szCs w:val="24"/>
        </w:rPr>
        <w:t xml:space="preserve">.  </w:t>
      </w:r>
      <w:r w:rsidR="005712CD" w:rsidRPr="005712CD">
        <w:t>Обеспечить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5712CD">
        <w:rPr>
          <w:rFonts w:cs="Times New Roman"/>
          <w:szCs w:val="24"/>
        </w:rPr>
        <w:t>8</w:t>
      </w:r>
      <w:r w:rsidR="00780F08" w:rsidRPr="00BD29EC">
        <w:rPr>
          <w:rFonts w:cs="Times New Roman"/>
          <w:szCs w:val="24"/>
        </w:rPr>
        <w:t>.</w:t>
      </w:r>
      <w:r w:rsidR="00667462">
        <w:rPr>
          <w:rFonts w:cs="Times New Roman"/>
          <w:szCs w:val="24"/>
        </w:rPr>
        <w:t>2</w:t>
      </w:r>
      <w:r w:rsidR="00780F08" w:rsidRPr="00BD29EC">
        <w:rPr>
          <w:rFonts w:cs="Times New Roman"/>
          <w:szCs w:val="24"/>
        </w:rPr>
        <w:t xml:space="preserve"> </w:t>
      </w:r>
      <w:r w:rsidR="00667462" w:rsidRPr="00667462">
        <w:t>Доля населения с большим удельным весом семейных расходов на медицинскую помощь в общем объеме расходов или доходов домохозяйств</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5595E"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Обновление данных</w:t>
      </w:r>
    </w:p>
    <w:p w:rsidR="005421AF" w:rsidRDefault="005421AF" w:rsidP="00853C09">
      <w:pPr>
        <w:pBdr>
          <w:top w:val="nil"/>
          <w:left w:val="nil"/>
          <w:bottom w:val="nil"/>
          <w:right w:val="nil"/>
          <w:between w:val="nil"/>
          <w:bar w:val="nil"/>
        </w:pBdr>
        <w:tabs>
          <w:tab w:val="left" w:pos="284"/>
        </w:tabs>
        <w:spacing w:after="0"/>
      </w:pPr>
      <w:r>
        <w:t xml:space="preserve">2019-03-01 </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5595E" w:rsidRPr="00DA19D7" w:rsidRDefault="005421AF" w:rsidP="005421AF">
      <w:pPr>
        <w:rPr>
          <w:bdr w:val="nil"/>
          <w:lang w:eastAsia="ru-RU"/>
        </w:rPr>
      </w:pPr>
      <w:r>
        <w:rPr>
          <w:bdr w:val="nil"/>
          <w:lang w:eastAsia="ru-RU"/>
        </w:rPr>
        <w:t xml:space="preserve">Показатели ЦУР: </w:t>
      </w:r>
      <w:r>
        <w:t xml:space="preserve">3.8.1; 1.1.1 и </w:t>
      </w:r>
      <w:r>
        <w:t>1.2.1</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160EF4" w:rsidRDefault="00160EF4" w:rsidP="0075371E">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160EF4" w:rsidRDefault="00160EF4" w:rsidP="00160EF4">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2A09A0" w:rsidRPr="00087090" w:rsidRDefault="002A09A0" w:rsidP="002A09A0">
      <w:pPr>
        <w:rPr>
          <w:rFonts w:cs="Times New Roman"/>
          <w:szCs w:val="24"/>
        </w:rPr>
      </w:pPr>
      <w:r w:rsidRPr="00087090">
        <w:rPr>
          <w:rFonts w:cs="Times New Roman"/>
          <w:szCs w:val="24"/>
        </w:rPr>
        <w:t xml:space="preserve">Доля населения с большим удельным весом семейных расходов на медицинскую помощь в общем объеме расходов или доходов домохозяйств. </w:t>
      </w:r>
    </w:p>
    <w:p w:rsidR="002A09A0" w:rsidRPr="00087090" w:rsidRDefault="002A09A0" w:rsidP="002A09A0">
      <w:pPr>
        <w:rPr>
          <w:rFonts w:cs="Times New Roman"/>
          <w:szCs w:val="24"/>
        </w:rPr>
      </w:pPr>
      <w:r w:rsidRPr="00087090">
        <w:rPr>
          <w:rFonts w:cs="Times New Roman"/>
          <w:szCs w:val="24"/>
        </w:rPr>
        <w:t xml:space="preserve">Два порога используются для определения «больших расходов домашних хозяйств на здоровье»: более 10% и более 25% от общих расходов домашних хозяйств или доходов. </w:t>
      </w:r>
    </w:p>
    <w:p w:rsidR="002A09A0" w:rsidRDefault="009C7C05" w:rsidP="00DA19D7">
      <w:pPr>
        <w:pStyle w:val="MText"/>
        <w:rPr>
          <w:color w:val="000000" w:themeColor="text1"/>
          <w:sz w:val="24"/>
          <w:szCs w:val="24"/>
          <w:lang w:val="ru-RU"/>
        </w:rPr>
      </w:pPr>
      <w:r>
        <w:rPr>
          <w:color w:val="000000" w:themeColor="text1"/>
          <w:sz w:val="24"/>
          <w:szCs w:val="24"/>
          <w:lang w:val="ru-RU"/>
        </w:rPr>
        <w:t>Основные концепции</w:t>
      </w:r>
    </w:p>
    <w:p w:rsidR="002A09A0" w:rsidRDefault="002A09A0" w:rsidP="002A09A0">
      <w:pPr>
        <w:rPr>
          <w:rFonts w:cs="Times New Roman"/>
          <w:szCs w:val="24"/>
        </w:rPr>
      </w:pPr>
      <w:r w:rsidRPr="00087090">
        <w:rPr>
          <w:rFonts w:cs="Times New Roman"/>
          <w:szCs w:val="24"/>
        </w:rPr>
        <w:t xml:space="preserve">Показатель 3.8.2 определяется как «Доля населения с большим удельным весом семейных расходов на медицинскую помощь в общем объеме расходов или доходов домохозяйств». Фактически он основан на соотношении, превышающем порог. Две основные концепции, представляющие интерес для этого соотношения, - это расходы домашних хозяйств на здоровье (числитель) и </w:t>
      </w:r>
      <w:r w:rsidRPr="002A09A0">
        <w:rPr>
          <w:rFonts w:cs="Times New Roman"/>
          <w:szCs w:val="24"/>
        </w:rPr>
        <w:t xml:space="preserve">общие потребительские расходы домохозяйства или, при отсутствии данных, </w:t>
      </w:r>
      <w:r w:rsidR="00D35734">
        <w:rPr>
          <w:rFonts w:cs="Times New Roman"/>
          <w:szCs w:val="24"/>
        </w:rPr>
        <w:t xml:space="preserve">его </w:t>
      </w:r>
      <w:r w:rsidRPr="002A09A0">
        <w:rPr>
          <w:rFonts w:cs="Times New Roman"/>
          <w:szCs w:val="24"/>
        </w:rPr>
        <w:t>доход (знаменатель)</w:t>
      </w:r>
      <w:r>
        <w:rPr>
          <w:rFonts w:cs="Times New Roman"/>
          <w:szCs w:val="24"/>
        </w:rPr>
        <w:t>.</w:t>
      </w:r>
    </w:p>
    <w:p w:rsidR="002A09A0" w:rsidRPr="00087090" w:rsidRDefault="002A09A0" w:rsidP="002A09A0">
      <w:pPr>
        <w:rPr>
          <w:rFonts w:cs="Times New Roman"/>
          <w:szCs w:val="24"/>
        </w:rPr>
      </w:pPr>
    </w:p>
    <w:p w:rsidR="002A09A0" w:rsidRPr="00293300" w:rsidRDefault="002A09A0" w:rsidP="002A09A0">
      <w:pPr>
        <w:rPr>
          <w:rFonts w:cs="Times New Roman"/>
          <w:i/>
          <w:szCs w:val="24"/>
        </w:rPr>
      </w:pPr>
      <w:r w:rsidRPr="00293300">
        <w:rPr>
          <w:rFonts w:cs="Times New Roman"/>
          <w:i/>
          <w:szCs w:val="24"/>
        </w:rPr>
        <w:lastRenderedPageBreak/>
        <w:t>Числитель</w:t>
      </w:r>
    </w:p>
    <w:p w:rsidR="002A09A0" w:rsidRPr="00087090" w:rsidRDefault="002A09A0" w:rsidP="002A09A0">
      <w:pPr>
        <w:rPr>
          <w:rFonts w:cs="Times New Roman"/>
          <w:szCs w:val="24"/>
        </w:rPr>
      </w:pPr>
      <w:r w:rsidRPr="00087090">
        <w:rPr>
          <w:rFonts w:cs="Times New Roman"/>
          <w:szCs w:val="24"/>
        </w:rPr>
        <w:t>Расходы домашних хозяйств на здоровье определяются как любые расходы, понесенн</w:t>
      </w:r>
      <w:r>
        <w:rPr>
          <w:rFonts w:cs="Times New Roman"/>
          <w:szCs w:val="24"/>
        </w:rPr>
        <w:t>ые во время использования услуг,</w:t>
      </w:r>
      <w:r w:rsidRPr="00087090">
        <w:rPr>
          <w:rFonts w:cs="Times New Roman"/>
          <w:szCs w:val="24"/>
        </w:rPr>
        <w:t xml:space="preserve"> для получения любого вида помощи (профилактическо</w:t>
      </w:r>
      <w:r w:rsidR="00D35734">
        <w:rPr>
          <w:rFonts w:cs="Times New Roman"/>
          <w:szCs w:val="24"/>
        </w:rPr>
        <w:t>й,</w:t>
      </w:r>
      <w:r w:rsidRPr="00087090">
        <w:rPr>
          <w:rFonts w:cs="Times New Roman"/>
          <w:szCs w:val="24"/>
        </w:rPr>
        <w:t xml:space="preserve"> лечебной, реабилитационной, </w:t>
      </w:r>
      <w:r w:rsidR="00D35734">
        <w:rPr>
          <w:rFonts w:cs="Times New Roman"/>
          <w:szCs w:val="24"/>
        </w:rPr>
        <w:t>при кратковременном</w:t>
      </w:r>
      <w:r w:rsidRPr="00087090">
        <w:rPr>
          <w:rFonts w:cs="Times New Roman"/>
          <w:szCs w:val="24"/>
        </w:rPr>
        <w:t xml:space="preserve"> или </w:t>
      </w:r>
      <w:r w:rsidR="00D35734">
        <w:rPr>
          <w:rFonts w:cs="Times New Roman"/>
          <w:szCs w:val="24"/>
        </w:rPr>
        <w:t>долгосрочном</w:t>
      </w:r>
      <w:r w:rsidRPr="00087090">
        <w:rPr>
          <w:rFonts w:cs="Times New Roman"/>
          <w:szCs w:val="24"/>
        </w:rPr>
        <w:t xml:space="preserve"> уход</w:t>
      </w:r>
      <w:r w:rsidR="00D35734">
        <w:rPr>
          <w:rFonts w:cs="Times New Roman"/>
          <w:szCs w:val="24"/>
        </w:rPr>
        <w:t>е</w:t>
      </w:r>
      <w:r w:rsidRPr="00087090">
        <w:rPr>
          <w:rFonts w:cs="Times New Roman"/>
          <w:szCs w:val="24"/>
        </w:rPr>
        <w:t xml:space="preserve">), </w:t>
      </w:r>
      <w:r w:rsidRPr="002A09A0">
        <w:rPr>
          <w:rFonts w:cs="Times New Roman"/>
          <w:szCs w:val="24"/>
        </w:rPr>
        <w:t>включая все лекарства, вакцины и другие фармацевтические препараты, а также все товары для здоровья от любого пос</w:t>
      </w:r>
      <w:r>
        <w:rPr>
          <w:rFonts w:cs="Times New Roman"/>
          <w:szCs w:val="24"/>
        </w:rPr>
        <w:t>тавщика и для всех членов семьи</w:t>
      </w:r>
      <w:r w:rsidRPr="00087090">
        <w:rPr>
          <w:rFonts w:cs="Times New Roman"/>
          <w:szCs w:val="24"/>
        </w:rPr>
        <w:t xml:space="preserve">. </w:t>
      </w:r>
      <w:r w:rsidRPr="002A09A0">
        <w:rPr>
          <w:rFonts w:cs="Times New Roman"/>
          <w:szCs w:val="24"/>
        </w:rPr>
        <w:t xml:space="preserve">Эти расходы на здравоохранение характеризуются прямыми платежами, которые финансируются за счет доходов домохозяйства (включая денежные переводы), сбережений или займов, но не включают никакого возмещения </w:t>
      </w:r>
      <w:r>
        <w:rPr>
          <w:rFonts w:cs="Times New Roman"/>
          <w:szCs w:val="24"/>
        </w:rPr>
        <w:t>от стороннего плательщика</w:t>
      </w:r>
      <w:r w:rsidRPr="002A09A0">
        <w:rPr>
          <w:rFonts w:cs="Times New Roman"/>
          <w:szCs w:val="24"/>
        </w:rPr>
        <w:t>.</w:t>
      </w:r>
      <w:r w:rsidRPr="00087090">
        <w:rPr>
          <w:rFonts w:cs="Times New Roman"/>
          <w:szCs w:val="24"/>
        </w:rPr>
        <w:t xml:space="preserve"> Таким образом, они предоставляют только доступ к медицинским услугам и продуктам здравоохранения, за которые люди могут </w:t>
      </w:r>
      <w:r>
        <w:rPr>
          <w:rFonts w:cs="Times New Roman"/>
          <w:szCs w:val="24"/>
        </w:rPr>
        <w:t>за</w:t>
      </w:r>
      <w:r w:rsidRPr="00087090">
        <w:rPr>
          <w:rFonts w:cs="Times New Roman"/>
          <w:szCs w:val="24"/>
        </w:rPr>
        <w:t>платить, без какой-либо взаимопомощи между здоровыми и больными вне семьи</w:t>
      </w:r>
      <w:r w:rsidRPr="00293300">
        <w:rPr>
          <w:rFonts w:cs="Times New Roman"/>
          <w:szCs w:val="24"/>
          <w:vertAlign w:val="superscript"/>
        </w:rPr>
        <w:footnoteReference w:id="1"/>
      </w:r>
      <w:r w:rsidRPr="00087090">
        <w:rPr>
          <w:rFonts w:cs="Times New Roman"/>
          <w:szCs w:val="24"/>
        </w:rPr>
        <w:t xml:space="preserve"> и исключительно на основе готовности и способности домашнего хозяйства платить. Прямые выплаты за медицинскую помощь обозначаются как «Личные выплаты» (</w:t>
      </w:r>
      <w:r w:rsidR="0037495D">
        <w:t>ЛВ</w:t>
      </w:r>
      <w:r w:rsidRPr="00087090">
        <w:rPr>
          <w:rFonts w:cs="Times New Roman"/>
          <w:szCs w:val="24"/>
        </w:rPr>
        <w:t xml:space="preserve">) в классификации схем финансирования здравоохранения (СФ) </w:t>
      </w:r>
      <w:r w:rsidR="008461CC">
        <w:rPr>
          <w:rFonts w:cs="Times New Roman"/>
          <w:szCs w:val="24"/>
        </w:rPr>
        <w:t xml:space="preserve">Международной классификации </w:t>
      </w:r>
      <w:r w:rsidRPr="00087090">
        <w:rPr>
          <w:rFonts w:cs="Times New Roman"/>
          <w:szCs w:val="24"/>
        </w:rPr>
        <w:t xml:space="preserve">счетов здравоохранения (ССЗ-МКСЗ). </w:t>
      </w:r>
      <w:r w:rsidR="0037495D">
        <w:rPr>
          <w:rFonts w:cs="Times New Roman"/>
          <w:szCs w:val="24"/>
        </w:rPr>
        <w:t>Подобные р</w:t>
      </w:r>
      <w:r w:rsidRPr="00087090">
        <w:rPr>
          <w:rFonts w:cs="Times New Roman"/>
          <w:szCs w:val="24"/>
        </w:rPr>
        <w:t xml:space="preserve">асходы на здравоохранение являются </w:t>
      </w:r>
      <w:r w:rsidR="0037495D">
        <w:rPr>
          <w:rFonts w:cs="Times New Roman"/>
          <w:szCs w:val="24"/>
        </w:rPr>
        <w:t>наиболее</w:t>
      </w:r>
      <w:r w:rsidRPr="00087090">
        <w:rPr>
          <w:rFonts w:cs="Times New Roman"/>
          <w:szCs w:val="24"/>
        </w:rPr>
        <w:t xml:space="preserve"> </w:t>
      </w:r>
      <w:r w:rsidR="0037495D">
        <w:rPr>
          <w:rFonts w:cs="Times New Roman"/>
          <w:szCs w:val="24"/>
        </w:rPr>
        <w:t>неравномерным</w:t>
      </w:r>
      <w:r w:rsidRPr="00087090">
        <w:rPr>
          <w:rFonts w:cs="Times New Roman"/>
          <w:szCs w:val="24"/>
        </w:rPr>
        <w:t xml:space="preserve"> источником финансирования системы здравоохранения.</w:t>
      </w:r>
    </w:p>
    <w:p w:rsidR="0037495D" w:rsidRDefault="002A09A0" w:rsidP="002A09A0">
      <w:pPr>
        <w:rPr>
          <w:rFonts w:cs="Times New Roman"/>
          <w:szCs w:val="24"/>
        </w:rPr>
      </w:pPr>
      <w:r w:rsidRPr="00087090">
        <w:rPr>
          <w:rFonts w:cs="Times New Roman"/>
          <w:szCs w:val="24"/>
        </w:rPr>
        <w:t>Компоненты расходов на потребление домашних хозяйств, определенные таким образом, должны соответствовать разделу 06 Классификации индивидуального потребления по целям (КИПЦ)</w:t>
      </w:r>
      <w:r w:rsidR="0037495D">
        <w:rPr>
          <w:rFonts w:cs="Times New Roman"/>
          <w:szCs w:val="24"/>
        </w:rPr>
        <w:t>, который в настоящее время включает</w:t>
      </w:r>
      <w:r w:rsidRPr="00087090">
        <w:rPr>
          <w:rFonts w:cs="Times New Roman"/>
          <w:szCs w:val="24"/>
        </w:rPr>
        <w:t xml:space="preserve"> расходы на лекарства и медицинские товары (06.1), услуги амбулаторного лечения (06.2</w:t>
      </w:r>
      <w:r w:rsidR="0037495D">
        <w:rPr>
          <w:rFonts w:cs="Times New Roman"/>
          <w:szCs w:val="24"/>
        </w:rPr>
        <w:t>) и стационарные услуги (06.3), но продолжает расширяться</w:t>
      </w:r>
      <w:r w:rsidR="00C8648A">
        <w:rPr>
          <w:rStyle w:val="a6"/>
          <w:rFonts w:cs="Times New Roman"/>
          <w:szCs w:val="24"/>
        </w:rPr>
        <w:footnoteReference w:id="2"/>
      </w:r>
      <w:r w:rsidR="0037495D">
        <w:rPr>
          <w:rFonts w:cs="Times New Roman"/>
          <w:szCs w:val="24"/>
        </w:rPr>
        <w:t xml:space="preserve">. </w:t>
      </w:r>
    </w:p>
    <w:p w:rsidR="002A09A0" w:rsidRPr="00087090" w:rsidRDefault="002A09A0" w:rsidP="002A09A0">
      <w:pPr>
        <w:rPr>
          <w:rFonts w:cs="Times New Roman"/>
          <w:szCs w:val="24"/>
        </w:rPr>
      </w:pPr>
      <w:r w:rsidRPr="00087090">
        <w:rPr>
          <w:rFonts w:cs="Times New Roman"/>
          <w:szCs w:val="24"/>
        </w:rPr>
        <w:t>Дополнительная информация об определен</w:t>
      </w:r>
      <w:r w:rsidR="008461CC">
        <w:rPr>
          <w:rFonts w:cs="Times New Roman"/>
          <w:szCs w:val="24"/>
        </w:rPr>
        <w:t>иях и классификациях (</w:t>
      </w:r>
      <w:r w:rsidR="008461CC" w:rsidRPr="008461CC">
        <w:rPr>
          <w:rFonts w:cs="Times New Roman"/>
          <w:szCs w:val="24"/>
        </w:rPr>
        <w:t>например, по поставщику, по характеристикам получателя</w:t>
      </w:r>
      <w:r w:rsidRPr="00087090">
        <w:rPr>
          <w:rFonts w:cs="Times New Roman"/>
          <w:szCs w:val="24"/>
        </w:rPr>
        <w:t xml:space="preserve">) расходов на здравоохранение должна соответствовать </w:t>
      </w:r>
      <w:hyperlink r:id="rId8" w:history="1">
        <w:r w:rsidRPr="008461CC">
          <w:rPr>
            <w:rStyle w:val="ac"/>
            <w:rFonts w:cs="Times New Roman"/>
            <w:szCs w:val="24"/>
          </w:rPr>
          <w:t xml:space="preserve">Международной классификации счетов здравоохранения и ее </w:t>
        </w:r>
        <w:r w:rsidR="008461CC" w:rsidRPr="008461CC">
          <w:rPr>
            <w:rStyle w:val="ac"/>
            <w:rFonts w:cs="Times New Roman"/>
            <w:szCs w:val="24"/>
          </w:rPr>
          <w:t>семейству классификаций</w:t>
        </w:r>
      </w:hyperlink>
      <w:r w:rsidRPr="00087090">
        <w:rPr>
          <w:rFonts w:cs="Times New Roman"/>
          <w:szCs w:val="24"/>
        </w:rPr>
        <w:t xml:space="preserve">. ССЗ-МКСЗ является результатом сотрудничества между ОЭСР, </w:t>
      </w:r>
      <w:proofErr w:type="spellStart"/>
      <w:r w:rsidRPr="00087090">
        <w:rPr>
          <w:rFonts w:cs="Times New Roman"/>
          <w:szCs w:val="24"/>
        </w:rPr>
        <w:t>Евростатом</w:t>
      </w:r>
      <w:proofErr w:type="spellEnd"/>
      <w:r w:rsidRPr="00087090">
        <w:rPr>
          <w:rFonts w:cs="Times New Roman"/>
          <w:szCs w:val="24"/>
        </w:rPr>
        <w:t xml:space="preserve"> и Всемирной организацией здравоохранения. </w:t>
      </w:r>
    </w:p>
    <w:p w:rsidR="002A09A0" w:rsidRPr="00293300" w:rsidRDefault="002A09A0" w:rsidP="002A09A0">
      <w:pPr>
        <w:rPr>
          <w:rFonts w:cs="Times New Roman"/>
          <w:i/>
          <w:szCs w:val="24"/>
        </w:rPr>
      </w:pPr>
      <w:r w:rsidRPr="00293300">
        <w:rPr>
          <w:rFonts w:cs="Times New Roman"/>
          <w:i/>
          <w:szCs w:val="24"/>
        </w:rPr>
        <w:t xml:space="preserve">Знаменатель </w:t>
      </w:r>
    </w:p>
    <w:p w:rsidR="002A09A0" w:rsidRPr="00087090" w:rsidRDefault="002A09A0" w:rsidP="002A09A0">
      <w:pPr>
        <w:rPr>
          <w:rFonts w:cs="Times New Roman"/>
          <w:szCs w:val="24"/>
        </w:rPr>
      </w:pPr>
      <w:r w:rsidRPr="00087090">
        <w:rPr>
          <w:rFonts w:cs="Times New Roman"/>
          <w:szCs w:val="24"/>
        </w:rPr>
        <w:t>Расходы на потребление домашних хозяйств и доходы домашних хозяйств являются денежными мерами благосостояния. Потребление домашних хозяйств является функцией постоянного дохода, что является показателем долгосрочных экономических ресурсов домохозяйства, которые определяют уровень жизни. Расход обычно определяется как сумма денежных значений всех товаров (товаров и услуг), потребляемых домохозяйством на внутреннем счете в течение отчетного периода. Он включает вмененные ценности товаров и услуг, которые не покупаются, а приобретаются иным образом для потребления. Информация о расходах домашних хозяйств обыч</w:t>
      </w:r>
      <w:r w:rsidR="008461CC">
        <w:rPr>
          <w:rFonts w:cs="Times New Roman"/>
          <w:szCs w:val="24"/>
        </w:rPr>
        <w:t>но собирается через обследования</w:t>
      </w:r>
      <w:r w:rsidRPr="00087090">
        <w:rPr>
          <w:rFonts w:cs="Times New Roman"/>
          <w:szCs w:val="24"/>
        </w:rPr>
        <w:t xml:space="preserve"> домашних хозяйств, в которых могут использоваться разные подходы к измерению </w:t>
      </w:r>
      <w:r w:rsidRPr="00087090">
        <w:rPr>
          <w:rFonts w:cs="Times New Roman"/>
          <w:szCs w:val="24"/>
        </w:rPr>
        <w:lastRenderedPageBreak/>
        <w:t xml:space="preserve">«расходов» в зависимости от того, </w:t>
      </w:r>
      <w:r w:rsidR="008461CC" w:rsidRPr="008461CC">
        <w:rPr>
          <w:rFonts w:cs="Times New Roman"/>
          <w:szCs w:val="24"/>
        </w:rPr>
        <w:t xml:space="preserve">относятся ли товары к товарам длительного или кратковременного пользования и/или производятся ли они </w:t>
      </w:r>
      <w:r w:rsidR="008461CC">
        <w:rPr>
          <w:rFonts w:cs="Times New Roman"/>
          <w:szCs w:val="24"/>
        </w:rPr>
        <w:t>непосредственно домохозяйствами</w:t>
      </w:r>
      <w:r w:rsidRPr="00087090">
        <w:rPr>
          <w:rFonts w:cs="Times New Roman"/>
          <w:szCs w:val="24"/>
        </w:rPr>
        <w:t xml:space="preserve">. </w:t>
      </w:r>
    </w:p>
    <w:p w:rsidR="002A09A0" w:rsidRPr="00087090" w:rsidRDefault="002A09A0" w:rsidP="002A09A0">
      <w:pPr>
        <w:rPr>
          <w:rFonts w:cs="Times New Roman"/>
          <w:szCs w:val="24"/>
        </w:rPr>
      </w:pPr>
      <w:r w:rsidRPr="00087090">
        <w:rPr>
          <w:rFonts w:cs="Times New Roman"/>
          <w:szCs w:val="24"/>
        </w:rPr>
        <w:t>Наиболее важным показателем дохода является располагаемый доход, поскольку он близок к максимально доступному для домохозяйства расходу на потребление в течение отчетного периода. Располагаемый доход определяется как общий доход за вычетом прямых налогов (возмещаемых средств), обязательных сборов и штрафов. Общий доход, как правило, состоит из дохода от занятости, дохода от собственности, доходов от домашнего производства услуг для собственного потребления, поступлений денежных средств и товаров, переводов, полученных в качестве услуг</w:t>
      </w:r>
      <w:r w:rsidRPr="00293300">
        <w:rPr>
          <w:rFonts w:cs="Times New Roman"/>
          <w:szCs w:val="24"/>
          <w:vertAlign w:val="superscript"/>
        </w:rPr>
        <w:footnoteReference w:id="3"/>
      </w:r>
      <w:r w:rsidRPr="00087090">
        <w:rPr>
          <w:rFonts w:cs="Times New Roman"/>
          <w:szCs w:val="24"/>
        </w:rPr>
        <w:t xml:space="preserve">. </w:t>
      </w:r>
    </w:p>
    <w:p w:rsidR="002A09A0" w:rsidRPr="00BD4CEC" w:rsidRDefault="002A09A0" w:rsidP="00BD4CEC">
      <w:pPr>
        <w:rPr>
          <w:rFonts w:cs="Times New Roman"/>
          <w:szCs w:val="24"/>
        </w:rPr>
      </w:pPr>
      <w:r w:rsidRPr="00087090">
        <w:rPr>
          <w:rFonts w:cs="Times New Roman"/>
          <w:szCs w:val="24"/>
        </w:rPr>
        <w:t>Доход труднее измерять точно из-за его большей изменчивости с течением времени. Расход является менее перемен</w:t>
      </w:r>
      <w:r w:rsidR="00A96DC6">
        <w:rPr>
          <w:rFonts w:cs="Times New Roman"/>
          <w:szCs w:val="24"/>
        </w:rPr>
        <w:t>чивым</w:t>
      </w:r>
      <w:r w:rsidRPr="00087090">
        <w:rPr>
          <w:rFonts w:cs="Times New Roman"/>
          <w:szCs w:val="24"/>
        </w:rPr>
        <w:t xml:space="preserve"> с течением времени и его легче измерить. По</w:t>
      </w:r>
      <w:r w:rsidR="00A96DC6">
        <w:rPr>
          <w:rFonts w:cs="Times New Roman"/>
          <w:szCs w:val="24"/>
        </w:rPr>
        <w:t xml:space="preserve"> данной причине</w:t>
      </w:r>
      <w:r w:rsidRPr="00087090">
        <w:rPr>
          <w:rFonts w:cs="Times New Roman"/>
          <w:szCs w:val="24"/>
        </w:rPr>
        <w:t xml:space="preserve"> рекомендуется, чтобы всякий раз, когда имеется информация о расходах и доходах домашних хозяйств, использовали данные по расходам</w:t>
      </w:r>
      <w:r w:rsidR="00BD4CEC">
        <w:rPr>
          <w:rFonts w:cs="Times New Roman"/>
          <w:szCs w:val="24"/>
        </w:rPr>
        <w:t xml:space="preserve"> </w:t>
      </w:r>
      <w:r w:rsidR="00BD4CEC" w:rsidRPr="00BD4CEC">
        <w:rPr>
          <w:rFonts w:cs="Times New Roman"/>
          <w:szCs w:val="24"/>
        </w:rPr>
        <w:t xml:space="preserve">(см. раздел “Комментарии и ограничения”, чтобы узнать больше о чувствительности </w:t>
      </w:r>
      <w:r w:rsidR="00BD4CEC">
        <w:rPr>
          <w:rFonts w:cs="Times New Roman"/>
          <w:szCs w:val="24"/>
        </w:rPr>
        <w:t>показателя</w:t>
      </w:r>
      <w:r w:rsidR="00BD4CEC" w:rsidRPr="00BD4CEC">
        <w:rPr>
          <w:rFonts w:cs="Times New Roman"/>
          <w:szCs w:val="24"/>
        </w:rPr>
        <w:t xml:space="preserve"> 3.8.2 к выбору доходов/расходов в знаменателе). Статистические данные по 3.8.2, в настоящее время подготавливаемые ВОЗ и Всемирным банком, основаны на</w:t>
      </w:r>
      <w:r w:rsidR="00BD4CEC">
        <w:rPr>
          <w:rFonts w:cs="Times New Roman"/>
          <w:szCs w:val="24"/>
        </w:rPr>
        <w:t xml:space="preserve"> данных о</w:t>
      </w:r>
      <w:r w:rsidR="00BD4CEC" w:rsidRPr="00BD4CEC">
        <w:rPr>
          <w:rFonts w:cs="Times New Roman"/>
          <w:szCs w:val="24"/>
        </w:rPr>
        <w:t xml:space="preserve"> </w:t>
      </w:r>
      <w:r w:rsidR="00BD4CEC">
        <w:rPr>
          <w:rFonts w:cs="Times New Roman"/>
          <w:szCs w:val="24"/>
        </w:rPr>
        <w:t>расходах</w:t>
      </w:r>
      <w:r w:rsidR="00BD4CEC" w:rsidRPr="00BD4CEC">
        <w:rPr>
          <w:rFonts w:cs="Times New Roman"/>
          <w:szCs w:val="24"/>
        </w:rPr>
        <w:t xml:space="preserve"> (см. раздел об источниках данных).</w:t>
      </w:r>
    </w:p>
    <w:p w:rsidR="002A09A0" w:rsidRPr="003A5EC6" w:rsidRDefault="002A09A0" w:rsidP="002A09A0">
      <w:pPr>
        <w:rPr>
          <w:rFonts w:cs="Times New Roman"/>
          <w:i/>
          <w:szCs w:val="24"/>
        </w:rPr>
      </w:pPr>
      <w:r w:rsidRPr="003A5EC6">
        <w:rPr>
          <w:rFonts w:cs="Times New Roman"/>
          <w:i/>
          <w:szCs w:val="24"/>
        </w:rPr>
        <w:t>Порог</w:t>
      </w:r>
    </w:p>
    <w:p w:rsidR="002A09A0" w:rsidRPr="002A09A0" w:rsidRDefault="002A09A0" w:rsidP="002A09A0">
      <w:pPr>
        <w:rPr>
          <w:rFonts w:cs="Times New Roman"/>
          <w:szCs w:val="24"/>
        </w:rPr>
      </w:pPr>
      <w:r w:rsidRPr="00087090">
        <w:rPr>
          <w:rFonts w:cs="Times New Roman"/>
          <w:szCs w:val="24"/>
        </w:rPr>
        <w:t xml:space="preserve">Для глобальной отчетности рекомендуется использовать два пороговых значения для определения </w:t>
      </w:r>
      <w:r w:rsidR="00D35734" w:rsidRPr="00087090">
        <w:rPr>
          <w:rFonts w:cs="Times New Roman"/>
          <w:szCs w:val="24"/>
        </w:rPr>
        <w:t>больш</w:t>
      </w:r>
      <w:r w:rsidR="00D35734">
        <w:rPr>
          <w:rFonts w:cs="Times New Roman"/>
          <w:szCs w:val="24"/>
        </w:rPr>
        <w:t>его удельного веса</w:t>
      </w:r>
      <w:r w:rsidR="00D35734" w:rsidRPr="00087090">
        <w:rPr>
          <w:rFonts w:cs="Times New Roman"/>
          <w:szCs w:val="24"/>
        </w:rPr>
        <w:t xml:space="preserve"> семейных расходов на медицинскую помощь в общем объеме расходов или доходов домохозяйств</w:t>
      </w:r>
      <w:r w:rsidRPr="00087090">
        <w:rPr>
          <w:rFonts w:cs="Times New Roman"/>
          <w:szCs w:val="24"/>
        </w:rPr>
        <w:t>: более низкий порог 10%</w:t>
      </w:r>
      <w:r w:rsidR="00BD4CEC">
        <w:rPr>
          <w:rFonts w:cs="Times New Roman"/>
          <w:szCs w:val="24"/>
        </w:rPr>
        <w:t xml:space="preserve"> </w:t>
      </w:r>
      <w:r w:rsidR="00BD4CEC">
        <w:t>(3.8.2_10)</w:t>
      </w:r>
      <w:r w:rsidRPr="00087090">
        <w:rPr>
          <w:rFonts w:cs="Times New Roman"/>
          <w:szCs w:val="24"/>
        </w:rPr>
        <w:t xml:space="preserve"> и более высокий порог в 25%</w:t>
      </w:r>
      <w:r w:rsidR="00BD4CEC">
        <w:rPr>
          <w:rFonts w:cs="Times New Roman"/>
          <w:szCs w:val="24"/>
        </w:rPr>
        <w:t xml:space="preserve"> </w:t>
      </w:r>
      <w:r w:rsidR="00BD4CEC">
        <w:t>(3.8.2_25)</w:t>
      </w:r>
      <w:r w:rsidRPr="00087090">
        <w:rPr>
          <w:rFonts w:cs="Times New Roman"/>
          <w:szCs w:val="24"/>
        </w:rPr>
        <w:t>. С помощью этих двух порогов показатель измеряет финансовое бремя (</w:t>
      </w:r>
      <w:r w:rsidR="00BD4CEC" w:rsidRPr="00BD4CEC">
        <w:rPr>
          <w:rFonts w:cs="Times New Roman"/>
          <w:szCs w:val="24"/>
        </w:rPr>
        <w:t>см. раздел “Комментарии и ограничения”</w:t>
      </w:r>
      <w:r w:rsidRPr="00087090">
        <w:rPr>
          <w:rFonts w:cs="Times New Roman"/>
          <w:szCs w:val="24"/>
        </w:rPr>
        <w:t>).</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9424F" w:rsidRPr="00087090" w:rsidRDefault="0089424F" w:rsidP="0089424F">
      <w:pPr>
        <w:rPr>
          <w:rFonts w:cs="Times New Roman"/>
          <w:szCs w:val="24"/>
        </w:rPr>
      </w:pPr>
      <w:r w:rsidRPr="00087090">
        <w:rPr>
          <w:rFonts w:cs="Times New Roman"/>
          <w:szCs w:val="24"/>
        </w:rPr>
        <w:t>Рекомендуемы</w:t>
      </w:r>
      <w:r w:rsidR="00BD4401">
        <w:rPr>
          <w:rFonts w:cs="Times New Roman"/>
          <w:szCs w:val="24"/>
        </w:rPr>
        <w:t>ми источниками</w:t>
      </w:r>
      <w:r w:rsidRPr="00087090">
        <w:rPr>
          <w:rFonts w:cs="Times New Roman"/>
          <w:szCs w:val="24"/>
        </w:rPr>
        <w:t xml:space="preserve"> данных для мониторинга </w:t>
      </w:r>
      <w:r>
        <w:rPr>
          <w:rFonts w:cs="Times New Roman"/>
          <w:szCs w:val="24"/>
        </w:rPr>
        <w:t xml:space="preserve">показателям </w:t>
      </w:r>
      <w:r w:rsidRPr="00087090">
        <w:rPr>
          <w:rFonts w:cs="Times New Roman"/>
          <w:szCs w:val="24"/>
        </w:rPr>
        <w:t xml:space="preserve">«Доля населения с большим удельным весом семейных расходов на медицинскую помощь в общем объеме расходов или доходов домохозяйств» </w:t>
      </w:r>
      <w:r w:rsidR="00BD4401">
        <w:rPr>
          <w:rFonts w:cs="Times New Roman"/>
          <w:szCs w:val="24"/>
        </w:rPr>
        <w:t>являются</w:t>
      </w:r>
      <w:r w:rsidRPr="00087090">
        <w:rPr>
          <w:rFonts w:cs="Times New Roman"/>
          <w:szCs w:val="24"/>
        </w:rPr>
        <w:t xml:space="preserve"> обследования домашних хозяйств</w:t>
      </w:r>
      <w:r w:rsidR="00BD4401">
        <w:rPr>
          <w:rFonts w:cs="Times New Roman"/>
          <w:szCs w:val="24"/>
        </w:rPr>
        <w:t>, регулярно проводимые</w:t>
      </w:r>
      <w:r w:rsidR="00BD4401" w:rsidRPr="00087090">
        <w:rPr>
          <w:rFonts w:cs="Times New Roman"/>
          <w:szCs w:val="24"/>
        </w:rPr>
        <w:t xml:space="preserve"> национальными статистическими управлениями</w:t>
      </w:r>
      <w:r w:rsidR="00BD4401">
        <w:rPr>
          <w:rFonts w:cs="Times New Roman"/>
          <w:szCs w:val="24"/>
        </w:rPr>
        <w:t xml:space="preserve"> и содержащие информацию</w:t>
      </w:r>
      <w:r w:rsidRPr="00087090">
        <w:rPr>
          <w:rFonts w:cs="Times New Roman"/>
          <w:szCs w:val="24"/>
        </w:rPr>
        <w:t xml:space="preserve"> о расходах на потребление домашних хозяйств на здравоохранение и общие потребительские расходы </w:t>
      </w:r>
      <w:r w:rsidR="00BD4401">
        <w:rPr>
          <w:rFonts w:cs="Times New Roman"/>
          <w:szCs w:val="24"/>
        </w:rPr>
        <w:t>домашних хозяйств</w:t>
      </w:r>
      <w:r w:rsidRPr="00087090">
        <w:rPr>
          <w:rFonts w:cs="Times New Roman"/>
          <w:szCs w:val="24"/>
        </w:rPr>
        <w:t>. Обследования</w:t>
      </w:r>
      <w:r w:rsidR="001B427D">
        <w:rPr>
          <w:rFonts w:cs="Times New Roman"/>
          <w:szCs w:val="24"/>
        </w:rPr>
        <w:t xml:space="preserve"> бюджетов домашних хозяйств (ОБДХ</w:t>
      </w:r>
      <w:r w:rsidRPr="00087090">
        <w:rPr>
          <w:rFonts w:cs="Times New Roman"/>
          <w:szCs w:val="24"/>
        </w:rPr>
        <w:t>) и обследования доходов и расходов домашних хозяйств (</w:t>
      </w:r>
      <w:r w:rsidR="001B427D">
        <w:rPr>
          <w:rFonts w:cs="Times New Roman"/>
          <w:szCs w:val="24"/>
        </w:rPr>
        <w:t xml:space="preserve">ОРДД) </w:t>
      </w:r>
      <w:r w:rsidRPr="00087090">
        <w:rPr>
          <w:rFonts w:cs="Times New Roman"/>
          <w:szCs w:val="24"/>
        </w:rPr>
        <w:t>в основном проводятся для обеспечения вклада в расчет индексов потребительских цен или составления национальных счетов</w:t>
      </w:r>
      <w:r w:rsidR="001B427D">
        <w:rPr>
          <w:rFonts w:cs="Times New Roman"/>
          <w:szCs w:val="24"/>
        </w:rPr>
        <w:t xml:space="preserve"> и, соответственно, собирают эти данные</w:t>
      </w:r>
      <w:r w:rsidRPr="00087090">
        <w:rPr>
          <w:rFonts w:cs="Times New Roman"/>
          <w:szCs w:val="24"/>
        </w:rPr>
        <w:t xml:space="preserve">. Другим потенциальным источником информации являются обзоры социально-экономических или </w:t>
      </w:r>
      <w:r w:rsidRPr="00087090">
        <w:rPr>
          <w:rFonts w:cs="Times New Roman"/>
          <w:szCs w:val="24"/>
        </w:rPr>
        <w:lastRenderedPageBreak/>
        <w:t>жизненных стандартов; однако некоторые из этих обследований могут не собирать информацию об общих потребительских расходах домашних хозяйств - например, когда страна измеряет бедность с использованием дохода в качестве меры благосостояния</w:t>
      </w:r>
      <w:r w:rsidRPr="00F72B75">
        <w:rPr>
          <w:rFonts w:cs="Times New Roman"/>
          <w:szCs w:val="24"/>
          <w:vertAlign w:val="superscript"/>
        </w:rPr>
        <w:footnoteReference w:id="4"/>
      </w:r>
      <w:r w:rsidRPr="00087090">
        <w:rPr>
          <w:rFonts w:cs="Times New Roman"/>
          <w:szCs w:val="24"/>
        </w:rPr>
        <w:t xml:space="preserve">. Важнейшим критерием выбора источника данных для измерения показателя ЦУР 3.8.2 является наличие </w:t>
      </w:r>
      <w:r w:rsidR="00D35734">
        <w:rPr>
          <w:rFonts w:cs="Times New Roman"/>
          <w:szCs w:val="24"/>
        </w:rPr>
        <w:t xml:space="preserve">данных </w:t>
      </w:r>
      <w:r w:rsidRPr="00087090">
        <w:rPr>
          <w:rFonts w:cs="Times New Roman"/>
          <w:szCs w:val="24"/>
        </w:rPr>
        <w:t>как</w:t>
      </w:r>
      <w:r w:rsidR="00D35734">
        <w:rPr>
          <w:rFonts w:cs="Times New Roman"/>
          <w:szCs w:val="24"/>
        </w:rPr>
        <w:t xml:space="preserve"> о расходах </w:t>
      </w:r>
      <w:r w:rsidRPr="00087090">
        <w:rPr>
          <w:rFonts w:cs="Times New Roman"/>
          <w:szCs w:val="24"/>
        </w:rPr>
        <w:t xml:space="preserve">домашних хозяйств на здравоохранение, так и </w:t>
      </w:r>
      <w:r w:rsidR="00D35734">
        <w:rPr>
          <w:rFonts w:cs="Times New Roman"/>
          <w:szCs w:val="24"/>
        </w:rPr>
        <w:t xml:space="preserve">об </w:t>
      </w:r>
      <w:r w:rsidRPr="00087090">
        <w:rPr>
          <w:rFonts w:cs="Times New Roman"/>
          <w:szCs w:val="24"/>
        </w:rPr>
        <w:t>общих р</w:t>
      </w:r>
      <w:r w:rsidR="00D35734">
        <w:rPr>
          <w:rFonts w:cs="Times New Roman"/>
          <w:szCs w:val="24"/>
        </w:rPr>
        <w:t>асходах</w:t>
      </w:r>
      <w:r w:rsidRPr="00087090">
        <w:rPr>
          <w:rFonts w:cs="Times New Roman"/>
          <w:szCs w:val="24"/>
        </w:rPr>
        <w:t xml:space="preserve"> домашних хозяйств. </w:t>
      </w:r>
    </w:p>
    <w:p w:rsidR="00855515" w:rsidRPr="00597FFB" w:rsidRDefault="0089424F" w:rsidP="00E125A5">
      <w:pPr>
        <w:rPr>
          <w:rFonts w:cs="Times New Roman"/>
          <w:szCs w:val="24"/>
        </w:rPr>
      </w:pPr>
      <w:r w:rsidRPr="00087090">
        <w:rPr>
          <w:rFonts w:cs="Times New Roman"/>
          <w:szCs w:val="24"/>
        </w:rPr>
        <w:t xml:space="preserve">Когда для оценки показателя ЦУР 3.8.2 используются обследования социально-экономических или жизненных стандартов, любая проблема сопоставимости показателей ЦУР 1.1.1 между странами также применяется к мониторингу показателя ЦУР 3.8.2. </w:t>
      </w:r>
      <w:r w:rsidR="001B427D" w:rsidRPr="001B427D">
        <w:rPr>
          <w:rFonts w:cs="Times New Roman"/>
          <w:szCs w:val="24"/>
        </w:rPr>
        <w:t>Для любого типа обследования домохозяйств, с учетом того, что основное внимание уделяется расходам домохозяйств на здравоохранение, необходимо улучш</w:t>
      </w:r>
      <w:r w:rsidR="00F777E9">
        <w:rPr>
          <w:rFonts w:cs="Times New Roman"/>
          <w:szCs w:val="24"/>
        </w:rPr>
        <w:t>ать</w:t>
      </w:r>
      <w:r w:rsidR="001B427D" w:rsidRPr="001B427D">
        <w:rPr>
          <w:rFonts w:cs="Times New Roman"/>
          <w:szCs w:val="24"/>
        </w:rPr>
        <w:t xml:space="preserve"> существующие инструменты обследования для обеспечения сопоставимости между странами.</w:t>
      </w:r>
      <w:r w:rsidRPr="00087090">
        <w:rPr>
          <w:rFonts w:cs="Times New Roman"/>
          <w:szCs w:val="24"/>
        </w:rPr>
        <w:t xml:space="preserve"> Всемирная организация здравоохранения сотрудничает с различными учреждениями ООН и другими важными заинтересованными сторонами для обеспечения этого</w:t>
      </w:r>
      <w:r>
        <w:rPr>
          <w:rStyle w:val="a6"/>
          <w:rFonts w:cs="Times New Roman"/>
          <w:szCs w:val="24"/>
        </w:rPr>
        <w:footnoteReference w:id="5"/>
      </w:r>
      <w:r w:rsidRPr="00087090">
        <w:rPr>
          <w:rFonts w:cs="Times New Roman"/>
          <w:szCs w:val="24"/>
        </w:rPr>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597FFB" w:rsidRPr="00087090" w:rsidRDefault="00597FFB" w:rsidP="00597FFB">
      <w:pPr>
        <w:rPr>
          <w:rFonts w:cs="Times New Roman"/>
          <w:szCs w:val="24"/>
        </w:rPr>
      </w:pPr>
      <w:r w:rsidRPr="00087090">
        <w:rPr>
          <w:rFonts w:cs="Times New Roman"/>
          <w:szCs w:val="24"/>
        </w:rPr>
        <w:t xml:space="preserve">ВОЗ получает данные обследований домашних хозяйств из национальных статистических управлений, где знаменатель и числитель соотношения расходов на здравоохранение строятся по их собственным руководящим принципам либо непосредственно ими, либо консультантами ВОЗ. ВОЗ работает через свои региональные отделения или </w:t>
      </w:r>
      <w:proofErr w:type="spellStart"/>
      <w:r w:rsidRPr="00087090">
        <w:rPr>
          <w:rFonts w:cs="Times New Roman"/>
          <w:szCs w:val="24"/>
        </w:rPr>
        <w:t>страновые</w:t>
      </w:r>
      <w:proofErr w:type="spellEnd"/>
      <w:r w:rsidRPr="00087090">
        <w:rPr>
          <w:rFonts w:cs="Times New Roman"/>
          <w:szCs w:val="24"/>
        </w:rPr>
        <w:t xml:space="preserve"> отделения для поддержки мини</w:t>
      </w:r>
      <w:r w:rsidR="007B6F31">
        <w:rPr>
          <w:rFonts w:cs="Times New Roman"/>
          <w:szCs w:val="24"/>
        </w:rPr>
        <w:t>стерств здравоо</w:t>
      </w:r>
      <w:r w:rsidR="008D1EA0">
        <w:rPr>
          <w:rFonts w:cs="Times New Roman"/>
          <w:szCs w:val="24"/>
        </w:rPr>
        <w:t>хранения. Никакая систематическ</w:t>
      </w:r>
      <w:r w:rsidR="007B6F31">
        <w:rPr>
          <w:rFonts w:cs="Times New Roman"/>
          <w:szCs w:val="24"/>
        </w:rPr>
        <w:t>ая корректировка не осуществляется</w:t>
      </w:r>
      <w:r w:rsidRPr="00087090">
        <w:rPr>
          <w:rFonts w:cs="Times New Roman"/>
          <w:szCs w:val="24"/>
        </w:rPr>
        <w:t xml:space="preserve">. </w:t>
      </w:r>
    </w:p>
    <w:p w:rsidR="00597FFB" w:rsidRPr="00087090" w:rsidRDefault="00597FFB" w:rsidP="00597FFB">
      <w:pPr>
        <w:rPr>
          <w:rFonts w:cs="Times New Roman"/>
          <w:szCs w:val="24"/>
        </w:rPr>
      </w:pPr>
      <w:r w:rsidRPr="00087090">
        <w:rPr>
          <w:rFonts w:cs="Times New Roman"/>
          <w:szCs w:val="24"/>
        </w:rPr>
        <w:t xml:space="preserve">Всемирный банк также обычно получает данные от национальных статистических управлений (НСУ) напрямую. В других случаях он использует данные НСУ, полученные косвенно. Например, он получает данные от </w:t>
      </w:r>
      <w:proofErr w:type="spellStart"/>
      <w:r w:rsidRPr="00087090">
        <w:rPr>
          <w:rFonts w:cs="Times New Roman"/>
          <w:szCs w:val="24"/>
        </w:rPr>
        <w:t>Евростата</w:t>
      </w:r>
      <w:proofErr w:type="spellEnd"/>
      <w:r w:rsidRPr="00087090">
        <w:rPr>
          <w:rFonts w:cs="Times New Roman"/>
          <w:szCs w:val="24"/>
        </w:rPr>
        <w:t xml:space="preserve"> и из LIS (Люксембургское исследование доходов), которые предоставляют полученные/согласованные данные НСУ Всемирного банка. Национальный университет штата Ла-Плата, Аргентина и Всемирный банк совместно поддерживают базу данных SEDLAC (Социально-экономическая база данных для Латинской Америки и Карибского бассейна), которая включает согласованные статистические данные о бедности и других распределительных и социальных показателях из 24 стран Латинской Америки и Карибского бассейна на основе </w:t>
      </w:r>
      <w:proofErr w:type="spellStart"/>
      <w:r w:rsidRPr="00087090">
        <w:rPr>
          <w:rFonts w:cs="Times New Roman"/>
          <w:szCs w:val="24"/>
        </w:rPr>
        <w:t>микроданных</w:t>
      </w:r>
      <w:proofErr w:type="spellEnd"/>
      <w:r w:rsidRPr="00087090">
        <w:rPr>
          <w:rFonts w:cs="Times New Roman"/>
          <w:szCs w:val="24"/>
        </w:rPr>
        <w:t xml:space="preserve"> из обследований домашних хозяйств, проводимых НСУ. Данные получены в рамках </w:t>
      </w:r>
      <w:proofErr w:type="spellStart"/>
      <w:r w:rsidRPr="00087090">
        <w:rPr>
          <w:rFonts w:cs="Times New Roman"/>
          <w:szCs w:val="24"/>
        </w:rPr>
        <w:t>страновых</w:t>
      </w:r>
      <w:proofErr w:type="spellEnd"/>
      <w:r w:rsidRPr="00087090">
        <w:rPr>
          <w:rFonts w:cs="Times New Roman"/>
          <w:szCs w:val="24"/>
        </w:rPr>
        <w:t xml:space="preserve"> программ, в том числе программ технической помощи и совместных аналитических мероприятий и мероприятий по наращиванию потенциала. Всемирный банк </w:t>
      </w:r>
      <w:r w:rsidR="006852E5">
        <w:rPr>
          <w:rFonts w:cs="Times New Roman"/>
          <w:szCs w:val="24"/>
        </w:rPr>
        <w:t>взаимодействует с</w:t>
      </w:r>
      <w:r w:rsidRPr="00087090">
        <w:rPr>
          <w:rFonts w:cs="Times New Roman"/>
          <w:szCs w:val="24"/>
        </w:rPr>
        <w:t xml:space="preserve"> НСУ по программам работы с использованием статистических систем и анализа данных. Экономисты</w:t>
      </w:r>
      <w:r w:rsidR="006852E5">
        <w:rPr>
          <w:rFonts w:cs="Times New Roman"/>
          <w:szCs w:val="24"/>
        </w:rPr>
        <w:t xml:space="preserve"> Всемирного банка, специализирующиеся на вопросах</w:t>
      </w:r>
      <w:r w:rsidRPr="00087090">
        <w:rPr>
          <w:rFonts w:cs="Times New Roman"/>
          <w:szCs w:val="24"/>
        </w:rPr>
        <w:t xml:space="preserve"> бедности</w:t>
      </w:r>
      <w:r w:rsidR="006852E5">
        <w:rPr>
          <w:rFonts w:cs="Times New Roman"/>
          <w:szCs w:val="24"/>
        </w:rPr>
        <w:t>,</w:t>
      </w:r>
      <w:r w:rsidRPr="00087090">
        <w:rPr>
          <w:rFonts w:cs="Times New Roman"/>
          <w:szCs w:val="24"/>
        </w:rPr>
        <w:t xml:space="preserve"> обычно взаимодействуют с НСУ в целом по измерению и анализу бедности в рамках деятельности по оказанию технической помощи. </w:t>
      </w:r>
    </w:p>
    <w:p w:rsidR="00597FFB" w:rsidRPr="00087090" w:rsidRDefault="00597FFB" w:rsidP="00597FFB">
      <w:pPr>
        <w:rPr>
          <w:rFonts w:cs="Times New Roman"/>
          <w:szCs w:val="24"/>
        </w:rPr>
      </w:pPr>
      <w:r w:rsidRPr="00087090">
        <w:rPr>
          <w:rFonts w:cs="Times New Roman"/>
          <w:szCs w:val="24"/>
        </w:rPr>
        <w:lastRenderedPageBreak/>
        <w:t xml:space="preserve">Всемирная организация здравоохранения и Всемирный банк генерируют показатель 3.8.2, придерживаясь того же подхода. Оба учреждения объединили оценки на </w:t>
      </w:r>
      <w:proofErr w:type="spellStart"/>
      <w:r w:rsidRPr="00087090">
        <w:rPr>
          <w:rFonts w:cs="Times New Roman"/>
          <w:szCs w:val="24"/>
        </w:rPr>
        <w:t>мезоуровне</w:t>
      </w:r>
      <w:proofErr w:type="spellEnd"/>
      <w:r w:rsidRPr="00087090">
        <w:rPr>
          <w:rFonts w:cs="Times New Roman"/>
          <w:szCs w:val="24"/>
        </w:rPr>
        <w:t xml:space="preserve">. Приемлемость оценок, включенных в общую итоговую базу данных для составления региональных и глобальных оценок, основывается на следующих проверках качества: </w:t>
      </w:r>
    </w:p>
    <w:p w:rsidR="00597FFB" w:rsidRPr="00F72B75" w:rsidRDefault="00597FFB" w:rsidP="00597FFB">
      <w:pPr>
        <w:rPr>
          <w:rFonts w:cs="Times New Roman"/>
          <w:i/>
          <w:szCs w:val="24"/>
        </w:rPr>
      </w:pPr>
      <w:r w:rsidRPr="00F72B75">
        <w:rPr>
          <w:rFonts w:cs="Times New Roman"/>
          <w:i/>
          <w:szCs w:val="24"/>
        </w:rPr>
        <w:t>Для знаменателя соотношения расходов на здравоохранение:</w:t>
      </w:r>
    </w:p>
    <w:p w:rsidR="00597FFB" w:rsidRPr="00F72B75" w:rsidRDefault="00651B2C" w:rsidP="00651B2C">
      <w:pPr>
        <w:pStyle w:val="ab"/>
        <w:numPr>
          <w:ilvl w:val="0"/>
          <w:numId w:val="7"/>
        </w:numPr>
        <w:rPr>
          <w:rFonts w:cs="Times New Roman"/>
          <w:szCs w:val="24"/>
        </w:rPr>
      </w:pPr>
      <w:r w:rsidRPr="00651B2C">
        <w:rPr>
          <w:rFonts w:cs="Times New Roman"/>
          <w:szCs w:val="24"/>
        </w:rPr>
        <w:t>С</w:t>
      </w:r>
      <w:r>
        <w:rPr>
          <w:rFonts w:cs="Times New Roman"/>
          <w:szCs w:val="24"/>
        </w:rPr>
        <w:t xml:space="preserve">равнивается </w:t>
      </w:r>
      <w:r w:rsidRPr="00651B2C">
        <w:rPr>
          <w:rFonts w:cs="Times New Roman"/>
          <w:szCs w:val="24"/>
        </w:rPr>
        <w:t xml:space="preserve">логарифм общего потребления на душу населения в эталонном источнике с логарифмом общего потребления на душу населения, полученным в ходе обследования. Оба выражены ежемесячно в международных долларах (ППС) 2011 года. Исходный источник берется из </w:t>
      </w:r>
      <w:proofErr w:type="spellStart"/>
      <w:r w:rsidRPr="00651B2C">
        <w:rPr>
          <w:rFonts w:cs="Times New Roman"/>
          <w:szCs w:val="24"/>
        </w:rPr>
        <w:t>Povcalnet</w:t>
      </w:r>
      <w:proofErr w:type="spellEnd"/>
      <w:r>
        <w:rPr>
          <w:rStyle w:val="a6"/>
          <w:rFonts w:cs="Times New Roman"/>
          <w:szCs w:val="24"/>
        </w:rPr>
        <w:footnoteReference w:id="6"/>
      </w:r>
      <w:r w:rsidRPr="00651B2C">
        <w:rPr>
          <w:rFonts w:cs="Times New Roman"/>
          <w:szCs w:val="24"/>
        </w:rPr>
        <w:t>, если таковой имеется, а в противном случае из Показателей мирового развития (WDI)</w:t>
      </w:r>
      <w:r>
        <w:rPr>
          <w:rStyle w:val="a6"/>
          <w:rFonts w:cs="Times New Roman"/>
          <w:szCs w:val="24"/>
        </w:rPr>
        <w:footnoteReference w:id="7"/>
      </w:r>
      <w:r w:rsidRPr="00651B2C">
        <w:rPr>
          <w:rFonts w:cs="Times New Roman"/>
          <w:szCs w:val="24"/>
        </w:rPr>
        <w:t xml:space="preserve">, рассчитанных как расходы на конечное потребление домохозяйств в неизменных международных показателях 2011 года, деленные на общую численность населения. Когда разница между логарифмом общего потребления на душу населения в эталонном источнике и логарифмом значения, полученного в результате опроса как доля логарифма общего потребления на душу населения в эталонном источнике, превышает 10 % при сравнении с </w:t>
      </w:r>
      <w:proofErr w:type="spellStart"/>
      <w:r w:rsidRPr="00651B2C">
        <w:rPr>
          <w:rFonts w:cs="Times New Roman"/>
          <w:szCs w:val="24"/>
        </w:rPr>
        <w:t>PovcalNet</w:t>
      </w:r>
      <w:proofErr w:type="spellEnd"/>
      <w:proofErr w:type="gramStart"/>
      <w:r w:rsidRPr="00651B2C">
        <w:rPr>
          <w:rFonts w:cs="Times New Roman"/>
          <w:szCs w:val="24"/>
        </w:rPr>
        <w:t>.</w:t>
      </w:r>
      <w:proofErr w:type="gramEnd"/>
      <w:r w:rsidRPr="00651B2C">
        <w:rPr>
          <w:rFonts w:cs="Times New Roman"/>
          <w:szCs w:val="24"/>
        </w:rPr>
        <w:t xml:space="preserve"> и более 15%, когда проводится сравнение с WDI, точка </w:t>
      </w:r>
      <w:r>
        <w:rPr>
          <w:rFonts w:cs="Times New Roman"/>
          <w:szCs w:val="24"/>
        </w:rPr>
        <w:t xml:space="preserve">исследования определяется как выброс </w:t>
      </w:r>
      <w:r w:rsidRPr="00651B2C">
        <w:rPr>
          <w:rFonts w:cs="Times New Roman"/>
          <w:szCs w:val="24"/>
        </w:rPr>
        <w:t>на международном уровне с точки зрения потребления на душу населения.</w:t>
      </w:r>
      <w:r>
        <w:rPr>
          <w:rFonts w:cs="Times New Roman"/>
          <w:szCs w:val="24"/>
        </w:rPr>
        <w:t xml:space="preserve"> </w:t>
      </w:r>
    </w:p>
    <w:p w:rsidR="00597FFB" w:rsidRDefault="00651B2C" w:rsidP="00651B2C">
      <w:pPr>
        <w:pStyle w:val="ab"/>
        <w:numPr>
          <w:ilvl w:val="0"/>
          <w:numId w:val="7"/>
        </w:numPr>
        <w:rPr>
          <w:rFonts w:cs="Times New Roman"/>
          <w:szCs w:val="24"/>
        </w:rPr>
      </w:pPr>
      <w:r w:rsidRPr="00651B2C">
        <w:rPr>
          <w:rFonts w:cs="Times New Roman"/>
          <w:szCs w:val="24"/>
        </w:rPr>
        <w:t>Сравни</w:t>
      </w:r>
      <w:r>
        <w:rPr>
          <w:rFonts w:cs="Times New Roman"/>
          <w:szCs w:val="24"/>
        </w:rPr>
        <w:t>вается</w:t>
      </w:r>
      <w:r w:rsidRPr="00651B2C">
        <w:rPr>
          <w:rFonts w:cs="Times New Roman"/>
          <w:szCs w:val="24"/>
        </w:rPr>
        <w:t xml:space="preserve"> количество бедных, рассчитанное по результатам обследования при черте бедности в 1,90 доллара в день по ППС 2011 года, с уровнем бедности, указанным в </w:t>
      </w:r>
      <w:proofErr w:type="spellStart"/>
      <w:r w:rsidRPr="00651B2C">
        <w:rPr>
          <w:rFonts w:cs="Times New Roman"/>
          <w:szCs w:val="24"/>
        </w:rPr>
        <w:t>PovcalNet</w:t>
      </w:r>
      <w:proofErr w:type="spellEnd"/>
      <w:r w:rsidRPr="00651B2C">
        <w:rPr>
          <w:rFonts w:cs="Times New Roman"/>
          <w:szCs w:val="24"/>
        </w:rPr>
        <w:t xml:space="preserve">, при той же черте бедности (базовое значение). Когда абсолютная разница между эталонным значением и </w:t>
      </w:r>
      <w:r>
        <w:rPr>
          <w:rFonts w:cs="Times New Roman"/>
          <w:szCs w:val="24"/>
        </w:rPr>
        <w:t>оценкой, полученной в ходе</w:t>
      </w:r>
      <w:r w:rsidRPr="00651B2C">
        <w:rPr>
          <w:rFonts w:cs="Times New Roman"/>
          <w:szCs w:val="24"/>
        </w:rPr>
        <w:t xml:space="preserve"> обследования</w:t>
      </w:r>
      <w:r>
        <w:rPr>
          <w:rFonts w:cs="Times New Roman"/>
          <w:szCs w:val="24"/>
        </w:rPr>
        <w:t>,</w:t>
      </w:r>
      <w:r w:rsidRPr="00651B2C">
        <w:rPr>
          <w:rFonts w:cs="Times New Roman"/>
          <w:szCs w:val="24"/>
        </w:rPr>
        <w:t xml:space="preserve"> превышает 10 процентных пунктов, точка обследования определяется как </w:t>
      </w:r>
      <w:r>
        <w:rPr>
          <w:rFonts w:cs="Times New Roman"/>
          <w:szCs w:val="24"/>
        </w:rPr>
        <w:t xml:space="preserve">выброс </w:t>
      </w:r>
      <w:r w:rsidRPr="00651B2C">
        <w:rPr>
          <w:rFonts w:cs="Times New Roman"/>
          <w:szCs w:val="24"/>
        </w:rPr>
        <w:t>в распространенности крайней бедности и помечается для возможного исключения.</w:t>
      </w:r>
    </w:p>
    <w:p w:rsidR="00651B2C" w:rsidRPr="00F72B75" w:rsidRDefault="00651B2C" w:rsidP="00651B2C">
      <w:pPr>
        <w:pStyle w:val="ab"/>
        <w:numPr>
          <w:ilvl w:val="0"/>
          <w:numId w:val="7"/>
        </w:numPr>
        <w:rPr>
          <w:rFonts w:cs="Times New Roman"/>
          <w:szCs w:val="24"/>
        </w:rPr>
      </w:pPr>
      <w:r>
        <w:rPr>
          <w:rFonts w:cs="Times New Roman"/>
          <w:szCs w:val="24"/>
        </w:rPr>
        <w:t>Сравнивается</w:t>
      </w:r>
      <w:r w:rsidRPr="00651B2C">
        <w:rPr>
          <w:rFonts w:cs="Times New Roman"/>
          <w:szCs w:val="24"/>
        </w:rPr>
        <w:t xml:space="preserve"> количество бедных, рассчитанное по результатам обследования при черте бедности</w:t>
      </w:r>
      <w:r w:rsidR="00080A73">
        <w:rPr>
          <w:rFonts w:cs="Times New Roman"/>
          <w:szCs w:val="24"/>
        </w:rPr>
        <w:t xml:space="preserve"> в размере 3,10 доллара в день по</w:t>
      </w:r>
      <w:r w:rsidRPr="00651B2C">
        <w:rPr>
          <w:rFonts w:cs="Times New Roman"/>
          <w:szCs w:val="24"/>
        </w:rPr>
        <w:t xml:space="preserve"> ППС</w:t>
      </w:r>
      <w:r w:rsidR="00080A73">
        <w:rPr>
          <w:rFonts w:cs="Times New Roman"/>
          <w:szCs w:val="24"/>
        </w:rPr>
        <w:t xml:space="preserve"> в ценах</w:t>
      </w:r>
      <w:r w:rsidRPr="00651B2C">
        <w:rPr>
          <w:rFonts w:cs="Times New Roman"/>
          <w:szCs w:val="24"/>
        </w:rPr>
        <w:t xml:space="preserve"> 2011 года, с уровнем бедности, указанным в </w:t>
      </w:r>
      <w:proofErr w:type="spellStart"/>
      <w:r w:rsidRPr="00651B2C">
        <w:rPr>
          <w:rFonts w:cs="Times New Roman"/>
          <w:szCs w:val="24"/>
        </w:rPr>
        <w:t>PovcalNet</w:t>
      </w:r>
      <w:proofErr w:type="spellEnd"/>
      <w:r w:rsidRPr="00651B2C">
        <w:rPr>
          <w:rFonts w:cs="Times New Roman"/>
          <w:szCs w:val="24"/>
        </w:rPr>
        <w:t>, при той же черте бедности (базовое значение). Когда абсолютная разница между эталонным значением и оценкой</w:t>
      </w:r>
      <w:r>
        <w:rPr>
          <w:rFonts w:cs="Times New Roman"/>
          <w:szCs w:val="24"/>
        </w:rPr>
        <w:t>, полученной в ходе</w:t>
      </w:r>
      <w:r w:rsidRPr="00651B2C">
        <w:rPr>
          <w:rFonts w:cs="Times New Roman"/>
          <w:szCs w:val="24"/>
        </w:rPr>
        <w:t xml:space="preserve"> обследования</w:t>
      </w:r>
      <w:r>
        <w:rPr>
          <w:rFonts w:cs="Times New Roman"/>
          <w:szCs w:val="24"/>
        </w:rPr>
        <w:t>,</w:t>
      </w:r>
      <w:r w:rsidRPr="00651B2C">
        <w:rPr>
          <w:rFonts w:cs="Times New Roman"/>
          <w:szCs w:val="24"/>
        </w:rPr>
        <w:t xml:space="preserve"> превышает 10 процентных пунктов, точка обследования определяется как </w:t>
      </w:r>
      <w:r>
        <w:rPr>
          <w:rFonts w:cs="Times New Roman"/>
          <w:szCs w:val="24"/>
        </w:rPr>
        <w:t>выброс</w:t>
      </w:r>
      <w:r w:rsidRPr="00651B2C">
        <w:rPr>
          <w:rFonts w:cs="Times New Roman"/>
          <w:szCs w:val="24"/>
        </w:rPr>
        <w:t xml:space="preserve"> и помечается для возможного исключения.</w:t>
      </w:r>
    </w:p>
    <w:p w:rsidR="00597FFB" w:rsidRPr="00F72B75" w:rsidRDefault="00597FFB" w:rsidP="00597FFB">
      <w:pPr>
        <w:rPr>
          <w:rFonts w:cs="Times New Roman"/>
          <w:i/>
          <w:szCs w:val="24"/>
        </w:rPr>
      </w:pPr>
      <w:r w:rsidRPr="00F72B75">
        <w:rPr>
          <w:rFonts w:cs="Times New Roman"/>
          <w:i/>
          <w:szCs w:val="24"/>
        </w:rPr>
        <w:t xml:space="preserve">Для числителя соотношения расходов на здравоохранение: </w:t>
      </w:r>
    </w:p>
    <w:p w:rsidR="00597FFB" w:rsidRPr="00F72B75" w:rsidRDefault="00921B1C" w:rsidP="00921B1C">
      <w:pPr>
        <w:pStyle w:val="ab"/>
        <w:numPr>
          <w:ilvl w:val="0"/>
          <w:numId w:val="8"/>
        </w:numPr>
        <w:rPr>
          <w:rFonts w:cs="Times New Roman"/>
          <w:szCs w:val="24"/>
        </w:rPr>
      </w:pPr>
      <w:r>
        <w:rPr>
          <w:rFonts w:cs="Times New Roman"/>
          <w:szCs w:val="24"/>
        </w:rPr>
        <w:t>Сравнивается</w:t>
      </w:r>
      <w:r w:rsidRPr="00921B1C">
        <w:rPr>
          <w:rFonts w:cs="Times New Roman"/>
          <w:szCs w:val="24"/>
        </w:rPr>
        <w:t xml:space="preserve"> средний коэффициент расходов на здравоохранение в обследовании с эталонной средней долей бюджета, построенной как отношение совокупного показателя личных расходов домохозяйств в текущей местной валюте и совокупных расходов на конечное потребление домохозяйств в текущей местной валюте. Когда абсолютная разница превышает 5 процентных пунктов, точка обследования идентифицируется как в</w:t>
      </w:r>
      <w:r w:rsidR="007B0BBA">
        <w:rPr>
          <w:rFonts w:cs="Times New Roman"/>
          <w:szCs w:val="24"/>
        </w:rPr>
        <w:t>ыброс</w:t>
      </w:r>
      <w:r w:rsidRPr="00921B1C">
        <w:rPr>
          <w:rFonts w:cs="Times New Roman"/>
          <w:szCs w:val="24"/>
        </w:rPr>
        <w:t xml:space="preserve"> с точки зрения доли бюджета домохозяйства, </w:t>
      </w:r>
      <w:r w:rsidRPr="00921B1C">
        <w:rPr>
          <w:rFonts w:cs="Times New Roman"/>
          <w:szCs w:val="24"/>
        </w:rPr>
        <w:lastRenderedPageBreak/>
        <w:t>расходуемой на здравоохранение, и помечается для возможного исключения. Макропоказатель личных расходов домохозяйств доступен из Глобальной базы данных о расходах на здравоохранение (GHED)</w:t>
      </w:r>
      <w:r w:rsidR="007B0BBA">
        <w:rPr>
          <w:rStyle w:val="a6"/>
          <w:rFonts w:cs="Times New Roman"/>
          <w:szCs w:val="24"/>
        </w:rPr>
        <w:footnoteReference w:id="8"/>
      </w:r>
      <w:r w:rsidRPr="00921B1C">
        <w:rPr>
          <w:rFonts w:cs="Times New Roman"/>
          <w:szCs w:val="24"/>
        </w:rPr>
        <w:t xml:space="preserve"> и Базы данных показателей мирового развития (WDI)</w:t>
      </w:r>
      <w:r w:rsidR="007B0BBA">
        <w:rPr>
          <w:rStyle w:val="a6"/>
          <w:rFonts w:cs="Times New Roman"/>
          <w:szCs w:val="24"/>
        </w:rPr>
        <w:footnoteReference w:id="9"/>
      </w:r>
      <w:r w:rsidRPr="00921B1C">
        <w:rPr>
          <w:rFonts w:cs="Times New Roman"/>
          <w:szCs w:val="24"/>
        </w:rPr>
        <w:t>. Информация о расходах домашних хозяйств на конечное потребление также извлекается из WDI (код серии: NE.CON.PRVT.CN).</w:t>
      </w:r>
    </w:p>
    <w:p w:rsidR="007B0BBA" w:rsidRPr="007B0BBA" w:rsidRDefault="00597FFB" w:rsidP="007B0BBA">
      <w:pPr>
        <w:rPr>
          <w:rFonts w:cs="Times New Roman"/>
          <w:szCs w:val="24"/>
        </w:rPr>
      </w:pPr>
      <w:r w:rsidRPr="00087090">
        <w:rPr>
          <w:rFonts w:cs="Times New Roman"/>
          <w:szCs w:val="24"/>
        </w:rPr>
        <w:t>Эти контрольные показатели также используются для определения двух оценок для этих стран и тех лет, для которых оба учреждения имеют одинаковый источник данных</w:t>
      </w:r>
      <w:r w:rsidR="007B0BBA">
        <w:rPr>
          <w:rFonts w:cs="Times New Roman"/>
          <w:szCs w:val="24"/>
        </w:rPr>
        <w:t xml:space="preserve">. </w:t>
      </w:r>
      <w:r w:rsidR="007B0BBA" w:rsidRPr="007B0BBA">
        <w:rPr>
          <w:rFonts w:cs="Times New Roman"/>
          <w:szCs w:val="24"/>
        </w:rPr>
        <w:t xml:space="preserve">Для получения дополнительной информации см. отчет ВОЗ и Всемирного банка за 2017 г. об отслеживании всеобщего охвата услугами здравоохранения, а также </w:t>
      </w:r>
      <w:proofErr w:type="spellStart"/>
      <w:r w:rsidR="007B0BBA" w:rsidRPr="007B0BBA">
        <w:rPr>
          <w:rFonts w:cs="Times New Roman"/>
          <w:szCs w:val="24"/>
        </w:rPr>
        <w:t>Wagstaff</w:t>
      </w:r>
      <w:proofErr w:type="spellEnd"/>
      <w:r w:rsidR="007B0BBA" w:rsidRPr="007B0BBA">
        <w:rPr>
          <w:rFonts w:cs="Times New Roman"/>
          <w:szCs w:val="24"/>
        </w:rPr>
        <w:t xml:space="preserve"> </w:t>
      </w:r>
      <w:proofErr w:type="spellStart"/>
      <w:r w:rsidR="007B0BBA" w:rsidRPr="007B0BBA">
        <w:rPr>
          <w:rFonts w:cs="Times New Roman"/>
          <w:szCs w:val="24"/>
        </w:rPr>
        <w:t>et</w:t>
      </w:r>
      <w:proofErr w:type="spellEnd"/>
      <w:r w:rsidR="007B0BBA" w:rsidRPr="007B0BBA">
        <w:rPr>
          <w:rFonts w:cs="Times New Roman"/>
          <w:szCs w:val="24"/>
        </w:rPr>
        <w:t xml:space="preserve"> </w:t>
      </w:r>
      <w:proofErr w:type="spellStart"/>
      <w:r w:rsidR="007B0BBA" w:rsidRPr="007B0BBA">
        <w:rPr>
          <w:rFonts w:cs="Times New Roman"/>
          <w:szCs w:val="24"/>
        </w:rPr>
        <w:t>al</w:t>
      </w:r>
      <w:proofErr w:type="spellEnd"/>
      <w:r w:rsidR="007B0BBA" w:rsidRPr="007B0BBA">
        <w:rPr>
          <w:rFonts w:cs="Times New Roman"/>
          <w:szCs w:val="24"/>
        </w:rPr>
        <w:t xml:space="preserve"> 2018 г.</w:t>
      </w:r>
    </w:p>
    <w:p w:rsidR="007B0BBA" w:rsidRDefault="007B0BBA" w:rsidP="007B0BBA">
      <w:pPr>
        <w:rPr>
          <w:rFonts w:cs="Times New Roman"/>
          <w:szCs w:val="24"/>
        </w:rPr>
      </w:pPr>
      <w:r>
        <w:rPr>
          <w:rFonts w:cs="Times New Roman"/>
          <w:szCs w:val="24"/>
        </w:rPr>
        <w:t>По окончании</w:t>
      </w:r>
      <w:r w:rsidRPr="007B0BBA">
        <w:rPr>
          <w:rFonts w:cs="Times New Roman"/>
          <w:szCs w:val="24"/>
        </w:rPr>
        <w:t xml:space="preserve"> процесса обеспечения качества ВОЗ и Всемирный банк собирают недублированные оценки доли населения с большими расходами домохозяйств на здравоохранение в виде доли от общих расходов или доходов домохозяйств для каждой страны. Затем Всемирная организация здравоохранения проводит консультации со странами. В соответствии с резолюцией Исполнительного комитета ВОЗ (EB107.R8) ВОЗ предлагается сделать это до публикации оценок на </w:t>
      </w:r>
      <w:proofErr w:type="spellStart"/>
      <w:r w:rsidRPr="007B0BBA">
        <w:rPr>
          <w:rFonts w:cs="Times New Roman"/>
          <w:szCs w:val="24"/>
        </w:rPr>
        <w:t>страновом</w:t>
      </w:r>
      <w:proofErr w:type="spellEnd"/>
      <w:r w:rsidRPr="007B0BBA">
        <w:rPr>
          <w:rFonts w:cs="Times New Roman"/>
          <w:szCs w:val="24"/>
        </w:rPr>
        <w:t xml:space="preserve"> уровне от имени государств-членов. Для любого данного показателя этот процесс начинается с того, что ВОЗ направляет официальный запрос в министерства здравоохранения о назначении координатора для проведения консультаций по этому показателю. Как только государства-члены назначают координаторов, ВОЗ направляет им предварительные оценки и методологические описания. Коды STATA доступны для воспроизведения общих оценок. Затем координаторы направляют в ВОЗ свои комментарии, часто включающие новые данные или пересмотренные оценки по стране, которые используются для обновления оценок по стране. В ходе </w:t>
      </w:r>
      <w:proofErr w:type="spellStart"/>
      <w:r w:rsidRPr="007B0BBA">
        <w:rPr>
          <w:rFonts w:cs="Times New Roman"/>
          <w:szCs w:val="24"/>
        </w:rPr>
        <w:t>страновых</w:t>
      </w:r>
      <w:proofErr w:type="spellEnd"/>
      <w:r w:rsidRPr="007B0BBA">
        <w:rPr>
          <w:rFonts w:cs="Times New Roman"/>
          <w:szCs w:val="24"/>
        </w:rPr>
        <w:t xml:space="preserve"> консультаций 2017 г. 137 государств-членов ВОЗ назначили координаторов, 100 из них получили предварительные оценки и информацию о методологии; 37 получили только информацию о методологии, так как предварительная смета не была подготовлена. Из 57 государств-членов ВОЗ без назначенных координаторов оценки доступны для 32 из них.</w:t>
      </w:r>
    </w:p>
    <w:p w:rsidR="007B0BBA" w:rsidRDefault="007B0BBA" w:rsidP="00597FFB">
      <w:pPr>
        <w:rPr>
          <w:rFonts w:cs="Times New Roman"/>
          <w:szCs w:val="24"/>
        </w:rPr>
      </w:pPr>
      <w:r w:rsidRPr="007B0BBA">
        <w:rPr>
          <w:rFonts w:cs="Times New Roman"/>
          <w:szCs w:val="24"/>
        </w:rPr>
        <w:t>В дополнение к таким консультациям Всемирная организация здравоохранения и Всемирный банк регулярно проводят обучающие мероприятия по измерению отсутствия финансовой защиты, в которых уча</w:t>
      </w:r>
      <w:r>
        <w:rPr>
          <w:rFonts w:cs="Times New Roman"/>
          <w:szCs w:val="24"/>
        </w:rPr>
        <w:t>ствуют представители министерств здравоохранения, а также национальных статистических управлений</w:t>
      </w:r>
      <w:r w:rsidRPr="007B0BBA">
        <w:rPr>
          <w:rFonts w:cs="Times New Roman"/>
          <w:szCs w:val="24"/>
        </w:rPr>
        <w:t xml:space="preserve">. ВОЗ осуществляет несколько региональных и национальных совместных проектов для поддержки разработки показателя 3.8.2, так как он был недавно принят, </w:t>
      </w:r>
      <w:r>
        <w:rPr>
          <w:rFonts w:cs="Times New Roman"/>
          <w:szCs w:val="24"/>
        </w:rPr>
        <w:t>НСУ еще не составляют его на регулярной основе</w:t>
      </w:r>
      <w:r w:rsidRPr="007B0BBA">
        <w:rPr>
          <w:rFonts w:cs="Times New Roman"/>
          <w:szCs w:val="24"/>
        </w:rPr>
        <w:t>, несмотря на наличие данных и простоту методологии. Результаты такого сотрудничества еще не включены в базу данных, собранную ВОЗ и Всемирным банком, но оценки, подготовленные страной, будут подвергаться только что описанному процессу обеспечения качества.</w:t>
      </w:r>
    </w:p>
    <w:p w:rsidR="00E15199" w:rsidRDefault="00E15199" w:rsidP="00597FFB">
      <w:pPr>
        <w:rPr>
          <w:rFonts w:cs="Times New Roman"/>
          <w:szCs w:val="24"/>
        </w:rPr>
      </w:pP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15199" w:rsidRDefault="00E15199" w:rsidP="00056A06">
      <w:r w:rsidRPr="00E15199">
        <w:t>Сбор данных осуществляется в соответствии с планом страны по проведению обследований расходов домашних хозяйств,</w:t>
      </w:r>
      <w:r w:rsidR="00056A06">
        <w:t xml:space="preserve"> обследований бюджетов домашних </w:t>
      </w:r>
      <w:r w:rsidRPr="00E15199">
        <w:t>хозяйств и обследований доходов и расходов домашних хозяйств.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73563E" w:rsidRDefault="0073563E" w:rsidP="0073563E">
      <w:r w:rsidRPr="0073563E">
        <w:t>Оценки доли населения с крупными расходами домохозяйств на здравоохранение в виде доли от общих расходов или доходов домохозяйств были опубликованы в декабре 2017 г. В дальнейшем новые данные будут добавляться по мере получения дополнительной информации от назначенных ко</w:t>
      </w:r>
      <w:r>
        <w:t>ординаторов (см. процесс сбора)</w:t>
      </w:r>
      <w:r w:rsidRPr="0073563E">
        <w:t>. Обновление региональных и глобальных оценок планируется каждые два года</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3563E" w:rsidRDefault="0073563E" w:rsidP="0073563E">
      <w:r w:rsidRPr="0073563E">
        <w:t>Национальные статистические управления в сотрудничестве с министерствами здравоохранения. Дополнительные сведения см. в источниках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D330F" w:rsidRPr="00BD29EC" w:rsidRDefault="006D330F" w:rsidP="006D330F">
      <w:r w:rsidRPr="006D330F">
        <w:t>Всемирная орга</w:t>
      </w:r>
      <w:r>
        <w:t xml:space="preserve">низация здравоохранения </w:t>
      </w:r>
      <w:r w:rsidR="0073563E">
        <w:t>и Всемирный банк.</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831AF2" w:rsidRDefault="002D6D85" w:rsidP="002D6D85">
      <w:r w:rsidRPr="00087090">
        <w:t>Целевая задача 3.8 определяется как «Обеспечить всеобщий охват услугами здраво</w:t>
      </w:r>
      <w:r w:rsidRPr="00087090">
        <w:softHyphen/>
        <w:t>охранения, в том числе защиту от финансовых рис</w:t>
      </w:r>
      <w:r w:rsidRPr="00087090">
        <w:softHyphen/>
        <w:t>ков, доступ к качественным основным медико-санитарным услугам и доступ к безопасным, эффек</w:t>
      </w:r>
      <w:r w:rsidRPr="00087090">
        <w:softHyphen/>
        <w:t>тивным, качественным и недорогим основным ле</w:t>
      </w:r>
      <w:r w:rsidRPr="00087090">
        <w:softHyphen/>
        <w:t>карственным средствам и вакцинам для всех». В данном контексте подразумеваются все люди и сообщества получают качественные медицинские услуги, в которых они нуждаются (включая лекарства и другие продукты здравоохранения), без финансовых трудностей. Для мониторинга целевой задачи 3.8 в рамках ЦУР были выбраны два показателя. Показатель 3.8.1 предназначен для охвата основных медико-санитарных услуг (определяемый как средний охват основными услугами по отслеживаемым процедурам, к которым относятся охрана репродуктивного здоровья, охрана здоровья матери и ребенка, лечение инфекционных заболеваний,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 В показателе 3.8.2 основное внимание уделяется расходам на здравоохранение в сопоставлении с бюджетом домашних хозяйств с целью выявления финансовых трудностей, вызванных прямыми платежами в области з</w:t>
      </w:r>
      <w:r w:rsidR="00831AF2">
        <w:t>дравоохранения. В совокупности показатели</w:t>
      </w:r>
      <w:r w:rsidRPr="00087090">
        <w:t xml:space="preserve"> 3.8.1 и 3.8.2 предназначены для учета охвата населения услугами и степени защиты от финансовых рисков, соответственно, целево</w:t>
      </w:r>
      <w:r>
        <w:t>й задачи</w:t>
      </w:r>
      <w:r w:rsidR="00831AF2">
        <w:t xml:space="preserve"> 3.8. Эти два показателя</w:t>
      </w:r>
      <w:r w:rsidRPr="00087090">
        <w:t xml:space="preserve"> должны всегда контролироваться совместно. </w:t>
      </w:r>
    </w:p>
    <w:p w:rsidR="002D6D85" w:rsidRPr="00087090" w:rsidRDefault="00831AF2" w:rsidP="002D6D85">
      <w:r>
        <w:lastRenderedPageBreak/>
        <w:t xml:space="preserve">Показатель </w:t>
      </w:r>
      <w:r w:rsidR="002D6D85" w:rsidRPr="00087090">
        <w:t>3.8.2 вытекает из методологий, относящихся к 1990-м годам, разработанных в сотрудничестве с учеными Всемирного банка и Всемирной организации здравоохранения. Показатель 3.8.2 посвящен идентификации людей, которым необходимо выделять значительную долю своих общих расходов домашних хозяйств или доходов на здравоохранение. Внимание уделяется платежам, совершенным в местах получения услуг, для получения любого вида лечения, в любом медицинском учреждении, для любого типа заболевания или проблемы со здоровьем, за вычетом любых возмещений физическому лицу, сделавшему платеж, но за исключением предварительных платежей за медицинские услуги; например, в виде налогов или конкретных страховых премий или взносов. Такие прямые выплаты являются наименее справедливым способом финансирования систем здравоохранения, учитывая, что они определяют объем получаемой помощи.</w:t>
      </w:r>
    </w:p>
    <w:p w:rsidR="002D6D85" w:rsidRPr="002D6D85" w:rsidRDefault="002D6D85" w:rsidP="002D6D85">
      <w:pPr>
        <w:rPr>
          <w:color w:val="4A4A4A"/>
        </w:rPr>
      </w:pPr>
      <w:r w:rsidRPr="002D6D85">
        <w:t>Это явно противоречит духу цели, которая требует предоставления доступа на основе потребностей в области здравоохранения, а не способности домохозяйства объединять все свои финансовые ресурсы для удовлетворения потребностей своих членов в области здравоохранения. Некоторые прямые выплаты вероятно необходимы, но показатель 3.8.2 подкрепляется убеждением, что никому, независимо от уровня дохода, не приходится выбирать между расходами на здравоохранение и расходами на другие основные товары и услуги, такие как образование, предметы первой необходимости, жилье и коммунальные услуги. Один из способов оценки степени, в которой системы здравоохранения приводят к финансовым трудностям, заключается в том, чтобы рассчитать долю населения с большими расходами домашних хозяйств на здравоохранение в качестве доли общего потребления или дохода домашних хозяйств.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8F4D3C" w:rsidRPr="00087090" w:rsidRDefault="008F4D3C" w:rsidP="008F4D3C">
      <w:pPr>
        <w:rPr>
          <w:rFonts w:cs="Times New Roman"/>
          <w:szCs w:val="24"/>
        </w:rPr>
      </w:pPr>
      <w:r w:rsidRPr="00087090">
        <w:rPr>
          <w:rFonts w:cs="Times New Roman"/>
          <w:szCs w:val="24"/>
        </w:rPr>
        <w:t>Можно регулярно отслеживать показатель 3.8.2 с использованием тех же данных обследований домохозяйств, которые используются для мониторинга задач ЦУР 1.1 и 1.2 по бедности</w:t>
      </w:r>
      <w:r w:rsidRPr="003A5EC6">
        <w:rPr>
          <w:rFonts w:cs="Times New Roman"/>
          <w:szCs w:val="24"/>
          <w:vertAlign w:val="superscript"/>
        </w:rPr>
        <w:footnoteReference w:id="10"/>
      </w:r>
      <w:r w:rsidRPr="00087090">
        <w:rPr>
          <w:rFonts w:cs="Times New Roman"/>
          <w:szCs w:val="24"/>
        </w:rPr>
        <w:t>. Эти обследования также регулярно проводятся для других целей, таких как расчет весов для индекса потребительских цен. Эти обследования обычно проводятся НСУ. Таким образом, мониторинг доли населения с большими расходами домашних хозяйств на здравоохранение в виде доли от общего потребления или дохода домашних хозяйств не добавляет дополнительной нагрузки на сбор данных, если можно определить компонент расходов на здравоохранение из данных о непищевом хозяйстве домашних хозяйств. Хотя это является преимуществом, показатель 3.8.2 испытывает те же проблемы, что и показатель ЦУР 1.1.1, связанные с</w:t>
      </w:r>
      <w:r>
        <w:rPr>
          <w:rFonts w:cs="Times New Roman"/>
          <w:szCs w:val="24"/>
        </w:rPr>
        <w:t>о</w:t>
      </w:r>
      <w:r w:rsidRPr="00087090">
        <w:rPr>
          <w:rFonts w:cs="Times New Roman"/>
          <w:szCs w:val="24"/>
        </w:rPr>
        <w:t xml:space="preserve"> своевременностью, частотой, качеством данных и сопоставимостью обследований. Однако показатель 3.8.2 имеет свои собственные теоретические и эмпирические ограничения. </w:t>
      </w:r>
    </w:p>
    <w:p w:rsidR="008F4D3C" w:rsidRPr="00087090" w:rsidRDefault="008F4D3C" w:rsidP="008F4D3C">
      <w:pPr>
        <w:rPr>
          <w:rFonts w:cs="Times New Roman"/>
          <w:szCs w:val="24"/>
        </w:rPr>
      </w:pPr>
      <w:r w:rsidRPr="00087090">
        <w:rPr>
          <w:rFonts w:cs="Times New Roman"/>
          <w:szCs w:val="24"/>
        </w:rPr>
        <w:t>Во-первых, показатель 3.8.2 пытается выявить финансовые трудности, с которыми стал</w:t>
      </w:r>
      <w:r>
        <w:rPr>
          <w:rFonts w:cs="Times New Roman"/>
          <w:szCs w:val="24"/>
        </w:rPr>
        <w:t>киваются лица при распоряжении своими доходами, сбережениями или займами</w:t>
      </w:r>
      <w:r w:rsidRPr="00087090">
        <w:rPr>
          <w:rFonts w:cs="Times New Roman"/>
          <w:szCs w:val="24"/>
        </w:rPr>
        <w:t xml:space="preserve"> для оплаты медицинских услуг. </w:t>
      </w:r>
      <w:r w:rsidRPr="008F4D3C">
        <w:rPr>
          <w:rFonts w:cs="Times New Roman"/>
          <w:szCs w:val="24"/>
        </w:rPr>
        <w:t>Однако в большинстве обследований домохозяйств не удается определить источник финансирования, используемый домохозяйством, которое сообщае</w:t>
      </w:r>
      <w:r>
        <w:rPr>
          <w:rFonts w:cs="Times New Roman"/>
          <w:szCs w:val="24"/>
        </w:rPr>
        <w:t>т о расходах на здравоохранение</w:t>
      </w:r>
      <w:r w:rsidRPr="00087090">
        <w:rPr>
          <w:rFonts w:cs="Times New Roman"/>
          <w:szCs w:val="24"/>
        </w:rPr>
        <w:t xml:space="preserve">. В странах, где нет ретроспективного возмещения расходов </w:t>
      </w:r>
      <w:r w:rsidRPr="00087090">
        <w:rPr>
          <w:rFonts w:cs="Times New Roman"/>
          <w:szCs w:val="24"/>
        </w:rPr>
        <w:lastRenderedPageBreak/>
        <w:t xml:space="preserve">домашних хозяйств на здравоохранение, это не проблема. </w:t>
      </w:r>
      <w:r w:rsidRPr="008F4D3C">
        <w:rPr>
          <w:rFonts w:cs="Times New Roman"/>
          <w:szCs w:val="24"/>
        </w:rPr>
        <w:t>Если домохозяйство сообщает о каких-либо расходах на здравоохранение, это происходит потому, что они не будут возмещены каким-либо сторонним плательщиком.</w:t>
      </w:r>
      <w:r>
        <w:rPr>
          <w:rFonts w:cs="Times New Roman"/>
          <w:szCs w:val="24"/>
        </w:rPr>
        <w:t xml:space="preserve"> По данной причине</w:t>
      </w:r>
      <w:r w:rsidRPr="00087090">
        <w:rPr>
          <w:rFonts w:cs="Times New Roman"/>
          <w:szCs w:val="24"/>
        </w:rPr>
        <w:t xml:space="preserve"> это согласуется с определением, данным для прямых выплат </w:t>
      </w:r>
      <w:r w:rsidR="00902545">
        <w:rPr>
          <w:rFonts w:cs="Times New Roman"/>
          <w:szCs w:val="24"/>
        </w:rPr>
        <w:t>на</w:t>
      </w:r>
      <w:r w:rsidRPr="00087090">
        <w:rPr>
          <w:rFonts w:cs="Times New Roman"/>
          <w:szCs w:val="24"/>
        </w:rPr>
        <w:t xml:space="preserve"> здравоохранение (числитель). </w:t>
      </w:r>
      <w:r w:rsidRPr="008F4D3C">
        <w:rPr>
          <w:rFonts w:cs="Times New Roman"/>
          <w:szCs w:val="24"/>
        </w:rPr>
        <w:t xml:space="preserve">С другой стороны, в тех странах, где существует ретроспективное возмещение – например, через систему обязательного медицинского страхования, - сумма, указанная домохозяйством в расходах на здравоохранение, может быть полностью или частично возмещена на более позднем этапе, возможно, </w:t>
      </w:r>
      <w:r w:rsidRPr="00087090">
        <w:rPr>
          <w:rFonts w:cs="Times New Roman"/>
          <w:szCs w:val="24"/>
        </w:rPr>
        <w:t>за пределами периода охвата обследования домашних хозяйств.</w:t>
      </w:r>
    </w:p>
    <w:p w:rsidR="008F4D3C" w:rsidRPr="00087090" w:rsidRDefault="008F4D3C" w:rsidP="008F4D3C">
      <w:pPr>
        <w:rPr>
          <w:rFonts w:cs="Times New Roman"/>
          <w:szCs w:val="24"/>
        </w:rPr>
      </w:pPr>
      <w:r w:rsidRPr="00087090">
        <w:rPr>
          <w:rFonts w:cs="Times New Roman"/>
          <w:szCs w:val="24"/>
        </w:rPr>
        <w:t>Очевидно, что требуется больше работы для обеспечения того, чтобы инструменты обследования собирали информацию об источниках финансирования, используемых домохозяйством для оплаты медицинских услуг, или в инструментах обследования домашних хозяйств всегда должно быть указано, что расходы на здравоохранение должны быть за вычетом возмещения.</w:t>
      </w:r>
    </w:p>
    <w:p w:rsidR="009C7C05" w:rsidRDefault="009C7C05" w:rsidP="008F4D3C">
      <w:pPr>
        <w:rPr>
          <w:rFonts w:cs="Times New Roman"/>
          <w:szCs w:val="24"/>
        </w:rPr>
      </w:pPr>
      <w:r w:rsidRPr="009C7C05">
        <w:rPr>
          <w:rFonts w:cs="Times New Roman"/>
          <w:szCs w:val="24"/>
        </w:rPr>
        <w:t>Во-вторых, в нынешнем определении показателя 3.8.2 крупные расходы на здравоохранение могут быть выявлены путем сравнения суммы расходов домохозяйства на здравоохранение либо с доходом домохозяйства, либо с общими расходами домохозяйства. Расходы являются рекомендуемым показателем ресурсов домохозяйства (см. раздел «</w:t>
      </w:r>
      <w:r w:rsidR="00E0451B">
        <w:rPr>
          <w:rFonts w:cs="Times New Roman"/>
          <w:szCs w:val="24"/>
        </w:rPr>
        <w:t>О</w:t>
      </w:r>
      <w:r>
        <w:rPr>
          <w:rFonts w:cs="Times New Roman"/>
          <w:szCs w:val="24"/>
        </w:rPr>
        <w:t>пределения и концепции</w:t>
      </w:r>
      <w:r w:rsidRPr="009C7C05">
        <w:rPr>
          <w:rFonts w:cs="Times New Roman"/>
          <w:szCs w:val="24"/>
        </w:rPr>
        <w:t>»), но недавние эмпирические исследования показали, что, хотя статистические данные по 3.8.2 на уровне страны достаточно устойчивы к такому выбору, их разбивка по группам доходов весьма чувствительна к нему. Показатели, основанные на доходах, показывают большую концентрацию доли населения с большими расходами домохозяйств на здравоохранение среди бедных, чем показатели, основанные на расходах (см. главу 2 в отчете ВОЗ и Всемирного банка за 2017 г. об отслеживании всеобщего охвата услугами здравоохранения, а т</w:t>
      </w:r>
      <w:r w:rsidR="00E0451B">
        <w:rPr>
          <w:rFonts w:cs="Times New Roman"/>
          <w:szCs w:val="24"/>
        </w:rPr>
        <w:t xml:space="preserve">акже </w:t>
      </w:r>
      <w:proofErr w:type="spellStart"/>
      <w:r w:rsidR="00E0451B">
        <w:rPr>
          <w:rFonts w:cs="Times New Roman"/>
          <w:szCs w:val="24"/>
        </w:rPr>
        <w:t>Wagstaff</w:t>
      </w:r>
      <w:proofErr w:type="spellEnd"/>
      <w:r w:rsidR="00E0451B">
        <w:rPr>
          <w:rFonts w:cs="Times New Roman"/>
          <w:szCs w:val="24"/>
        </w:rPr>
        <w:t xml:space="preserve"> </w:t>
      </w:r>
      <w:proofErr w:type="spellStart"/>
      <w:r w:rsidR="00E0451B">
        <w:rPr>
          <w:rFonts w:cs="Times New Roman"/>
          <w:szCs w:val="24"/>
        </w:rPr>
        <w:t>et</w:t>
      </w:r>
      <w:proofErr w:type="spellEnd"/>
      <w:r w:rsidR="00E0451B">
        <w:rPr>
          <w:rFonts w:cs="Times New Roman"/>
          <w:szCs w:val="24"/>
        </w:rPr>
        <w:t xml:space="preserve"> </w:t>
      </w:r>
      <w:proofErr w:type="spellStart"/>
      <w:r w:rsidR="00E0451B">
        <w:rPr>
          <w:rFonts w:cs="Times New Roman"/>
          <w:szCs w:val="24"/>
        </w:rPr>
        <w:t>al</w:t>
      </w:r>
      <w:proofErr w:type="spellEnd"/>
      <w:r w:rsidR="00E0451B">
        <w:rPr>
          <w:rFonts w:cs="Times New Roman"/>
          <w:szCs w:val="24"/>
        </w:rPr>
        <w:t xml:space="preserve"> 2018 г.).</w:t>
      </w:r>
    </w:p>
    <w:p w:rsidR="00C650EC" w:rsidRDefault="00C650EC" w:rsidP="008F4D3C">
      <w:pPr>
        <w:rPr>
          <w:rFonts w:cs="Times New Roman"/>
          <w:szCs w:val="24"/>
        </w:rPr>
      </w:pPr>
      <w:r w:rsidRPr="00C650EC">
        <w:rPr>
          <w:rFonts w:cs="Times New Roman"/>
          <w:szCs w:val="24"/>
        </w:rPr>
        <w:t>В-третьих, показатель 3.8.2. опирается на единую точку отсечения</w:t>
      </w:r>
      <w:r>
        <w:rPr>
          <w:rFonts w:cs="Times New Roman"/>
          <w:szCs w:val="24"/>
        </w:rPr>
        <w:t xml:space="preserve"> (порог)</w:t>
      </w:r>
      <w:r w:rsidRPr="00C650EC">
        <w:rPr>
          <w:rFonts w:cs="Times New Roman"/>
          <w:szCs w:val="24"/>
        </w:rPr>
        <w:t>, ч</w:t>
      </w:r>
      <w:r>
        <w:rPr>
          <w:rFonts w:cs="Times New Roman"/>
          <w:szCs w:val="24"/>
        </w:rPr>
        <w:t>тобы определить, что представляе</w:t>
      </w:r>
      <w:r w:rsidRPr="00C650EC">
        <w:rPr>
          <w:rFonts w:cs="Times New Roman"/>
          <w:szCs w:val="24"/>
        </w:rPr>
        <w:t>т собой «</w:t>
      </w:r>
      <w:r>
        <w:t>больший удельный вес</w:t>
      </w:r>
      <w:r w:rsidRPr="00667462">
        <w:t xml:space="preserve"> семейных расходов на медицинскую помощь в общем объеме расходов или доходов домохозяйств</w:t>
      </w:r>
      <w:r w:rsidRPr="00C650EC">
        <w:rPr>
          <w:rFonts w:cs="Times New Roman"/>
          <w:szCs w:val="24"/>
        </w:rPr>
        <w:t xml:space="preserve">». Люди чуть ниже этого порога не учитываются, что является </w:t>
      </w:r>
      <w:r w:rsidR="00007E13">
        <w:rPr>
          <w:rFonts w:cs="Times New Roman"/>
          <w:szCs w:val="24"/>
        </w:rPr>
        <w:t xml:space="preserve">частой </w:t>
      </w:r>
      <w:r w:rsidRPr="00C650EC">
        <w:rPr>
          <w:rFonts w:cs="Times New Roman"/>
          <w:szCs w:val="24"/>
        </w:rPr>
        <w:t xml:space="preserve">проблемой с мерами, основанными на отсечении. </w:t>
      </w:r>
      <w:r w:rsidRPr="00087090">
        <w:rPr>
          <w:rFonts w:cs="Times New Roman"/>
          <w:szCs w:val="24"/>
        </w:rPr>
        <w:t xml:space="preserve">Этого просто избежать, </w:t>
      </w:r>
      <w:r>
        <w:rPr>
          <w:rFonts w:cs="Times New Roman"/>
          <w:szCs w:val="24"/>
        </w:rPr>
        <w:t xml:space="preserve">если </w:t>
      </w:r>
      <w:r w:rsidRPr="00087090">
        <w:rPr>
          <w:rFonts w:cs="Times New Roman"/>
          <w:szCs w:val="24"/>
        </w:rPr>
        <w:t>построи</w:t>
      </w:r>
      <w:r>
        <w:rPr>
          <w:rFonts w:cs="Times New Roman"/>
          <w:szCs w:val="24"/>
        </w:rPr>
        <w:t>ть</w:t>
      </w:r>
      <w:r w:rsidRPr="00087090">
        <w:rPr>
          <w:rFonts w:cs="Times New Roman"/>
          <w:szCs w:val="24"/>
        </w:rPr>
        <w:t xml:space="preserve"> кумулятивную функцию распределения соотношения расходов на здравоохранение на основе 3.8.2</w:t>
      </w:r>
      <w:r w:rsidRPr="00C650EC">
        <w:rPr>
          <w:rFonts w:cs="Times New Roman"/>
          <w:szCs w:val="24"/>
        </w:rPr>
        <w:t>. Таким образом можно определить для любого порогового значения долю населения, которая выделяет какую-либо долю бюджета своего домохозяйства на здравоохранение.</w:t>
      </w:r>
    </w:p>
    <w:p w:rsidR="00C650EC" w:rsidRDefault="00C650EC" w:rsidP="008F4D3C">
      <w:pPr>
        <w:rPr>
          <w:rFonts w:cs="Times New Roman"/>
          <w:szCs w:val="24"/>
        </w:rPr>
      </w:pPr>
      <w:r w:rsidRPr="00C650EC">
        <w:rPr>
          <w:rFonts w:cs="Times New Roman"/>
          <w:szCs w:val="24"/>
        </w:rPr>
        <w:t xml:space="preserve">В-четвертых, показатель 3.8.2. основан на показателях </w:t>
      </w:r>
      <w:r>
        <w:rPr>
          <w:rFonts w:cs="Times New Roman"/>
          <w:szCs w:val="24"/>
        </w:rPr>
        <w:t>фактических</w:t>
      </w:r>
      <w:r w:rsidRPr="00C650EC">
        <w:rPr>
          <w:rFonts w:cs="Times New Roman"/>
          <w:szCs w:val="24"/>
        </w:rPr>
        <w:t xml:space="preserve"> расходов на здравоохранение. Низкие уровни расходов могут быть обусловлены ошибками измерения, вызванными как ошибками, не связанными с выборкой, такими как очень короткий период </w:t>
      </w:r>
      <w:r>
        <w:rPr>
          <w:rFonts w:cs="Times New Roman"/>
          <w:szCs w:val="24"/>
        </w:rPr>
        <w:t>охвата</w:t>
      </w:r>
      <w:r w:rsidRPr="00C650EC">
        <w:rPr>
          <w:rFonts w:cs="Times New Roman"/>
          <w:szCs w:val="24"/>
        </w:rPr>
        <w:t xml:space="preserve">, который не позволяет собирать информацию о медицинском обслуживании, требующем пребывания на ночь; или ошибки выборки, такие как избыточная выборка районов с особенно низким бременем болезни. Отсутствие расходов также может быть связано с тем, что люди не могут ничего тратить на здравоохранение, </w:t>
      </w:r>
      <w:r w:rsidRPr="00087090">
        <w:rPr>
          <w:rFonts w:cs="Times New Roman"/>
          <w:szCs w:val="24"/>
        </w:rPr>
        <w:t>по крайней мере, на услуги, включенные в 3.8.1, что тоже должно приводить к низкому уровню охвата</w:t>
      </w:r>
      <w:r w:rsidRPr="00C650EC">
        <w:rPr>
          <w:rFonts w:cs="Times New Roman"/>
          <w:szCs w:val="24"/>
        </w:rPr>
        <w:t>.</w:t>
      </w:r>
    </w:p>
    <w:p w:rsidR="008F4D3C" w:rsidRPr="008F4D3C" w:rsidRDefault="008F4D3C" w:rsidP="008F4D3C">
      <w:pPr>
        <w:rPr>
          <w:rFonts w:cs="Times New Roman"/>
          <w:szCs w:val="24"/>
        </w:rPr>
      </w:pPr>
      <w:r w:rsidRPr="00087090">
        <w:rPr>
          <w:rFonts w:cs="Times New Roman"/>
          <w:szCs w:val="24"/>
        </w:rPr>
        <w:lastRenderedPageBreak/>
        <w:t xml:space="preserve">Существуют и другие показатели, используемые для измерения финансового бремени. </w:t>
      </w:r>
      <w:r w:rsidR="009519D6">
        <w:rPr>
          <w:rFonts w:cs="Times New Roman"/>
          <w:szCs w:val="24"/>
        </w:rPr>
        <w:t>ВОЗ используе</w:t>
      </w:r>
      <w:r w:rsidRPr="00087090">
        <w:rPr>
          <w:rFonts w:cs="Times New Roman"/>
          <w:szCs w:val="24"/>
        </w:rPr>
        <w:t>т более широкие рамки, которые включают определение больших расходов на здравоохранение в отношении расходов на проживание в дополнение к показателю 3.8.2</w:t>
      </w:r>
      <w:r w:rsidRPr="00413D82">
        <w:rPr>
          <w:rStyle w:val="a6"/>
          <w:rFonts w:cs="Times New Roman"/>
          <w:szCs w:val="24"/>
        </w:rPr>
        <w:footnoteReference w:id="11"/>
      </w:r>
      <w:r w:rsidRPr="00DC1DAF">
        <w:rPr>
          <w:rFonts w:cs="Times New Roman"/>
          <w:szCs w:val="24"/>
          <w:vertAlign w:val="superscript"/>
        </w:rPr>
        <w:t>,</w:t>
      </w:r>
      <w:r w:rsidRPr="00413D82">
        <w:rPr>
          <w:rStyle w:val="a6"/>
          <w:rFonts w:cs="Times New Roman"/>
          <w:szCs w:val="24"/>
        </w:rPr>
        <w:footnoteReference w:id="12"/>
      </w:r>
      <w:r w:rsidRPr="00DC1DAF">
        <w:rPr>
          <w:rFonts w:cs="Times New Roman"/>
          <w:szCs w:val="24"/>
          <w:vertAlign w:val="superscript"/>
        </w:rPr>
        <w:t>,</w:t>
      </w:r>
      <w:r w:rsidRPr="00413D82">
        <w:rPr>
          <w:rStyle w:val="a6"/>
          <w:rFonts w:cs="Times New Roman"/>
          <w:szCs w:val="24"/>
        </w:rPr>
        <w:footnoteReference w:id="13"/>
      </w:r>
      <w:r w:rsidRPr="00087090">
        <w:rPr>
          <w:rFonts w:cs="Times New Roman"/>
          <w:szCs w:val="24"/>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DC1DAF" w:rsidRPr="00087090" w:rsidRDefault="00DC1DAF" w:rsidP="00DC1DAF">
      <w:pPr>
        <w:rPr>
          <w:rFonts w:cs="Times New Roman"/>
          <w:szCs w:val="24"/>
        </w:rPr>
      </w:pPr>
      <w:r w:rsidRPr="00087090">
        <w:rPr>
          <w:rFonts w:cs="Times New Roman"/>
          <w:szCs w:val="24"/>
        </w:rPr>
        <w:t xml:space="preserve">Средневзвешенное число людей, с учетом </w:t>
      </w:r>
      <w:proofErr w:type="gramStart"/>
      <w:r w:rsidRPr="00087090">
        <w:rPr>
          <w:rFonts w:cs="Times New Roman"/>
          <w:szCs w:val="24"/>
        </w:rPr>
        <w:t>численности  населения</w:t>
      </w:r>
      <w:proofErr w:type="gramEnd"/>
      <w:r w:rsidRPr="00087090">
        <w:rPr>
          <w:rFonts w:cs="Times New Roman"/>
          <w:szCs w:val="24"/>
        </w:rPr>
        <w:t>, с большими расходами домашних хозяйств на здравоохранение как доля от общих расходов домашних хозяйств или доходов.</w:t>
      </w:r>
    </w:p>
    <w:p w:rsidR="00DC1DAF" w:rsidRPr="00645B6F" w:rsidRDefault="00DC1DAF" w:rsidP="00DC1DAF">
      <w:pPr>
        <w:shd w:val="clear" w:color="auto" w:fill="FFFFFF"/>
        <w:spacing w:after="0"/>
        <w:rPr>
          <w:rFonts w:eastAsia="TT15Ct00" w:cstheme="minorHAnsi"/>
          <w:color w:val="4A4A4A"/>
          <w:sz w:val="20"/>
          <w:szCs w:val="20"/>
          <w:lang w:eastAsia="en-GB"/>
        </w:rPr>
      </w:pPr>
      <m:oMathPara>
        <m:oMath>
          <m:f>
            <m:fPr>
              <m:ctrlPr>
                <w:rPr>
                  <w:rFonts w:ascii="Cambria Math" w:eastAsia="Times New Roman" w:hAnsi="Cambria Math" w:cstheme="minorHAnsi"/>
                  <w:i/>
                  <w:noProof/>
                  <w:color w:val="4A4A4A"/>
                  <w:sz w:val="21"/>
                  <w:szCs w:val="21"/>
                  <w:lang w:eastAsia="en-GB"/>
                </w:rPr>
              </m:ctrlPr>
            </m:fPr>
            <m:num>
              <m:nary>
                <m:naryPr>
                  <m:chr m:val="∑"/>
                  <m:limLoc m:val="undOvr"/>
                  <m:supHide m:val="1"/>
                  <m:ctrlPr>
                    <w:rPr>
                      <w:rFonts w:ascii="Cambria Math" w:eastAsia="Times New Roman" w:hAnsi="Cambria Math" w:cstheme="minorHAnsi"/>
                      <w:i/>
                      <w:noProof/>
                      <w:color w:val="4A4A4A"/>
                      <w:sz w:val="21"/>
                      <w:szCs w:val="21"/>
                      <w:lang w:eastAsia="en-GB"/>
                    </w:rPr>
                  </m:ctrlPr>
                </m:naryPr>
                <m:sub>
                  <m:r>
                    <w:rPr>
                      <w:rFonts w:ascii="Cambria Math" w:eastAsia="Times New Roman" w:hAnsi="Cambria Math" w:cstheme="minorHAnsi"/>
                      <w:noProof/>
                      <w:color w:val="4A4A4A"/>
                      <w:sz w:val="21"/>
                      <w:szCs w:val="21"/>
                      <w:lang w:eastAsia="en-GB"/>
                    </w:rPr>
                    <m:t>i</m:t>
                  </m:r>
                </m:sub>
                <m:sup/>
                <m:e>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m</m:t>
                      </m:r>
                    </m:e>
                    <m:sub>
                      <m:r>
                        <w:rPr>
                          <w:rFonts w:ascii="Cambria Math" w:eastAsia="Times New Roman" w:hAnsi="Cambria Math" w:cstheme="minorHAnsi"/>
                          <w:noProof/>
                          <w:color w:val="4A4A4A"/>
                          <w:sz w:val="21"/>
                          <w:szCs w:val="21"/>
                          <w:lang w:eastAsia="en-GB"/>
                        </w:rPr>
                        <m:t>i</m:t>
                      </m:r>
                    </m:sub>
                  </m:sSub>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ω</m:t>
                      </m:r>
                    </m:e>
                    <m:sub>
                      <m:r>
                        <w:rPr>
                          <w:rFonts w:ascii="Cambria Math" w:eastAsia="Times New Roman" w:hAnsi="Cambria Math" w:cstheme="minorHAnsi"/>
                          <w:noProof/>
                          <w:color w:val="4A4A4A"/>
                          <w:sz w:val="21"/>
                          <w:szCs w:val="21"/>
                          <w:lang w:eastAsia="en-GB"/>
                        </w:rPr>
                        <m:t>i</m:t>
                      </m:r>
                    </m:sub>
                  </m:sSub>
                  <m:r>
                    <w:rPr>
                      <w:rFonts w:ascii="Cambria Math" w:eastAsia="Times New Roman" w:hAnsi="Cambria Math" w:cstheme="minorHAnsi"/>
                      <w:noProof/>
                      <w:color w:val="4A4A4A"/>
                      <w:sz w:val="21"/>
                      <w:szCs w:val="21"/>
                      <w:lang w:eastAsia="en-GB"/>
                    </w:rPr>
                    <m:t>1</m:t>
                  </m:r>
                  <m:d>
                    <m:dPr>
                      <m:ctrlPr>
                        <w:rPr>
                          <w:rFonts w:ascii="Cambria Math" w:eastAsia="Times New Roman" w:hAnsi="Cambria Math" w:cstheme="minorHAnsi"/>
                          <w:i/>
                          <w:noProof/>
                          <w:color w:val="4A4A4A"/>
                          <w:sz w:val="21"/>
                          <w:szCs w:val="21"/>
                          <w:lang w:eastAsia="en-GB"/>
                        </w:rPr>
                      </m:ctrlPr>
                    </m:dPr>
                    <m:e>
                      <m:f>
                        <m:fPr>
                          <m:ctrlPr>
                            <w:rPr>
                              <w:rFonts w:ascii="Cambria Math" w:eastAsia="Times New Roman" w:hAnsi="Cambria Math" w:cstheme="minorHAnsi"/>
                              <w:i/>
                              <w:noProof/>
                              <w:color w:val="4A4A4A"/>
                              <w:sz w:val="21"/>
                              <w:szCs w:val="21"/>
                              <w:lang w:eastAsia="en-GB"/>
                            </w:rPr>
                          </m:ctrlPr>
                        </m:fPr>
                        <m:num>
                          <m:r>
                            <w:rPr>
                              <w:rFonts w:ascii="Cambria Math" w:hAnsi="Cambria Math" w:cs="Times New Roman"/>
                              <w:szCs w:val="24"/>
                            </w:rPr>
                            <m:t>расходы домохозяйств на здравоохранение</m:t>
                          </m:r>
                          <m:r>
                            <w:rPr>
                              <w:rFonts w:ascii="Cambria Math" w:eastAsia="Times New Roman" w:hAnsi="Cambria Math" w:cstheme="minorHAnsi"/>
                              <w:noProof/>
                              <w:color w:val="4A4A4A"/>
                              <w:sz w:val="21"/>
                              <w:szCs w:val="21"/>
                              <w:lang w:eastAsia="en-GB"/>
                            </w:rPr>
                            <m:t xml:space="preserve"> i</m:t>
                          </m:r>
                        </m:num>
                        <m:den>
                          <m:r>
                            <w:rPr>
                              <w:rFonts w:ascii="Cambria Math" w:hAnsi="Cambria Math" w:cs="Times New Roman"/>
                              <w:szCs w:val="24"/>
                            </w:rPr>
                            <m:t>общие расходы домохозяйств</m:t>
                          </m:r>
                          <m:r>
                            <w:rPr>
                              <w:rFonts w:ascii="Cambria Math" w:hAnsi="Cambria Math" w:cs="Times New Roman"/>
                              <w:szCs w:val="24"/>
                            </w:rPr>
                            <m:t xml:space="preserve"> </m:t>
                          </m:r>
                          <m:r>
                            <w:rPr>
                              <w:rFonts w:ascii="Cambria Math" w:eastAsia="Times New Roman" w:hAnsi="Cambria Math" w:cstheme="minorHAnsi"/>
                              <w:noProof/>
                              <w:color w:val="4A4A4A"/>
                              <w:sz w:val="21"/>
                              <w:szCs w:val="21"/>
                              <w:lang w:eastAsia="en-GB"/>
                            </w:rPr>
                            <m:t>i</m:t>
                          </m:r>
                        </m:den>
                      </m:f>
                      <m:r>
                        <w:rPr>
                          <w:rFonts w:ascii="Cambria Math" w:eastAsia="Times New Roman" w:hAnsi="Cambria Math" w:cstheme="minorHAnsi"/>
                          <w:noProof/>
                          <w:color w:val="4A4A4A"/>
                          <w:sz w:val="21"/>
                          <w:szCs w:val="21"/>
                          <w:lang w:eastAsia="en-GB"/>
                        </w:rPr>
                        <m:t>&gt;τ</m:t>
                      </m:r>
                    </m:e>
                  </m:d>
                </m:e>
              </m:nary>
            </m:num>
            <m:den>
              <m:nary>
                <m:naryPr>
                  <m:chr m:val="∑"/>
                  <m:limLoc m:val="undOvr"/>
                  <m:supHide m:val="1"/>
                  <m:ctrlPr>
                    <w:rPr>
                      <w:rFonts w:ascii="Cambria Math" w:eastAsia="Times New Roman" w:hAnsi="Cambria Math" w:cstheme="minorHAnsi"/>
                      <w:i/>
                      <w:noProof/>
                      <w:color w:val="4A4A4A"/>
                      <w:sz w:val="21"/>
                      <w:szCs w:val="21"/>
                      <w:lang w:eastAsia="en-GB"/>
                    </w:rPr>
                  </m:ctrlPr>
                </m:naryPr>
                <m:sub>
                  <m:r>
                    <w:rPr>
                      <w:rFonts w:ascii="Cambria Math" w:eastAsia="Times New Roman" w:hAnsi="Cambria Math" w:cstheme="minorHAnsi"/>
                      <w:noProof/>
                      <w:color w:val="4A4A4A"/>
                      <w:sz w:val="21"/>
                      <w:szCs w:val="21"/>
                      <w:lang w:eastAsia="en-GB"/>
                    </w:rPr>
                    <m:t>i</m:t>
                  </m:r>
                </m:sub>
                <m:sup/>
                <m:e>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m</m:t>
                      </m:r>
                    </m:e>
                    <m:sub>
                      <m:r>
                        <w:rPr>
                          <w:rFonts w:ascii="Cambria Math" w:eastAsia="Times New Roman" w:hAnsi="Cambria Math" w:cstheme="minorHAnsi"/>
                          <w:noProof/>
                          <w:color w:val="4A4A4A"/>
                          <w:sz w:val="21"/>
                          <w:szCs w:val="21"/>
                          <w:lang w:eastAsia="en-GB"/>
                        </w:rPr>
                        <m:t>i</m:t>
                      </m:r>
                    </m:sub>
                  </m:sSub>
                </m:e>
              </m:nary>
              <m:sSub>
                <m:sSubPr>
                  <m:ctrlPr>
                    <w:rPr>
                      <w:rFonts w:ascii="Cambria Math" w:eastAsia="Times New Roman" w:hAnsi="Cambria Math" w:cstheme="minorHAnsi"/>
                      <w:i/>
                      <w:noProof/>
                      <w:color w:val="4A4A4A"/>
                      <w:sz w:val="21"/>
                      <w:szCs w:val="21"/>
                      <w:lang w:eastAsia="en-GB"/>
                    </w:rPr>
                  </m:ctrlPr>
                </m:sSubPr>
                <m:e>
                  <m:r>
                    <w:rPr>
                      <w:rFonts w:ascii="Cambria Math" w:eastAsia="Times New Roman" w:hAnsi="Cambria Math" w:cstheme="minorHAnsi"/>
                      <w:noProof/>
                      <w:color w:val="4A4A4A"/>
                      <w:sz w:val="21"/>
                      <w:szCs w:val="21"/>
                      <w:lang w:eastAsia="en-GB"/>
                    </w:rPr>
                    <m:t>ω</m:t>
                  </m:r>
                </m:e>
                <m:sub>
                  <m:r>
                    <w:rPr>
                      <w:rFonts w:ascii="Cambria Math" w:eastAsia="Times New Roman" w:hAnsi="Cambria Math" w:cstheme="minorHAnsi"/>
                      <w:noProof/>
                      <w:color w:val="4A4A4A"/>
                      <w:sz w:val="21"/>
                      <w:szCs w:val="21"/>
                      <w:lang w:eastAsia="en-GB"/>
                    </w:rPr>
                    <m:t>i</m:t>
                  </m:r>
                </m:sub>
              </m:sSub>
            </m:den>
          </m:f>
        </m:oMath>
      </m:oMathPara>
    </w:p>
    <w:p w:rsidR="00DC1DAF" w:rsidRPr="00087090" w:rsidRDefault="00DC1DAF" w:rsidP="00DC1DAF">
      <w:pPr>
        <w:rPr>
          <w:rFonts w:cs="Times New Roman"/>
          <w:szCs w:val="24"/>
        </w:rPr>
      </w:pPr>
    </w:p>
    <w:p w:rsidR="00DC1DAF" w:rsidRPr="00DC1DAF" w:rsidRDefault="00DC1DAF" w:rsidP="00DC1DAF">
      <w:r w:rsidRPr="00DC1DAF">
        <w:t xml:space="preserve">где i обозначает домохозяйство, 1() — индикаторная функция, которая принимает значение 1, если выражение в квадратных скобках истинно, и 0 в противном случае, </w:t>
      </w:r>
      <w:r w:rsidRPr="00DC1DAF">
        <w:rPr>
          <w:i/>
          <w:sz w:val="28"/>
        </w:rPr>
        <w:t>m</w:t>
      </w:r>
      <w:r w:rsidRPr="00DC1DAF">
        <w:rPr>
          <w:i/>
          <w:sz w:val="28"/>
          <w:vertAlign w:val="subscript"/>
        </w:rPr>
        <w:t>i</w:t>
      </w:r>
      <w:r w:rsidRPr="00DC1DAF">
        <w:t xml:space="preserve"> соответствует количеству членов домохозяйства </w:t>
      </w:r>
      <w:r w:rsidRPr="00DC1DAF">
        <w:rPr>
          <w:i/>
        </w:rPr>
        <w:t>i</w:t>
      </w:r>
      <w:r>
        <w:t xml:space="preserve">, </w:t>
      </w:r>
      <w:proofErr w:type="spellStart"/>
      <w:r w:rsidRPr="00DC1DAF">
        <w:rPr>
          <w:i/>
          <w:sz w:val="28"/>
        </w:rPr>
        <w:t>ω</w:t>
      </w:r>
      <w:r w:rsidRPr="00DC1DAF">
        <w:rPr>
          <w:i/>
          <w:sz w:val="28"/>
          <w:vertAlign w:val="subscript"/>
        </w:rPr>
        <w:t>i</w:t>
      </w:r>
      <w:proofErr w:type="spellEnd"/>
      <w:r w:rsidRPr="00DC1DAF">
        <w:t xml:space="preserve"> соответствует</w:t>
      </w:r>
      <w:r>
        <w:t xml:space="preserve"> весу выборки домохозяйства </w:t>
      </w:r>
      <w:r w:rsidRPr="00DC1DAF">
        <w:rPr>
          <w:i/>
        </w:rPr>
        <w:t>i</w:t>
      </w:r>
      <w:r w:rsidRPr="00DC1DAF">
        <w:t xml:space="preserve">, τ – пороговое значение, определяющее </w:t>
      </w:r>
      <w:r>
        <w:t>большие</w:t>
      </w:r>
      <w:r w:rsidRPr="00DC1DAF">
        <w:t xml:space="preserve"> расходы домохозяйства на здравоохранение как долю от общего потребления или дохода домохозяйства (т.е. 10% и 25%).</w:t>
      </w:r>
    </w:p>
    <w:p w:rsidR="00DC1DAF" w:rsidRDefault="00DC1DAF" w:rsidP="00DC1DAF">
      <w:r w:rsidRPr="00DC1DAF">
        <w:t>Расходы домохозяйства на здравоохранение и расходы или доход домохозяйства определяются так, как</w:t>
      </w:r>
      <w:r>
        <w:t xml:space="preserve"> поясняется в разделе «Определения и концепции</w:t>
      </w:r>
      <w:r w:rsidRPr="00DC1DAF">
        <w:t xml:space="preserve">». Для получения дополнительной информации о методологии см. </w:t>
      </w:r>
      <w:proofErr w:type="spellStart"/>
      <w:r w:rsidRPr="00DC1DAF">
        <w:t>Wagstaff</w:t>
      </w:r>
      <w:proofErr w:type="spellEnd"/>
      <w:r w:rsidRPr="00DC1DAF">
        <w:t xml:space="preserve"> </w:t>
      </w:r>
      <w:proofErr w:type="spellStart"/>
      <w:r w:rsidRPr="00DC1DAF">
        <w:t>et</w:t>
      </w:r>
      <w:proofErr w:type="spellEnd"/>
      <w:r w:rsidRPr="00DC1DAF">
        <w:t xml:space="preserve"> </w:t>
      </w:r>
      <w:proofErr w:type="spellStart"/>
      <w:r w:rsidRPr="00DC1DAF">
        <w:t>al</w:t>
      </w:r>
      <w:proofErr w:type="spellEnd"/>
      <w:r w:rsidRPr="00DC1DAF">
        <w:t xml:space="preserve"> (2018) и главу 2 отчета ВОЗ и Всемирного банка за 2017 г. об отслеживании всеобщего охвата услугами здравоохранения.</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474B64">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7C58B1" w:rsidRDefault="007C58B1" w:rsidP="0075371E">
      <w:pPr>
        <w:pStyle w:val="MText"/>
        <w:rPr>
          <w:rFonts w:eastAsiaTheme="minorHAnsi"/>
          <w:color w:val="auto"/>
          <w:sz w:val="24"/>
          <w:szCs w:val="24"/>
          <w:lang w:val="ru-RU" w:eastAsia="en-US"/>
        </w:rPr>
      </w:pPr>
      <w:r w:rsidRPr="007C58B1">
        <w:rPr>
          <w:rFonts w:eastAsiaTheme="minorHAnsi"/>
          <w:color w:val="auto"/>
          <w:sz w:val="24"/>
          <w:szCs w:val="24"/>
          <w:lang w:val="ru-RU" w:eastAsia="en-US"/>
        </w:rPr>
        <w:t xml:space="preserve">На </w:t>
      </w:r>
      <w:proofErr w:type="spellStart"/>
      <w:r w:rsidRPr="007C58B1">
        <w:rPr>
          <w:rFonts w:eastAsiaTheme="minorHAnsi"/>
          <w:color w:val="auto"/>
          <w:sz w:val="24"/>
          <w:szCs w:val="24"/>
          <w:lang w:val="ru-RU" w:eastAsia="en-US"/>
        </w:rPr>
        <w:t>страновом</w:t>
      </w:r>
      <w:proofErr w:type="spellEnd"/>
      <w:r w:rsidRPr="007C58B1">
        <w:rPr>
          <w:rFonts w:eastAsiaTheme="minorHAnsi"/>
          <w:color w:val="auto"/>
          <w:sz w:val="24"/>
          <w:szCs w:val="24"/>
          <w:lang w:val="ru-RU" w:eastAsia="en-US"/>
        </w:rPr>
        <w:t xml:space="preserve"> уровне не предпринимаются попытки </w:t>
      </w:r>
      <w:r>
        <w:rPr>
          <w:rFonts w:eastAsiaTheme="minorHAnsi"/>
          <w:color w:val="auto"/>
          <w:sz w:val="24"/>
          <w:szCs w:val="24"/>
          <w:lang w:val="ru-RU" w:eastAsia="en-US"/>
        </w:rPr>
        <w:t>вменения значений</w:t>
      </w:r>
      <w:r w:rsidRPr="007C58B1">
        <w:rPr>
          <w:rFonts w:eastAsiaTheme="minorHAnsi"/>
          <w:color w:val="auto"/>
          <w:sz w:val="24"/>
          <w:szCs w:val="24"/>
          <w:lang w:val="ru-RU" w:eastAsia="en-US"/>
        </w:rPr>
        <w:t xml:space="preserve"> для получения оценок. Доля населения с большими расходами домохозяйств на здравоохранение в виде доли от общих расходов или доходов домохозяйств оценивается за все годы, для которых доступно общенациональное репрезентативное обследование бюджета домохозяйств, доходов и расходов домохозяйств, социально-экономических услов</w:t>
      </w:r>
      <w:r>
        <w:rPr>
          <w:rFonts w:eastAsiaTheme="minorHAnsi"/>
          <w:color w:val="auto"/>
          <w:sz w:val="24"/>
          <w:szCs w:val="24"/>
          <w:lang w:val="ru-RU" w:eastAsia="en-US"/>
        </w:rPr>
        <w:t xml:space="preserve">ий или уровня жизни с </w:t>
      </w:r>
      <w:r>
        <w:rPr>
          <w:rFonts w:eastAsiaTheme="minorHAnsi"/>
          <w:color w:val="auto"/>
          <w:sz w:val="24"/>
          <w:szCs w:val="24"/>
          <w:lang w:val="ru-RU" w:eastAsia="en-US"/>
        </w:rPr>
        <w:lastRenderedPageBreak/>
        <w:t>информацией</w:t>
      </w:r>
      <w:r w:rsidRPr="007C58B1">
        <w:rPr>
          <w:rFonts w:eastAsiaTheme="minorHAnsi"/>
          <w:color w:val="auto"/>
          <w:sz w:val="24"/>
          <w:szCs w:val="24"/>
          <w:lang w:val="ru-RU" w:eastAsia="en-US"/>
        </w:rPr>
        <w:t xml:space="preserve"> как об общих расходах или доходах домохозяйств, так и об общих расходах домохозяйств на здравоохранение. При проведении нескольких обследований в течение определенного времени для одной и той же страны предпочтение отдается оценкам, полученным на основе одного и того же обследования. Для сохранения наиболее эффективных серий выполняется </w:t>
      </w:r>
      <w:r w:rsidR="00007E13">
        <w:rPr>
          <w:rFonts w:eastAsiaTheme="minorHAnsi"/>
          <w:color w:val="auto"/>
          <w:sz w:val="24"/>
          <w:szCs w:val="24"/>
          <w:lang w:val="ru-RU" w:eastAsia="en-US"/>
        </w:rPr>
        <w:t>ряд</w:t>
      </w:r>
      <w:r w:rsidRPr="007C58B1">
        <w:rPr>
          <w:rFonts w:eastAsiaTheme="minorHAnsi"/>
          <w:color w:val="auto"/>
          <w:sz w:val="24"/>
          <w:szCs w:val="24"/>
          <w:lang w:val="ru-RU" w:eastAsia="en-US"/>
        </w:rPr>
        <w:t xml:space="preserve"> тестов (см. </w:t>
      </w:r>
      <w:r>
        <w:rPr>
          <w:rFonts w:eastAsiaTheme="minorHAnsi"/>
          <w:color w:val="auto"/>
          <w:sz w:val="24"/>
          <w:szCs w:val="24"/>
          <w:lang w:val="ru-RU" w:eastAsia="en-US"/>
        </w:rPr>
        <w:t>Метод</w:t>
      </w:r>
      <w:r w:rsidRPr="007C58B1">
        <w:rPr>
          <w:rFonts w:eastAsiaTheme="minorHAnsi"/>
          <w:color w:val="auto"/>
          <w:sz w:val="24"/>
          <w:szCs w:val="24"/>
          <w:lang w:val="ru-RU" w:eastAsia="en-US"/>
        </w:rPr>
        <w:t xml:space="preserve"> сбора</w:t>
      </w:r>
      <w:r>
        <w:rPr>
          <w:rFonts w:eastAsiaTheme="minorHAnsi"/>
          <w:color w:val="auto"/>
          <w:sz w:val="24"/>
          <w:szCs w:val="24"/>
          <w:lang w:val="ru-RU" w:eastAsia="en-US"/>
        </w:rPr>
        <w:t xml:space="preserve"> данных</w:t>
      </w:r>
      <w:r w:rsidRPr="007C58B1">
        <w:rPr>
          <w:rFonts w:eastAsiaTheme="minorHAnsi"/>
          <w:color w:val="auto"/>
          <w:sz w:val="24"/>
          <w:szCs w:val="24"/>
          <w:lang w:val="ru-RU" w:eastAsia="en-US"/>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BD5871" w:rsidRPr="00BD5871" w:rsidRDefault="00BD5871" w:rsidP="00BD5871">
      <w:r w:rsidRPr="00BD5871">
        <w:t>Для построения оценок регионального и глобального уровней, когда оценки, основанные на обследованиях, недоступны для базовых 2000, 2005 или 2010 годов, все оценки, основанные на обследованиях, в течение 5-летнего периода базового года “выстраиваются” с использованием комбинации</w:t>
      </w:r>
      <w:r>
        <w:t xml:space="preserve"> методов</w:t>
      </w:r>
      <w:r w:rsidRPr="00BD5871">
        <w:t xml:space="preserve"> интерполяции, экстраполяции, эконометрического моделирования и вменения на основе региональных медиан (</w:t>
      </w:r>
      <w:proofErr w:type="spellStart"/>
      <w:r>
        <w:t>Wagstaff</w:t>
      </w:r>
      <w:proofErr w:type="spellEnd"/>
      <w:r>
        <w:t xml:space="preserve"> </w:t>
      </w:r>
      <w:proofErr w:type="spellStart"/>
      <w:r>
        <w:t>et</w:t>
      </w:r>
      <w:proofErr w:type="spellEnd"/>
      <w:r>
        <w:t xml:space="preserve"> </w:t>
      </w:r>
      <w:proofErr w:type="spellStart"/>
      <w:r>
        <w:t>al</w:t>
      </w:r>
      <w:proofErr w:type="spellEnd"/>
      <w:r w:rsidRPr="00BD5871">
        <w:t>., 2018; глава 2 отчета ВОЗ и Всемирного банка за 2017 год об отслеживании всеобщего охвата услугами здравоохранения).</w:t>
      </w:r>
    </w:p>
    <w:p w:rsidR="00BD5871" w:rsidRDefault="00BD5871" w:rsidP="00BD5871">
      <w:r w:rsidRPr="00BD5871">
        <w:t>Всемирный банк и Всемирная организация здравоохранения используют свою собственную региональную группировку в дополнение к региональной разбивке, предложенной СОООН</w:t>
      </w:r>
      <w:r w:rsidRPr="00BD5871">
        <w:t xml:space="preserve"> </w:t>
      </w:r>
      <w:r w:rsidRPr="00BD5871">
        <w:t>для ЦУР.</w:t>
      </w:r>
    </w:p>
    <w:p w:rsidR="002E15F9" w:rsidRPr="00BD29EC" w:rsidRDefault="002E15F9" w:rsidP="00BD5871">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Pr="00AE18BA" w:rsidRDefault="0075371E" w:rsidP="0075371E">
      <w:pPr>
        <w:pStyle w:val="MText"/>
        <w:rPr>
          <w:color w:val="auto"/>
          <w:sz w:val="24"/>
          <w:szCs w:val="24"/>
          <w:lang w:val="ru-RU"/>
        </w:rPr>
      </w:pPr>
      <w:r w:rsidRPr="00AE18BA">
        <w:rPr>
          <w:color w:val="auto"/>
          <w:sz w:val="24"/>
          <w:szCs w:val="24"/>
          <w:lang w:val="ru-RU"/>
        </w:rPr>
        <w:t>Доступность данных:</w:t>
      </w:r>
    </w:p>
    <w:p w:rsidR="00AE18BA" w:rsidRPr="00AE18BA" w:rsidRDefault="00AE18BA" w:rsidP="00AE18BA">
      <w:pPr>
        <w:pStyle w:val="MText"/>
        <w:rPr>
          <w:color w:val="auto"/>
          <w:sz w:val="24"/>
          <w:szCs w:val="24"/>
          <w:lang w:val="ru-RU"/>
        </w:rPr>
      </w:pPr>
      <w:r w:rsidRPr="00AE18BA">
        <w:rPr>
          <w:color w:val="auto"/>
          <w:sz w:val="24"/>
          <w:szCs w:val="24"/>
          <w:lang w:val="ru-RU"/>
        </w:rPr>
        <w:t>Этот показатель опирается главным образом на те же источники данных, которые используются для мониторинга показателя 1.1.1 ЦУР, с дополнительным требованием о наличии информации о расходах на здравоохранение. Принимая это во внимание, Всемирный банк и ВОЗ определили 1566 потенциально подходящих наборов данных обследований домохозяйств из 155 стран. Некоторые из этих обследований были исключены, поскольку они либо были недоступны, либо в них отсутствовали ключевые переменные, необходимые для оценки доли населения с большими расходами домохозяйств на здравоохранение в виде доли от общих расходов или доходов домохозяйств, они не прошли процесс обеспечения качества или не были частью последовательного временного ряда. По состоянию на декабрь 2017 года для расчета показателя 3.8.2 ЦУР было использовано в общей сложности 553 точки данных из 132 стран или территорий за период с 1984 по 2015 год.</w:t>
      </w:r>
    </w:p>
    <w:p w:rsidR="00AE18BA" w:rsidRDefault="00AE18BA" w:rsidP="00AE18BA">
      <w:pPr>
        <w:pStyle w:val="MText"/>
        <w:rPr>
          <w:color w:val="auto"/>
          <w:sz w:val="24"/>
          <w:szCs w:val="24"/>
          <w:lang w:val="ru-RU"/>
        </w:rPr>
      </w:pPr>
      <w:r w:rsidRPr="00AE18BA">
        <w:rPr>
          <w:color w:val="auto"/>
          <w:sz w:val="24"/>
          <w:szCs w:val="24"/>
          <w:lang w:val="ru-RU"/>
        </w:rPr>
        <w:t xml:space="preserve">Доступность данных, измеренная с точки зрения количества стран, которые ВОЗ и Всемирный банк в настоящее время рассмотрели и </w:t>
      </w:r>
      <w:r w:rsidR="00D02A96">
        <w:rPr>
          <w:color w:val="auto"/>
          <w:sz w:val="24"/>
          <w:szCs w:val="24"/>
          <w:lang w:val="ru-RU"/>
        </w:rPr>
        <w:t>выбрали</w:t>
      </w:r>
      <w:r w:rsidRPr="00AE18BA">
        <w:rPr>
          <w:color w:val="auto"/>
          <w:sz w:val="24"/>
          <w:szCs w:val="24"/>
          <w:lang w:val="ru-RU"/>
        </w:rPr>
        <w:t xml:space="preserve"> для оценки «доли населения с большим удельным весом семейных расходов на медицинскую помощь в общем объеме расходов или доходов домохозяйств</w:t>
      </w:r>
      <w:r w:rsidRPr="00AE18BA">
        <w:rPr>
          <w:color w:val="auto"/>
          <w:sz w:val="24"/>
          <w:szCs w:val="24"/>
          <w:lang w:val="ru-RU"/>
        </w:rPr>
        <w:t>», за последний</w:t>
      </w:r>
      <w:r>
        <w:rPr>
          <w:color w:val="auto"/>
          <w:sz w:val="24"/>
          <w:szCs w:val="24"/>
          <w:lang w:val="ru-RU"/>
        </w:rPr>
        <w:t xml:space="preserve"> год выглядит следующим образом</w:t>
      </w:r>
      <w:r w:rsidRPr="00AE18BA">
        <w:rPr>
          <w:color w:val="auto"/>
          <w:sz w:val="24"/>
          <w:szCs w:val="24"/>
          <w:lang w:val="ru-RU"/>
        </w:rPr>
        <w:t>:</w:t>
      </w:r>
    </w:p>
    <w:p w:rsidR="00AE18BA" w:rsidRPr="00AE18BA" w:rsidRDefault="00AE18BA" w:rsidP="00AE18BA">
      <w:pPr>
        <w:pStyle w:val="MText"/>
        <w:rPr>
          <w:color w:val="auto"/>
          <w:sz w:val="24"/>
          <w:szCs w:val="24"/>
          <w:lang w:val="ru-RU"/>
        </w:rPr>
      </w:pPr>
    </w:p>
    <w:p w:rsidR="00AE18BA" w:rsidRPr="00AE18BA" w:rsidRDefault="00AE18BA" w:rsidP="00AE18BA">
      <w:pPr>
        <w:pStyle w:val="MText"/>
        <w:rPr>
          <w:color w:val="auto"/>
          <w:szCs w:val="24"/>
          <w:lang w:val="ru-RU"/>
        </w:rPr>
      </w:pPr>
    </w:p>
    <w:tbl>
      <w:tblPr>
        <w:tblW w:w="10920" w:type="dxa"/>
        <w:tblInd w:w="-1134" w:type="dxa"/>
        <w:tblLook w:val="04A0" w:firstRow="1" w:lastRow="0" w:firstColumn="1" w:lastColumn="0" w:noHBand="0" w:noVBand="1"/>
      </w:tblPr>
      <w:tblGrid>
        <w:gridCol w:w="3682"/>
        <w:gridCol w:w="1267"/>
        <w:gridCol w:w="907"/>
        <w:gridCol w:w="1205"/>
        <w:gridCol w:w="940"/>
        <w:gridCol w:w="1006"/>
        <w:gridCol w:w="907"/>
        <w:gridCol w:w="1006"/>
      </w:tblGrid>
      <w:tr w:rsidR="00AE18BA" w:rsidRPr="00AE18BA" w:rsidTr="00D02A96">
        <w:trPr>
          <w:trHeight w:val="720"/>
        </w:trPr>
        <w:tc>
          <w:tcPr>
            <w:tcW w:w="3682" w:type="dxa"/>
            <w:noWrap/>
            <w:vAlign w:val="bottom"/>
            <w:hideMark/>
          </w:tcPr>
          <w:p w:rsidR="00AE18BA" w:rsidRPr="00AE18BA" w:rsidRDefault="00AE18BA" w:rsidP="00AE18BA">
            <w:pPr>
              <w:pStyle w:val="MText"/>
              <w:rPr>
                <w:color w:val="auto"/>
                <w:szCs w:val="24"/>
                <w:lang w:val="ru-RU"/>
              </w:rPr>
            </w:pPr>
          </w:p>
        </w:tc>
        <w:tc>
          <w:tcPr>
            <w:tcW w:w="1267" w:type="dxa"/>
            <w:noWrap/>
            <w:vAlign w:val="bottom"/>
            <w:hideMark/>
          </w:tcPr>
          <w:p w:rsidR="00AE18BA" w:rsidRPr="00AE18BA" w:rsidRDefault="00AE18BA" w:rsidP="00AE18BA">
            <w:pPr>
              <w:pStyle w:val="MText"/>
              <w:rPr>
                <w:color w:val="auto"/>
                <w:szCs w:val="24"/>
                <w:lang w:val="ru-RU"/>
              </w:rPr>
            </w:pPr>
          </w:p>
        </w:tc>
        <w:tc>
          <w:tcPr>
            <w:tcW w:w="5971" w:type="dxa"/>
            <w:gridSpan w:val="6"/>
            <w:tcBorders>
              <w:top w:val="nil"/>
              <w:left w:val="nil"/>
              <w:bottom w:val="single" w:sz="8" w:space="0" w:color="auto"/>
              <w:right w:val="nil"/>
            </w:tcBorders>
            <w:vAlign w:val="center"/>
            <w:hideMark/>
          </w:tcPr>
          <w:p w:rsidR="00AE18BA" w:rsidRPr="00AE18BA" w:rsidRDefault="00AE18BA" w:rsidP="00AE18BA">
            <w:pPr>
              <w:pStyle w:val="MText"/>
              <w:rPr>
                <w:color w:val="auto"/>
                <w:szCs w:val="24"/>
                <w:lang w:val="ru-RU"/>
              </w:rPr>
            </w:pPr>
            <w:r>
              <w:rPr>
                <w:color w:val="auto"/>
                <w:szCs w:val="24"/>
                <w:lang w:val="ru-RU"/>
              </w:rPr>
              <w:t>Выбранные</w:t>
            </w:r>
            <w:r w:rsidRPr="00AE18BA">
              <w:rPr>
                <w:color w:val="auto"/>
                <w:szCs w:val="24"/>
                <w:lang w:val="ru-RU"/>
              </w:rPr>
              <w:t xml:space="preserve"> ВОЗ и Всемирным банком для оценки "доли населения с большим удельным весом семейных расходов на медицинскую помощь в общем объеме расходов или доходов домохозяйств".</w:t>
            </w:r>
          </w:p>
        </w:tc>
      </w:tr>
      <w:tr w:rsidR="00AE18BA" w:rsidRPr="00AE18BA" w:rsidTr="00D02A96">
        <w:trPr>
          <w:trHeight w:val="972"/>
        </w:trPr>
        <w:tc>
          <w:tcPr>
            <w:tcW w:w="3682" w:type="dxa"/>
            <w:tcBorders>
              <w:top w:val="nil"/>
              <w:left w:val="nil"/>
              <w:bottom w:val="single" w:sz="8" w:space="0" w:color="auto"/>
              <w:right w:val="nil"/>
            </w:tcBorders>
            <w:vAlign w:val="center"/>
            <w:hideMark/>
          </w:tcPr>
          <w:p w:rsidR="00AE18BA" w:rsidRPr="00AE18BA" w:rsidRDefault="00AE18BA" w:rsidP="00AE18BA">
            <w:pPr>
              <w:pStyle w:val="MText"/>
              <w:rPr>
                <w:color w:val="auto"/>
                <w:szCs w:val="24"/>
                <w:lang w:val="en-US"/>
              </w:rPr>
            </w:pPr>
            <w:proofErr w:type="spellStart"/>
            <w:r w:rsidRPr="00AE18BA">
              <w:rPr>
                <w:color w:val="auto"/>
                <w:szCs w:val="24"/>
                <w:lang w:val="en-US"/>
              </w:rPr>
              <w:t>Региональная</w:t>
            </w:r>
            <w:proofErr w:type="spellEnd"/>
            <w:r w:rsidRPr="00AE18BA">
              <w:rPr>
                <w:color w:val="auto"/>
                <w:szCs w:val="24"/>
                <w:lang w:val="en-US"/>
              </w:rPr>
              <w:t xml:space="preserve"> </w:t>
            </w:r>
            <w:proofErr w:type="spellStart"/>
            <w:r w:rsidRPr="00AE18BA">
              <w:rPr>
                <w:color w:val="auto"/>
                <w:szCs w:val="24"/>
                <w:lang w:val="en-US"/>
              </w:rPr>
              <w:t>разбивка</w:t>
            </w:r>
            <w:proofErr w:type="spellEnd"/>
            <w:r w:rsidRPr="00AE18BA">
              <w:rPr>
                <w:color w:val="auto"/>
                <w:szCs w:val="24"/>
                <w:lang w:val="en-US"/>
              </w:rPr>
              <w:t xml:space="preserve"> ЦУР</w:t>
            </w:r>
          </w:p>
        </w:tc>
        <w:tc>
          <w:tcPr>
            <w:tcW w:w="1267" w:type="dxa"/>
            <w:tcBorders>
              <w:top w:val="nil"/>
              <w:left w:val="nil"/>
              <w:bottom w:val="single" w:sz="8" w:space="0" w:color="auto"/>
              <w:right w:val="nil"/>
            </w:tcBorders>
            <w:vAlign w:val="center"/>
            <w:hideMark/>
          </w:tcPr>
          <w:p w:rsidR="00AE18BA" w:rsidRPr="00AE18BA" w:rsidRDefault="00AE18BA" w:rsidP="00AE18BA">
            <w:pPr>
              <w:pStyle w:val="MText"/>
              <w:rPr>
                <w:color w:val="auto"/>
                <w:szCs w:val="24"/>
                <w:lang w:val="en-US"/>
              </w:rPr>
            </w:pPr>
            <w:proofErr w:type="spellStart"/>
            <w:r w:rsidRPr="00AE18BA">
              <w:rPr>
                <w:color w:val="auto"/>
                <w:szCs w:val="24"/>
                <w:lang w:val="en-US"/>
              </w:rPr>
              <w:t>Количество</w:t>
            </w:r>
            <w:proofErr w:type="spellEnd"/>
            <w:r w:rsidRPr="00AE18BA">
              <w:rPr>
                <w:color w:val="auto"/>
                <w:szCs w:val="24"/>
                <w:lang w:val="en-US"/>
              </w:rPr>
              <w:t xml:space="preserve"> </w:t>
            </w:r>
            <w:proofErr w:type="spellStart"/>
            <w:r w:rsidRPr="00AE18BA">
              <w:rPr>
                <w:color w:val="auto"/>
                <w:szCs w:val="24"/>
                <w:lang w:val="en-US"/>
              </w:rPr>
              <w:t>государств-членов</w:t>
            </w:r>
            <w:proofErr w:type="spellEnd"/>
            <w:r w:rsidRPr="00AE18BA">
              <w:rPr>
                <w:color w:val="auto"/>
                <w:szCs w:val="24"/>
                <w:lang w:val="en-US"/>
              </w:rPr>
              <w:t xml:space="preserve"> ВОЗ</w:t>
            </w:r>
          </w:p>
        </w:tc>
        <w:tc>
          <w:tcPr>
            <w:tcW w:w="2112" w:type="dxa"/>
            <w:gridSpan w:val="2"/>
            <w:tcBorders>
              <w:top w:val="single" w:sz="8" w:space="0" w:color="auto"/>
              <w:left w:val="nil"/>
              <w:bottom w:val="single" w:sz="8" w:space="0" w:color="auto"/>
              <w:right w:val="nil"/>
            </w:tcBorders>
            <w:vAlign w:val="center"/>
            <w:hideMark/>
          </w:tcPr>
          <w:p w:rsidR="00AE18BA" w:rsidRPr="00AE18BA" w:rsidRDefault="00AE18BA" w:rsidP="00AE18BA">
            <w:pPr>
              <w:pStyle w:val="MText"/>
              <w:rPr>
                <w:color w:val="auto"/>
                <w:szCs w:val="24"/>
                <w:lang w:val="ru-RU"/>
              </w:rPr>
            </w:pPr>
            <w:r w:rsidRPr="00AE18BA">
              <w:rPr>
                <w:color w:val="auto"/>
                <w:szCs w:val="24"/>
                <w:lang w:val="en-US"/>
              </w:rPr>
              <w:t xml:space="preserve">2005 </w:t>
            </w:r>
            <w:r w:rsidRPr="00AE18BA">
              <w:rPr>
                <w:color w:val="auto"/>
                <w:szCs w:val="24"/>
                <w:lang w:val="ru-RU"/>
              </w:rPr>
              <w:t>или раньше</w:t>
            </w:r>
          </w:p>
        </w:tc>
        <w:tc>
          <w:tcPr>
            <w:tcW w:w="1946" w:type="dxa"/>
            <w:gridSpan w:val="2"/>
            <w:tcBorders>
              <w:top w:val="single" w:sz="8" w:space="0" w:color="auto"/>
              <w:left w:val="nil"/>
              <w:bottom w:val="single" w:sz="8" w:space="0" w:color="auto"/>
              <w:right w:val="nil"/>
            </w:tcBorders>
            <w:vAlign w:val="center"/>
            <w:hideMark/>
          </w:tcPr>
          <w:p w:rsidR="00AE18BA" w:rsidRPr="00AE18BA" w:rsidRDefault="00AE18BA" w:rsidP="00AE18BA">
            <w:pPr>
              <w:pStyle w:val="MText"/>
              <w:rPr>
                <w:color w:val="auto"/>
                <w:szCs w:val="24"/>
                <w:lang w:val="en-US"/>
              </w:rPr>
            </w:pPr>
            <w:r w:rsidRPr="00AE18BA">
              <w:rPr>
                <w:color w:val="auto"/>
                <w:szCs w:val="24"/>
                <w:lang w:val="en-US"/>
              </w:rPr>
              <w:t>2006-2015</w:t>
            </w:r>
          </w:p>
        </w:tc>
        <w:tc>
          <w:tcPr>
            <w:tcW w:w="1913" w:type="dxa"/>
            <w:gridSpan w:val="2"/>
            <w:tcBorders>
              <w:top w:val="single" w:sz="8" w:space="0" w:color="auto"/>
              <w:left w:val="nil"/>
              <w:bottom w:val="single" w:sz="8" w:space="0" w:color="auto"/>
              <w:right w:val="nil"/>
            </w:tcBorders>
            <w:vAlign w:val="center"/>
            <w:hideMark/>
          </w:tcPr>
          <w:p w:rsidR="00AE18BA" w:rsidRPr="00AE18BA" w:rsidRDefault="00AE18BA" w:rsidP="00AE18BA">
            <w:pPr>
              <w:pStyle w:val="MText"/>
              <w:rPr>
                <w:color w:val="auto"/>
                <w:szCs w:val="24"/>
                <w:lang w:val="en-US"/>
              </w:rPr>
            </w:pPr>
            <w:proofErr w:type="spellStart"/>
            <w:r w:rsidRPr="00AE18BA">
              <w:rPr>
                <w:color w:val="auto"/>
                <w:szCs w:val="24"/>
                <w:lang w:val="en-US"/>
              </w:rPr>
              <w:t>Итого</w:t>
            </w:r>
            <w:proofErr w:type="spellEnd"/>
            <w:r w:rsidRPr="00AE18BA">
              <w:rPr>
                <w:color w:val="auto"/>
                <w:szCs w:val="24"/>
                <w:lang w:val="ru-RU"/>
              </w:rPr>
              <w:t> </w:t>
            </w:r>
            <w:proofErr w:type="spellStart"/>
            <w:r w:rsidRPr="00AE18BA">
              <w:rPr>
                <w:color w:val="auto"/>
                <w:szCs w:val="24"/>
                <w:lang w:val="en-US"/>
              </w:rPr>
              <w:t>по</w:t>
            </w:r>
            <w:proofErr w:type="spellEnd"/>
            <w:r w:rsidRPr="00AE18BA">
              <w:rPr>
                <w:color w:val="auto"/>
                <w:szCs w:val="24"/>
                <w:lang w:val="en-US"/>
              </w:rPr>
              <w:t xml:space="preserve"> </w:t>
            </w:r>
            <w:proofErr w:type="spellStart"/>
            <w:r w:rsidRPr="00AE18BA">
              <w:rPr>
                <w:color w:val="auto"/>
                <w:szCs w:val="24"/>
                <w:lang w:val="en-US"/>
              </w:rPr>
              <w:t>регионам</w:t>
            </w:r>
            <w:proofErr w:type="spellEnd"/>
            <w:r w:rsidRPr="00AE18BA">
              <w:rPr>
                <w:color w:val="auto"/>
                <w:szCs w:val="24"/>
                <w:lang w:val="en-US"/>
              </w:rPr>
              <w:t xml:space="preserve"> ЦУР</w:t>
            </w:r>
          </w:p>
        </w:tc>
      </w:tr>
      <w:tr w:rsidR="00D02A96" w:rsidRPr="00AE18BA" w:rsidTr="00D02A96">
        <w:trPr>
          <w:trHeight w:val="300"/>
        </w:trPr>
        <w:tc>
          <w:tcPr>
            <w:tcW w:w="3682"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 </w:t>
            </w:r>
          </w:p>
        </w:tc>
        <w:tc>
          <w:tcPr>
            <w:tcW w:w="1267"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 </w:t>
            </w:r>
          </w:p>
        </w:tc>
        <w:tc>
          <w:tcPr>
            <w:tcW w:w="907" w:type="dxa"/>
            <w:tcBorders>
              <w:top w:val="nil"/>
              <w:left w:val="nil"/>
              <w:bottom w:val="single" w:sz="8" w:space="0" w:color="auto"/>
              <w:right w:val="nil"/>
            </w:tcBorders>
            <w:noWrap/>
            <w:vAlign w:val="center"/>
            <w:hideMark/>
          </w:tcPr>
          <w:p w:rsidR="00AE18BA" w:rsidRPr="00AE18BA" w:rsidRDefault="0004066D" w:rsidP="00D02A96">
            <w:pPr>
              <w:pStyle w:val="MText"/>
              <w:rPr>
                <w:color w:val="auto"/>
                <w:szCs w:val="24"/>
                <w:lang w:val="en-US"/>
              </w:rPr>
            </w:pPr>
            <w:r>
              <w:rPr>
                <w:color w:val="auto"/>
                <w:szCs w:val="24"/>
                <w:lang w:val="en-US"/>
              </w:rPr>
              <w:t>(</w:t>
            </w:r>
            <w:proofErr w:type="spellStart"/>
            <w:r>
              <w:rPr>
                <w:color w:val="auto"/>
                <w:szCs w:val="24"/>
                <w:lang w:val="en-US"/>
              </w:rPr>
              <w:t>числ</w:t>
            </w:r>
            <w:proofErr w:type="spellEnd"/>
            <w:r>
              <w:rPr>
                <w:color w:val="auto"/>
                <w:szCs w:val="24"/>
                <w:lang w:val="ru-RU"/>
              </w:rPr>
              <w:t xml:space="preserve">о </w:t>
            </w:r>
            <w:r w:rsidR="00D02A96">
              <w:rPr>
                <w:color w:val="auto"/>
                <w:szCs w:val="24"/>
                <w:lang w:val="ru-RU"/>
              </w:rPr>
              <w:t>стран-членов</w:t>
            </w:r>
            <w:r w:rsidR="00AE18BA" w:rsidRPr="00AE18BA">
              <w:rPr>
                <w:color w:val="auto"/>
                <w:szCs w:val="24"/>
                <w:lang w:val="en-US"/>
              </w:rPr>
              <w:t>)</w:t>
            </w:r>
          </w:p>
        </w:tc>
        <w:tc>
          <w:tcPr>
            <w:tcW w:w="1205"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Pr>
                <w:color w:val="auto"/>
                <w:szCs w:val="24"/>
                <w:lang w:val="en-US"/>
              </w:rPr>
              <w:t>(%</w:t>
            </w:r>
            <w:r>
              <w:rPr>
                <w:color w:val="auto"/>
                <w:szCs w:val="24"/>
                <w:lang w:val="ru-RU"/>
              </w:rPr>
              <w:t> </w:t>
            </w:r>
            <w:proofErr w:type="spellStart"/>
            <w:r>
              <w:rPr>
                <w:color w:val="auto"/>
                <w:szCs w:val="24"/>
                <w:lang w:val="en-US"/>
              </w:rPr>
              <w:t>по</w:t>
            </w:r>
            <w:proofErr w:type="spellEnd"/>
            <w:r>
              <w:rPr>
                <w:color w:val="auto"/>
                <w:szCs w:val="24"/>
                <w:lang w:val="en-US"/>
              </w:rPr>
              <w:t xml:space="preserve"> </w:t>
            </w:r>
            <w:proofErr w:type="spellStart"/>
            <w:r>
              <w:rPr>
                <w:color w:val="auto"/>
                <w:szCs w:val="24"/>
                <w:lang w:val="en-US"/>
              </w:rPr>
              <w:t>региону</w:t>
            </w:r>
            <w:proofErr w:type="spellEnd"/>
            <w:r w:rsidRPr="00AE18BA">
              <w:rPr>
                <w:color w:val="auto"/>
                <w:szCs w:val="24"/>
                <w:lang w:val="en-US"/>
              </w:rPr>
              <w:t>)</w:t>
            </w:r>
          </w:p>
        </w:tc>
        <w:tc>
          <w:tcPr>
            <w:tcW w:w="940" w:type="dxa"/>
            <w:tcBorders>
              <w:top w:val="nil"/>
              <w:left w:val="nil"/>
              <w:bottom w:val="single" w:sz="8" w:space="0" w:color="auto"/>
              <w:right w:val="nil"/>
            </w:tcBorders>
            <w:noWrap/>
            <w:vAlign w:val="center"/>
            <w:hideMark/>
          </w:tcPr>
          <w:p w:rsidR="00AE18BA" w:rsidRPr="00AE18BA" w:rsidRDefault="00AE18BA" w:rsidP="00D02A96">
            <w:pPr>
              <w:pStyle w:val="MText"/>
              <w:rPr>
                <w:color w:val="auto"/>
                <w:szCs w:val="24"/>
                <w:lang w:val="en-US"/>
              </w:rPr>
            </w:pPr>
            <w:r>
              <w:rPr>
                <w:color w:val="auto"/>
                <w:szCs w:val="24"/>
                <w:lang w:val="ru-RU"/>
              </w:rPr>
              <w:t>(</w:t>
            </w:r>
            <w:proofErr w:type="spellStart"/>
            <w:r w:rsidRPr="00AE18BA">
              <w:rPr>
                <w:color w:val="auto"/>
                <w:szCs w:val="24"/>
                <w:lang w:val="en-US"/>
              </w:rPr>
              <w:t>число</w:t>
            </w:r>
            <w:proofErr w:type="spellEnd"/>
            <w:r w:rsidRPr="00AE18BA">
              <w:rPr>
                <w:color w:val="auto"/>
                <w:szCs w:val="24"/>
                <w:lang w:val="en-US"/>
              </w:rPr>
              <w:t xml:space="preserve"> </w:t>
            </w:r>
            <w:r w:rsidR="00D02A96">
              <w:rPr>
                <w:color w:val="auto"/>
                <w:szCs w:val="24"/>
                <w:lang w:val="ru-RU"/>
              </w:rPr>
              <w:t>стран-членов</w:t>
            </w:r>
            <w:r w:rsidRPr="00AE18BA">
              <w:rPr>
                <w:color w:val="auto"/>
                <w:szCs w:val="24"/>
                <w:lang w:val="en-US"/>
              </w:rPr>
              <w:t>)</w:t>
            </w:r>
          </w:p>
        </w:tc>
        <w:tc>
          <w:tcPr>
            <w:tcW w:w="1006"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Pr>
                <w:color w:val="auto"/>
                <w:szCs w:val="24"/>
                <w:lang w:val="en-US"/>
              </w:rPr>
              <w:t>(%</w:t>
            </w:r>
            <w:r>
              <w:rPr>
                <w:color w:val="auto"/>
                <w:szCs w:val="24"/>
                <w:lang w:val="ru-RU"/>
              </w:rPr>
              <w:t> </w:t>
            </w:r>
            <w:proofErr w:type="spellStart"/>
            <w:r>
              <w:rPr>
                <w:color w:val="auto"/>
                <w:szCs w:val="24"/>
                <w:lang w:val="en-US"/>
              </w:rPr>
              <w:t>по</w:t>
            </w:r>
            <w:proofErr w:type="spellEnd"/>
            <w:r>
              <w:rPr>
                <w:color w:val="auto"/>
                <w:szCs w:val="24"/>
                <w:lang w:val="en-US"/>
              </w:rPr>
              <w:t xml:space="preserve"> </w:t>
            </w:r>
            <w:proofErr w:type="spellStart"/>
            <w:r>
              <w:rPr>
                <w:color w:val="auto"/>
                <w:szCs w:val="24"/>
                <w:lang w:val="en-US"/>
              </w:rPr>
              <w:t>региону</w:t>
            </w:r>
            <w:proofErr w:type="spellEnd"/>
            <w:r w:rsidRPr="00AE18BA">
              <w:rPr>
                <w:color w:val="auto"/>
                <w:szCs w:val="24"/>
                <w:lang w:val="en-US"/>
              </w:rPr>
              <w:t>)</w:t>
            </w:r>
          </w:p>
        </w:tc>
        <w:tc>
          <w:tcPr>
            <w:tcW w:w="907"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w:t>
            </w:r>
            <w:proofErr w:type="spellStart"/>
            <w:r w:rsidR="00D02A96">
              <w:rPr>
                <w:color w:val="auto"/>
                <w:szCs w:val="24"/>
                <w:lang w:val="en-US"/>
              </w:rPr>
              <w:t>число</w:t>
            </w:r>
            <w:proofErr w:type="spellEnd"/>
            <w:r w:rsidR="00D02A96">
              <w:rPr>
                <w:color w:val="auto"/>
                <w:szCs w:val="24"/>
                <w:lang w:val="en-US"/>
              </w:rPr>
              <w:t xml:space="preserve"> </w:t>
            </w:r>
            <w:proofErr w:type="spellStart"/>
            <w:r w:rsidR="00D02A96">
              <w:rPr>
                <w:color w:val="auto"/>
                <w:szCs w:val="24"/>
                <w:lang w:val="en-US"/>
              </w:rPr>
              <w:t>стран-членов</w:t>
            </w:r>
            <w:proofErr w:type="spellEnd"/>
            <w:r w:rsidRPr="00AE18BA">
              <w:rPr>
                <w:color w:val="auto"/>
                <w:szCs w:val="24"/>
                <w:lang w:val="en-US"/>
              </w:rPr>
              <w:t>)</w:t>
            </w:r>
          </w:p>
        </w:tc>
        <w:tc>
          <w:tcPr>
            <w:tcW w:w="1006"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w:t>
            </w:r>
            <w:r>
              <w:rPr>
                <w:color w:val="auto"/>
                <w:szCs w:val="24"/>
                <w:lang w:val="en-US"/>
              </w:rPr>
              <w:t>%</w:t>
            </w:r>
            <w:r>
              <w:rPr>
                <w:color w:val="auto"/>
                <w:szCs w:val="24"/>
                <w:lang w:val="ru-RU"/>
              </w:rPr>
              <w:t> </w:t>
            </w:r>
            <w:proofErr w:type="spellStart"/>
            <w:r>
              <w:rPr>
                <w:color w:val="auto"/>
                <w:szCs w:val="24"/>
                <w:lang w:val="en-US"/>
              </w:rPr>
              <w:t>по</w:t>
            </w:r>
            <w:proofErr w:type="spellEnd"/>
            <w:r>
              <w:rPr>
                <w:color w:val="auto"/>
                <w:szCs w:val="24"/>
                <w:lang w:val="en-US"/>
              </w:rPr>
              <w:t xml:space="preserve"> </w:t>
            </w:r>
            <w:proofErr w:type="spellStart"/>
            <w:r>
              <w:rPr>
                <w:color w:val="auto"/>
                <w:szCs w:val="24"/>
                <w:lang w:val="en-US"/>
              </w:rPr>
              <w:t>региону</w:t>
            </w:r>
            <w:proofErr w:type="spellEnd"/>
            <w:r w:rsidRPr="00AE18BA">
              <w:rPr>
                <w:color w:val="auto"/>
                <w:szCs w:val="24"/>
                <w:lang w:val="en-US"/>
              </w:rPr>
              <w:t>)</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sidRPr="00AE18BA">
              <w:rPr>
                <w:color w:val="auto"/>
                <w:szCs w:val="24"/>
                <w:lang w:val="ru-RU"/>
              </w:rPr>
              <w:t>Северная Америка (</w:t>
            </w:r>
            <w:r w:rsidRPr="00AE18BA">
              <w:rPr>
                <w:color w:val="auto"/>
                <w:szCs w:val="24"/>
                <w:lang w:val="en-US"/>
              </w:rPr>
              <w:t>M</w:t>
            </w:r>
            <w:r w:rsidRPr="00AE18BA">
              <w:rPr>
                <w:color w:val="auto"/>
                <w:szCs w:val="24"/>
                <w:lang w:val="ru-RU"/>
              </w:rPr>
              <w:t>49) и Европа (</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44</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6</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13.60%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33</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75.00%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39</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88.60%</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sidRPr="00AE18BA">
              <w:rPr>
                <w:color w:val="auto"/>
                <w:szCs w:val="24"/>
                <w:lang w:val="ru-RU"/>
              </w:rPr>
              <w:t>Латинская Америка и Карибский бассейн (MDG=</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33</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7</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21.20%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10</w:t>
            </w:r>
          </w:p>
        </w:tc>
        <w:tc>
          <w:tcPr>
            <w:tcW w:w="1006"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30.30%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17</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51.50%</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sidRPr="00AE18BA">
              <w:rPr>
                <w:color w:val="auto"/>
                <w:szCs w:val="24"/>
                <w:lang w:val="ru-RU"/>
              </w:rPr>
              <w:t>Центральная Азия (</w:t>
            </w:r>
            <w:r w:rsidRPr="00AE18BA">
              <w:rPr>
                <w:color w:val="auto"/>
                <w:szCs w:val="24"/>
                <w:lang w:val="en-US"/>
              </w:rPr>
              <w:t>M</w:t>
            </w:r>
            <w:r w:rsidRPr="00AE18BA">
              <w:rPr>
                <w:color w:val="auto"/>
                <w:szCs w:val="24"/>
                <w:lang w:val="ru-RU"/>
              </w:rPr>
              <w:t>49) и Южная Азия</w:t>
            </w:r>
            <w:r w:rsidRPr="00AE18BA">
              <w:rPr>
                <w:color w:val="auto"/>
                <w:szCs w:val="24"/>
                <w:lang w:val="ru-RU"/>
              </w:rPr>
              <w:t xml:space="preserve"> </w:t>
            </w:r>
            <w:r w:rsidRPr="00AE18BA">
              <w:rPr>
                <w:color w:val="auto"/>
                <w:szCs w:val="24"/>
                <w:lang w:val="ru-RU"/>
              </w:rPr>
              <w:t>(</w:t>
            </w:r>
            <w:r w:rsidRPr="00AE18BA">
              <w:rPr>
                <w:color w:val="auto"/>
                <w:szCs w:val="24"/>
                <w:lang w:val="en-US"/>
              </w:rPr>
              <w:t>MDG</w:t>
            </w:r>
            <w:r w:rsidRPr="00AE18BA">
              <w:rPr>
                <w:color w:val="auto"/>
                <w:szCs w:val="24"/>
                <w:lang w:val="ru-RU"/>
              </w:rPr>
              <w:t>=</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14</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0</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0.00%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11</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78.60%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11</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78.60%</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sidRPr="00AE18BA">
              <w:rPr>
                <w:color w:val="auto"/>
                <w:szCs w:val="24"/>
                <w:lang w:val="ru-RU"/>
              </w:rPr>
              <w:t>Восточная Азия (</w:t>
            </w:r>
            <w:r w:rsidRPr="00AE18BA">
              <w:rPr>
                <w:color w:val="auto"/>
                <w:szCs w:val="24"/>
                <w:lang w:val="en-US"/>
              </w:rPr>
              <w:t>M</w:t>
            </w:r>
            <w:r w:rsidRPr="00AE18BA">
              <w:rPr>
                <w:color w:val="auto"/>
                <w:szCs w:val="24"/>
                <w:lang w:val="ru-RU"/>
              </w:rPr>
              <w:t>49) и Юго-Восточная Азия (</w:t>
            </w:r>
            <w:r w:rsidRPr="00AE18BA">
              <w:rPr>
                <w:color w:val="auto"/>
                <w:szCs w:val="24"/>
                <w:lang w:val="en-US"/>
              </w:rPr>
              <w:t>MDG</w:t>
            </w:r>
            <w:r w:rsidRPr="00AE18BA">
              <w:rPr>
                <w:color w:val="auto"/>
                <w:szCs w:val="24"/>
                <w:lang w:val="ru-RU"/>
              </w:rPr>
              <w:t>=</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16</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2</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12.50%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10</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62.50%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12</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75.00%</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sidRPr="00AE18BA">
              <w:rPr>
                <w:color w:val="auto"/>
                <w:szCs w:val="24"/>
                <w:lang w:val="ru-RU"/>
              </w:rPr>
              <w:t>Западная Азия (</w:t>
            </w:r>
            <w:r w:rsidRPr="00AE18BA">
              <w:rPr>
                <w:color w:val="auto"/>
                <w:szCs w:val="24"/>
                <w:lang w:val="en-US"/>
              </w:rPr>
              <w:t>M</w:t>
            </w:r>
            <w:r w:rsidRPr="00AE18BA">
              <w:rPr>
                <w:color w:val="auto"/>
                <w:szCs w:val="24"/>
                <w:lang w:val="ru-RU"/>
              </w:rPr>
              <w:t>49) и Северная Африка (</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23</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4</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17.40%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9</w:t>
            </w:r>
          </w:p>
        </w:tc>
        <w:tc>
          <w:tcPr>
            <w:tcW w:w="1006"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39.10%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13</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56.50%</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Pr>
                <w:color w:val="auto"/>
                <w:szCs w:val="24"/>
                <w:lang w:val="ru-RU"/>
              </w:rPr>
              <w:t>Страны Африки к</w:t>
            </w:r>
            <w:r w:rsidRPr="00AE18BA">
              <w:rPr>
                <w:color w:val="auto"/>
                <w:szCs w:val="24"/>
                <w:lang w:val="ru-RU"/>
              </w:rPr>
              <w:t xml:space="preserve"> югу от Сахары (</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48</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16</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33.30%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21</w:t>
            </w:r>
          </w:p>
        </w:tc>
        <w:tc>
          <w:tcPr>
            <w:tcW w:w="1006"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43.80%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37</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77.10%</w:t>
            </w:r>
          </w:p>
        </w:tc>
      </w:tr>
      <w:tr w:rsidR="00D02A96" w:rsidRPr="00AE18BA" w:rsidTr="00D02A96">
        <w:trPr>
          <w:trHeight w:val="288"/>
        </w:trPr>
        <w:tc>
          <w:tcPr>
            <w:tcW w:w="3682" w:type="dxa"/>
            <w:noWrap/>
            <w:vAlign w:val="center"/>
            <w:hideMark/>
          </w:tcPr>
          <w:p w:rsidR="00AE18BA" w:rsidRPr="00AE18BA" w:rsidRDefault="00AE18BA" w:rsidP="00AE18BA">
            <w:pPr>
              <w:pStyle w:val="MText"/>
              <w:rPr>
                <w:color w:val="auto"/>
                <w:szCs w:val="24"/>
                <w:lang w:val="ru-RU"/>
              </w:rPr>
            </w:pPr>
            <w:r>
              <w:rPr>
                <w:color w:val="auto"/>
                <w:szCs w:val="24"/>
                <w:lang w:val="ru-RU"/>
              </w:rPr>
              <w:t>Австралия и Новая Зеландия</w:t>
            </w:r>
            <w:r w:rsidRPr="00AE18BA">
              <w:rPr>
                <w:color w:val="auto"/>
                <w:szCs w:val="24"/>
                <w:lang w:val="ru-RU"/>
              </w:rPr>
              <w:t xml:space="preserve"> (</w:t>
            </w:r>
            <w:r w:rsidRPr="00AE18BA">
              <w:rPr>
                <w:color w:val="auto"/>
                <w:szCs w:val="24"/>
                <w:lang w:val="en-US"/>
              </w:rPr>
              <w:t>M</w:t>
            </w:r>
            <w:r w:rsidRPr="00AE18BA">
              <w:rPr>
                <w:color w:val="auto"/>
                <w:szCs w:val="24"/>
                <w:lang w:val="ru-RU"/>
              </w:rPr>
              <w:t>49)</w:t>
            </w: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2</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0</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0.00%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50.00%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50.00%</w:t>
            </w:r>
          </w:p>
        </w:tc>
      </w:tr>
      <w:tr w:rsidR="00D02A96" w:rsidRPr="00AE18BA" w:rsidTr="00D02A96">
        <w:trPr>
          <w:trHeight w:val="300"/>
        </w:trPr>
        <w:tc>
          <w:tcPr>
            <w:tcW w:w="3682"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ru-RU"/>
              </w:rPr>
            </w:pPr>
            <w:r w:rsidRPr="00AE18BA">
              <w:rPr>
                <w:color w:val="auto"/>
                <w:szCs w:val="24"/>
                <w:lang w:val="ru-RU"/>
              </w:rPr>
              <w:t>Океания (</w:t>
            </w:r>
            <w:r w:rsidRPr="00AE18BA">
              <w:rPr>
                <w:color w:val="auto"/>
                <w:szCs w:val="24"/>
                <w:lang w:val="en-US"/>
              </w:rPr>
              <w:t>M</w:t>
            </w:r>
            <w:r w:rsidRPr="00AE18BA">
              <w:rPr>
                <w:color w:val="auto"/>
                <w:szCs w:val="24"/>
                <w:lang w:val="ru-RU"/>
              </w:rPr>
              <w:t>49), кроме Австралии и Новой Зеландии (</w:t>
            </w:r>
            <w:r w:rsidRPr="00AE18BA">
              <w:rPr>
                <w:color w:val="auto"/>
                <w:szCs w:val="24"/>
                <w:lang w:val="en-US"/>
              </w:rPr>
              <w:t>M</w:t>
            </w:r>
            <w:r w:rsidRPr="00AE18BA">
              <w:rPr>
                <w:color w:val="auto"/>
                <w:szCs w:val="24"/>
                <w:lang w:val="ru-RU"/>
              </w:rPr>
              <w:t>49)</w:t>
            </w:r>
          </w:p>
        </w:tc>
        <w:tc>
          <w:tcPr>
            <w:tcW w:w="1267"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14</w:t>
            </w:r>
          </w:p>
        </w:tc>
        <w:tc>
          <w:tcPr>
            <w:tcW w:w="907"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1</w:t>
            </w:r>
          </w:p>
        </w:tc>
        <w:tc>
          <w:tcPr>
            <w:tcW w:w="1205"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7.10%</w:t>
            </w:r>
          </w:p>
        </w:tc>
        <w:tc>
          <w:tcPr>
            <w:tcW w:w="940"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0</w:t>
            </w:r>
          </w:p>
        </w:tc>
        <w:tc>
          <w:tcPr>
            <w:tcW w:w="1006"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0.00%</w:t>
            </w:r>
          </w:p>
        </w:tc>
        <w:tc>
          <w:tcPr>
            <w:tcW w:w="907"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1</w:t>
            </w:r>
          </w:p>
        </w:tc>
        <w:tc>
          <w:tcPr>
            <w:tcW w:w="1006" w:type="dxa"/>
            <w:tcBorders>
              <w:top w:val="nil"/>
              <w:left w:val="nil"/>
              <w:bottom w:val="single" w:sz="8" w:space="0" w:color="auto"/>
              <w:right w:val="nil"/>
            </w:tcBorders>
            <w:noWrap/>
            <w:vAlign w:val="center"/>
            <w:hideMark/>
          </w:tcPr>
          <w:p w:rsidR="00AE18BA" w:rsidRPr="00AE18BA" w:rsidRDefault="00AE18BA" w:rsidP="00AE18BA">
            <w:pPr>
              <w:pStyle w:val="MText"/>
              <w:rPr>
                <w:color w:val="auto"/>
                <w:szCs w:val="24"/>
                <w:lang w:val="en-US"/>
              </w:rPr>
            </w:pPr>
            <w:r w:rsidRPr="00AE18BA">
              <w:rPr>
                <w:color w:val="auto"/>
                <w:szCs w:val="24"/>
                <w:lang w:val="en-US"/>
              </w:rPr>
              <w:t>7.10%</w:t>
            </w:r>
          </w:p>
        </w:tc>
      </w:tr>
      <w:tr w:rsidR="00D02A96" w:rsidRPr="00AE18BA" w:rsidTr="00D02A96">
        <w:trPr>
          <w:trHeight w:val="288"/>
        </w:trPr>
        <w:tc>
          <w:tcPr>
            <w:tcW w:w="3682" w:type="dxa"/>
            <w:noWrap/>
            <w:vAlign w:val="bottom"/>
            <w:hideMark/>
          </w:tcPr>
          <w:p w:rsidR="00AE18BA" w:rsidRPr="00AE18BA" w:rsidRDefault="00AE18BA" w:rsidP="00AE18BA">
            <w:pPr>
              <w:pStyle w:val="MText"/>
              <w:rPr>
                <w:color w:val="auto"/>
                <w:szCs w:val="24"/>
                <w:lang w:val="en-US"/>
              </w:rPr>
            </w:pPr>
          </w:p>
        </w:tc>
        <w:tc>
          <w:tcPr>
            <w:tcW w:w="126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194</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36</w:t>
            </w:r>
          </w:p>
        </w:tc>
        <w:tc>
          <w:tcPr>
            <w:tcW w:w="1205"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18.60%</w:t>
            </w:r>
          </w:p>
        </w:tc>
        <w:tc>
          <w:tcPr>
            <w:tcW w:w="940"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95</w:t>
            </w:r>
          </w:p>
        </w:tc>
        <w:tc>
          <w:tcPr>
            <w:tcW w:w="1006"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49.00%</w:t>
            </w:r>
          </w:p>
        </w:tc>
        <w:tc>
          <w:tcPr>
            <w:tcW w:w="907" w:type="dxa"/>
            <w:noWrap/>
            <w:vAlign w:val="center"/>
            <w:hideMark/>
          </w:tcPr>
          <w:p w:rsidR="00AE18BA" w:rsidRPr="00AE18BA" w:rsidRDefault="00AE18BA" w:rsidP="00AE18BA">
            <w:pPr>
              <w:pStyle w:val="MText"/>
              <w:rPr>
                <w:color w:val="auto"/>
                <w:szCs w:val="24"/>
                <w:lang w:val="en-US"/>
              </w:rPr>
            </w:pPr>
            <w:r w:rsidRPr="00AE18BA">
              <w:rPr>
                <w:color w:val="auto"/>
                <w:szCs w:val="24"/>
                <w:lang w:val="en-US"/>
              </w:rPr>
              <w:t>131</w:t>
            </w:r>
          </w:p>
        </w:tc>
        <w:tc>
          <w:tcPr>
            <w:tcW w:w="1006" w:type="dxa"/>
            <w:noWrap/>
            <w:vAlign w:val="center"/>
            <w:hideMark/>
          </w:tcPr>
          <w:p w:rsidR="00AE18BA" w:rsidRPr="00AE18BA" w:rsidRDefault="00AE18BA" w:rsidP="00AE18BA">
            <w:pPr>
              <w:pStyle w:val="MText"/>
              <w:rPr>
                <w:b/>
                <w:bCs/>
                <w:color w:val="auto"/>
                <w:szCs w:val="24"/>
                <w:lang w:val="en-US"/>
              </w:rPr>
            </w:pPr>
            <w:r w:rsidRPr="00AE18BA">
              <w:rPr>
                <w:b/>
                <w:bCs/>
                <w:color w:val="auto"/>
                <w:szCs w:val="24"/>
                <w:lang w:val="en-US"/>
              </w:rPr>
              <w:t>67.50%</w:t>
            </w:r>
          </w:p>
        </w:tc>
      </w:tr>
    </w:tbl>
    <w:p w:rsidR="00AE18BA" w:rsidRPr="00AE18BA" w:rsidRDefault="00AE18BA" w:rsidP="00AE18BA">
      <w:pPr>
        <w:pStyle w:val="MText"/>
        <w:rPr>
          <w:color w:val="auto"/>
          <w:szCs w:val="24"/>
        </w:rPr>
      </w:pPr>
    </w:p>
    <w:p w:rsidR="00AE18BA" w:rsidRPr="00E4369C" w:rsidRDefault="00E4369C" w:rsidP="00E4369C">
      <w:pPr>
        <w:rPr>
          <w:rFonts w:eastAsia="Times New Roman" w:cs="Times New Roman"/>
          <w:lang w:eastAsia="en-GB"/>
        </w:rPr>
      </w:pPr>
      <w:r w:rsidRPr="00E4369C">
        <w:t xml:space="preserve">Общая доступность </w:t>
      </w:r>
      <w:proofErr w:type="gramStart"/>
      <w:r w:rsidRPr="00E4369C">
        <w:t>данных</w:t>
      </w:r>
      <w:r>
        <w:t xml:space="preserve">  -</w:t>
      </w:r>
      <w:proofErr w:type="gramEnd"/>
      <w:r w:rsidRPr="00E4369C">
        <w:t xml:space="preserve"> не менее 50% всех государств-членов ВОЗ во всех регионах M49, за исключением регионов Океании (7,1%). Для получения дополнительной информации см. отчет ВОЗ и Всемирного банка за 2017 г. об отслеживании всеобщего здоровья; </w:t>
      </w:r>
      <w:proofErr w:type="spellStart"/>
      <w:r w:rsidRPr="00E4369C">
        <w:t>Вагстафф</w:t>
      </w:r>
      <w:proofErr w:type="spellEnd"/>
      <w:r w:rsidRPr="00E4369C">
        <w:t xml:space="preserve"> и др. 2018.</w:t>
      </w:r>
      <w:r w:rsidR="00AE18BA" w:rsidRPr="00E4369C">
        <w:rPr>
          <w:rFonts w:eastAsia="Times New Roman" w:cs="Times New Roman"/>
          <w:lang w:eastAsia="en-GB"/>
        </w:rPr>
        <w:t xml:space="preserve">; </w:t>
      </w:r>
      <w:proofErr w:type="spellStart"/>
      <w:proofErr w:type="gramStart"/>
      <w:r w:rsidR="00AE18BA" w:rsidRPr="00AE18BA">
        <w:rPr>
          <w:rFonts w:eastAsia="Times New Roman" w:cs="Times New Roman"/>
          <w:lang w:val="en-GB" w:eastAsia="en-GB"/>
        </w:rPr>
        <w:t>Wagstaff</w:t>
      </w:r>
      <w:proofErr w:type="spellEnd"/>
      <w:r w:rsidR="00AE18BA" w:rsidRPr="00E4369C">
        <w:rPr>
          <w:rFonts w:eastAsia="Times New Roman" w:cs="Times New Roman"/>
          <w:lang w:eastAsia="en-GB"/>
        </w:rPr>
        <w:t xml:space="preserve">  </w:t>
      </w:r>
      <w:r w:rsidR="00AE18BA" w:rsidRPr="00AE18BA">
        <w:rPr>
          <w:rFonts w:eastAsia="Times New Roman" w:cs="Times New Roman"/>
          <w:lang w:val="en-GB" w:eastAsia="en-GB"/>
        </w:rPr>
        <w:t>et</w:t>
      </w:r>
      <w:proofErr w:type="gramEnd"/>
      <w:r w:rsidR="00AE18BA" w:rsidRPr="00E4369C">
        <w:rPr>
          <w:rFonts w:eastAsia="Times New Roman" w:cs="Times New Roman"/>
          <w:lang w:eastAsia="en-GB"/>
        </w:rPr>
        <w:t xml:space="preserve"> </w:t>
      </w:r>
      <w:r w:rsidR="00AE18BA" w:rsidRPr="00AE18BA">
        <w:rPr>
          <w:rFonts w:eastAsia="Times New Roman" w:cs="Times New Roman"/>
          <w:lang w:val="en-GB" w:eastAsia="en-GB"/>
        </w:rPr>
        <w:t>al</w:t>
      </w:r>
      <w:r w:rsidR="00AE18BA" w:rsidRPr="00E4369C">
        <w:rPr>
          <w:rFonts w:eastAsia="Times New Roman" w:cs="Times New Roman"/>
          <w:lang w:eastAsia="en-GB"/>
        </w:rPr>
        <w:t xml:space="preserve"> 2018.</w:t>
      </w:r>
    </w:p>
    <w:p w:rsidR="00E4369C" w:rsidRPr="00E4369C" w:rsidRDefault="00E4369C" w:rsidP="00E4369C">
      <w:pPr>
        <w:pStyle w:val="MText"/>
        <w:rPr>
          <w:color w:val="auto"/>
          <w:sz w:val="24"/>
          <w:szCs w:val="24"/>
          <w:lang w:val="ru-RU"/>
        </w:rPr>
      </w:pPr>
      <w:r w:rsidRPr="00E4369C">
        <w:rPr>
          <w:color w:val="auto"/>
          <w:sz w:val="24"/>
          <w:szCs w:val="24"/>
          <w:lang w:val="ru-RU"/>
        </w:rPr>
        <w:t>Временные ряды:</w:t>
      </w:r>
    </w:p>
    <w:p w:rsidR="00AE18BA" w:rsidRDefault="00E4369C" w:rsidP="00E4369C">
      <w:pPr>
        <w:pStyle w:val="MText"/>
        <w:rPr>
          <w:color w:val="auto"/>
          <w:sz w:val="24"/>
          <w:szCs w:val="24"/>
          <w:lang w:val="ru-RU"/>
        </w:rPr>
      </w:pPr>
      <w:r w:rsidRPr="00E4369C">
        <w:rPr>
          <w:color w:val="auto"/>
          <w:sz w:val="24"/>
          <w:szCs w:val="24"/>
          <w:lang w:val="ru-RU"/>
        </w:rPr>
        <w:t xml:space="preserve">Частота таких данных аналогична частоте данных, используемых </w:t>
      </w:r>
      <w:r w:rsidR="00D02A96">
        <w:rPr>
          <w:color w:val="auto"/>
          <w:sz w:val="24"/>
          <w:szCs w:val="24"/>
          <w:lang w:val="ru-RU"/>
        </w:rPr>
        <w:t>для расчета показателя ЦУР 1.1.1</w:t>
      </w:r>
      <w:r w:rsidRPr="00E4369C">
        <w:rPr>
          <w:color w:val="auto"/>
          <w:sz w:val="24"/>
          <w:szCs w:val="24"/>
          <w:lang w:val="ru-RU"/>
        </w:rPr>
        <w:t>. Он</w:t>
      </w:r>
      <w:r>
        <w:rPr>
          <w:color w:val="auto"/>
          <w:sz w:val="24"/>
          <w:szCs w:val="24"/>
          <w:lang w:val="ru-RU"/>
        </w:rPr>
        <w:t>а</w:t>
      </w:r>
      <w:r w:rsidRPr="00E4369C">
        <w:rPr>
          <w:color w:val="auto"/>
          <w:sz w:val="24"/>
          <w:szCs w:val="24"/>
          <w:lang w:val="ru-RU"/>
        </w:rPr>
        <w:t xml:space="preserve"> варьируется в зависимости от страны, но в среднем колеблется</w:t>
      </w:r>
      <w:r>
        <w:rPr>
          <w:color w:val="auto"/>
          <w:sz w:val="24"/>
          <w:szCs w:val="24"/>
          <w:lang w:val="ru-RU"/>
        </w:rPr>
        <w:t xml:space="preserve"> от</w:t>
      </w:r>
      <w:r w:rsidRPr="00E4369C">
        <w:rPr>
          <w:color w:val="auto"/>
          <w:sz w:val="24"/>
          <w:szCs w:val="24"/>
          <w:lang w:val="ru-RU"/>
        </w:rPr>
        <w:t xml:space="preserve"> </w:t>
      </w:r>
      <w:r>
        <w:rPr>
          <w:color w:val="auto"/>
          <w:sz w:val="24"/>
          <w:szCs w:val="24"/>
          <w:lang w:val="ru-RU"/>
        </w:rPr>
        <w:t xml:space="preserve">ежегодного предоставления до 1 раза в </w:t>
      </w:r>
      <w:r w:rsidRPr="00E4369C">
        <w:rPr>
          <w:color w:val="auto"/>
          <w:sz w:val="24"/>
          <w:szCs w:val="24"/>
          <w:lang w:val="ru-RU"/>
        </w:rPr>
        <w:t>3-5 лет.</w:t>
      </w:r>
    </w:p>
    <w:p w:rsidR="00E4369C" w:rsidRPr="00E4369C" w:rsidRDefault="00E4369C" w:rsidP="00E4369C">
      <w:pPr>
        <w:pStyle w:val="MText"/>
        <w:rPr>
          <w:color w:val="auto"/>
          <w:sz w:val="24"/>
          <w:szCs w:val="24"/>
          <w:lang w:val="ru-RU"/>
        </w:rPr>
      </w:pPr>
    </w:p>
    <w:p w:rsidR="0075371E" w:rsidRDefault="00D82647" w:rsidP="0075371E">
      <w:pPr>
        <w:pStyle w:val="MText"/>
        <w:rPr>
          <w:color w:val="auto"/>
          <w:sz w:val="24"/>
          <w:szCs w:val="24"/>
          <w:lang w:val="ru-RU"/>
        </w:rPr>
      </w:pPr>
      <w:proofErr w:type="spellStart"/>
      <w:r>
        <w:rPr>
          <w:color w:val="auto"/>
          <w:sz w:val="24"/>
          <w:szCs w:val="24"/>
          <w:lang w:val="ru-RU"/>
        </w:rPr>
        <w:t>Д</w:t>
      </w:r>
      <w:r w:rsidRPr="00D82647">
        <w:rPr>
          <w:color w:val="auto"/>
          <w:sz w:val="24"/>
          <w:szCs w:val="24"/>
          <w:lang w:val="ru-RU"/>
        </w:rPr>
        <w:t>езагрегация</w:t>
      </w:r>
      <w:proofErr w:type="spellEnd"/>
      <w:r w:rsidR="0075371E" w:rsidRPr="00BD29EC">
        <w:rPr>
          <w:color w:val="auto"/>
          <w:sz w:val="24"/>
          <w:szCs w:val="24"/>
          <w:lang w:val="ru-RU"/>
        </w:rPr>
        <w:t>:</w:t>
      </w:r>
    </w:p>
    <w:p w:rsidR="00D82647" w:rsidRPr="00D82647" w:rsidRDefault="00D82647" w:rsidP="00D82647">
      <w:pPr>
        <w:pStyle w:val="MText"/>
        <w:rPr>
          <w:color w:val="auto"/>
          <w:sz w:val="24"/>
          <w:szCs w:val="24"/>
          <w:lang w:val="ru-RU"/>
        </w:rPr>
      </w:pPr>
      <w:r w:rsidRPr="00D82647">
        <w:rPr>
          <w:color w:val="auto"/>
          <w:sz w:val="24"/>
          <w:szCs w:val="24"/>
          <w:lang w:val="ru-RU"/>
        </w:rPr>
        <w:t xml:space="preserve">Возможна следующая </w:t>
      </w:r>
      <w:proofErr w:type="spellStart"/>
      <w:r w:rsidRPr="00D82647">
        <w:rPr>
          <w:color w:val="auto"/>
          <w:sz w:val="24"/>
          <w:szCs w:val="24"/>
          <w:lang w:val="ru-RU"/>
        </w:rPr>
        <w:t>дезагрегация</w:t>
      </w:r>
      <w:proofErr w:type="spellEnd"/>
      <w:r w:rsidRPr="00D82647">
        <w:rPr>
          <w:color w:val="auto"/>
          <w:sz w:val="24"/>
          <w:szCs w:val="24"/>
          <w:lang w:val="ru-RU"/>
        </w:rPr>
        <w:t>, поскольку обследование было разработано для получения репрезентативных оценок на таком уровне:</w:t>
      </w:r>
    </w:p>
    <w:p w:rsidR="00D82647" w:rsidRPr="00D82647" w:rsidRDefault="00D82647" w:rsidP="00D82647">
      <w:pPr>
        <w:pStyle w:val="MText"/>
        <w:rPr>
          <w:color w:val="auto"/>
          <w:sz w:val="24"/>
          <w:szCs w:val="24"/>
          <w:lang w:val="ru-RU"/>
        </w:rPr>
      </w:pPr>
      <w:r w:rsidRPr="00D82647">
        <w:rPr>
          <w:color w:val="auto"/>
          <w:sz w:val="24"/>
          <w:szCs w:val="24"/>
          <w:lang w:val="ru-RU"/>
        </w:rPr>
        <w:t>• Пол и возраст главы домохозяйства</w:t>
      </w:r>
    </w:p>
    <w:p w:rsidR="00D82647" w:rsidRPr="00D82647" w:rsidRDefault="00D82647" w:rsidP="00D82647">
      <w:pPr>
        <w:pStyle w:val="MText"/>
        <w:rPr>
          <w:color w:val="auto"/>
          <w:sz w:val="24"/>
          <w:szCs w:val="24"/>
          <w:lang w:val="ru-RU"/>
        </w:rPr>
      </w:pPr>
      <w:r w:rsidRPr="00D82647">
        <w:rPr>
          <w:color w:val="auto"/>
          <w:sz w:val="24"/>
          <w:szCs w:val="24"/>
          <w:lang w:val="ru-RU"/>
        </w:rPr>
        <w:t>• Ге</w:t>
      </w:r>
      <w:r w:rsidR="00D02A96">
        <w:rPr>
          <w:color w:val="auto"/>
          <w:sz w:val="24"/>
          <w:szCs w:val="24"/>
          <w:lang w:val="ru-RU"/>
        </w:rPr>
        <w:t>ографическое положение (сельская/городская местность</w:t>
      </w:r>
      <w:r w:rsidRPr="00D82647">
        <w:rPr>
          <w:color w:val="auto"/>
          <w:sz w:val="24"/>
          <w:szCs w:val="24"/>
          <w:lang w:val="ru-RU"/>
        </w:rPr>
        <w:t>)</w:t>
      </w:r>
    </w:p>
    <w:p w:rsidR="00D82647" w:rsidRDefault="00D82647" w:rsidP="00D82647">
      <w:pPr>
        <w:pStyle w:val="MText"/>
        <w:rPr>
          <w:color w:val="auto"/>
          <w:sz w:val="24"/>
          <w:szCs w:val="24"/>
          <w:lang w:val="ru-RU"/>
        </w:rPr>
      </w:pPr>
      <w:r>
        <w:rPr>
          <w:color w:val="auto"/>
          <w:sz w:val="24"/>
          <w:szCs w:val="24"/>
          <w:lang w:val="ru-RU"/>
        </w:rPr>
        <w:t xml:space="preserve">• </w:t>
      </w:r>
      <w:proofErr w:type="spellStart"/>
      <w:r w:rsidRPr="00D82647">
        <w:rPr>
          <w:color w:val="auto"/>
          <w:sz w:val="24"/>
          <w:szCs w:val="24"/>
          <w:lang w:val="ru-RU"/>
        </w:rPr>
        <w:t>Квинтиль</w:t>
      </w:r>
      <w:proofErr w:type="spellEnd"/>
      <w:r w:rsidRPr="00D82647">
        <w:rPr>
          <w:color w:val="auto"/>
          <w:sz w:val="24"/>
          <w:szCs w:val="24"/>
          <w:lang w:val="ru-RU"/>
        </w:rPr>
        <w:t xml:space="preserve"> показателей благосостояния домохозяйства (общие расходы или доход домохозяйства). См. комментарии и ограничения относительно чувствительности </w:t>
      </w:r>
      <w:proofErr w:type="spellStart"/>
      <w:r w:rsidRPr="00D82647">
        <w:rPr>
          <w:color w:val="auto"/>
          <w:sz w:val="24"/>
          <w:szCs w:val="24"/>
          <w:lang w:val="ru-RU"/>
        </w:rPr>
        <w:t>дезагрегации</w:t>
      </w:r>
      <w:proofErr w:type="spellEnd"/>
      <w:r w:rsidRPr="00D82647">
        <w:rPr>
          <w:color w:val="auto"/>
          <w:sz w:val="24"/>
          <w:szCs w:val="24"/>
          <w:lang w:val="ru-RU"/>
        </w:rPr>
        <w:t xml:space="preserve"> к выбору показателя благосостояния.</w:t>
      </w:r>
    </w:p>
    <w:p w:rsidR="00E4369C" w:rsidRDefault="00E4369C" w:rsidP="00D82647"/>
    <w:p w:rsidR="002E15F9"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6. </w:t>
      </w:r>
      <w:r w:rsidR="0075371E" w:rsidRPr="00BD29EC">
        <w:rPr>
          <w:b/>
          <w:color w:val="auto"/>
          <w:sz w:val="24"/>
          <w:szCs w:val="24"/>
          <w:lang w:val="ru-RU"/>
        </w:rPr>
        <w:t>Сопоставимость / отклонение от международных стандартов</w:t>
      </w:r>
    </w:p>
    <w:p w:rsidR="00D82647" w:rsidRPr="00D82647" w:rsidRDefault="00D82647" w:rsidP="00D82647">
      <w:r w:rsidRPr="00D82647">
        <w:t>Источники расхождений:</w:t>
      </w:r>
    </w:p>
    <w:p w:rsidR="00D82647" w:rsidRPr="00D82647" w:rsidRDefault="00D82647" w:rsidP="00D82647">
      <w:r w:rsidRPr="00D82647">
        <w:t xml:space="preserve">Все оценки на </w:t>
      </w:r>
      <w:proofErr w:type="spellStart"/>
      <w:r w:rsidRPr="00D82647">
        <w:t>страновом</w:t>
      </w:r>
      <w:proofErr w:type="spellEnd"/>
      <w:r w:rsidRPr="00D82647">
        <w:t xml:space="preserve"> уровне основаны на общенациональных репрезентативных обследованиях с информацией как об общих расходах или доходах домохозяйств, так и о расходах домохозяйств на здравоохранение (см. источники данных). В большинстве случаев такие данные поступают из нестандартных обследований домохозяйств, и процессы стандартизации </w:t>
      </w:r>
      <w:proofErr w:type="spellStart"/>
      <w:r w:rsidRPr="00D82647">
        <w:t>ex-post</w:t>
      </w:r>
      <w:proofErr w:type="spellEnd"/>
      <w:r w:rsidRPr="00D82647">
        <w:t xml:space="preserve"> могут быть разработаны для повышения степени сопоставимости между странами. Например, региональные группы Всемирного банка производят стандартизированные версии исходных наборов данных в соответствии с общими региональными процедурами: гармонизированные наборы данных ECAPOV основаны на наборах данных Исследования уровня жизни – LSMS</w:t>
      </w:r>
      <w:r>
        <w:rPr>
          <w:rStyle w:val="a6"/>
        </w:rPr>
        <w:footnoteReference w:id="14"/>
      </w:r>
      <w:r w:rsidRPr="00D82647">
        <w:t xml:space="preserve"> или обследований бюджетов домохозяйств (ОБДХ), собранных в странах Европы и Це</w:t>
      </w:r>
      <w:r>
        <w:t>нтральной Азии Всемирного банка</w:t>
      </w:r>
      <w:r w:rsidRPr="00D82647">
        <w:t>; коллекция SHIP является результатом программы бедности по гармонизированным обследованиям домохозяйств в африканском регионе Всемирного банка, а коллекция SHES была разработана Всемирным банком для программы международных сопоставлений</w:t>
      </w:r>
      <w:r>
        <w:rPr>
          <w:rStyle w:val="a6"/>
        </w:rPr>
        <w:footnoteReference w:id="15"/>
      </w:r>
      <w:r w:rsidRPr="00D82647">
        <w:t>. Наборы данных Люксембургского исследования доходов (LIS) являются результатом усилий по согласованию наборов данных из многих стран с вы</w:t>
      </w:r>
      <w:r>
        <w:t>соким и средним уровнем дохода</w:t>
      </w:r>
      <w:r>
        <w:rPr>
          <w:rStyle w:val="a6"/>
        </w:rPr>
        <w:footnoteReference w:id="16"/>
      </w:r>
      <w:r>
        <w:t>.</w:t>
      </w:r>
    </w:p>
    <w:p w:rsidR="00D82647" w:rsidRPr="00BD29EC" w:rsidRDefault="00D82647" w:rsidP="00D82647">
      <w:r w:rsidRPr="00D82647">
        <w:t xml:space="preserve">В некоторых случаях исходные данные доступны для получения оценок на уровне страны. В некоторых странах в дополнение к необработанным данным доступна стандартизированная версия, а в других странах доступна только стандартизированная версия. При наличии нескольких версий одного и того же </w:t>
      </w:r>
      <w:r w:rsidR="00311FC6">
        <w:t>обследования</w:t>
      </w:r>
      <w:r w:rsidRPr="00D82647">
        <w:t xml:space="preserve"> сохраняется лучшая с точки зрения серии тестов обеспечения качества (см. </w:t>
      </w:r>
      <w:r>
        <w:t>метод</w:t>
      </w:r>
      <w:r w:rsidRPr="00D82647">
        <w:t xml:space="preserve"> сбора). При выборе стандартизированной версии разработанных на национальном уровне инструментов обследования возникают различия между переменными расходов, полученными с использованием исходных данных, и переменными расходов, полученными с использованием процедур гармонизации, что может привести к различным оценкам заболеваемости населения с </w:t>
      </w:r>
      <w:r w:rsidRPr="00D82647">
        <w:t>большим удельным весом семейных расходов на медицинскую помощь в общем объеме расходов или доходов домохозяйств</w:t>
      </w:r>
      <w:r w:rsidRPr="00D82647">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667462">
        <w:rPr>
          <w:rFonts w:eastAsia="Times New Roman" w:cs="Times New Roman"/>
          <w:b/>
          <w:szCs w:val="24"/>
          <w:lang w:eastAsia="en-GB"/>
        </w:rPr>
        <w:t xml:space="preserve">7. </w:t>
      </w:r>
      <w:r>
        <w:rPr>
          <w:rFonts w:eastAsia="Times New Roman" w:cs="Times New Roman"/>
          <w:b/>
          <w:szCs w:val="24"/>
          <w:lang w:eastAsia="en-GB"/>
        </w:rPr>
        <w:t>Ссылки</w:t>
      </w:r>
      <w:r w:rsidRPr="00667462">
        <w:rPr>
          <w:rFonts w:eastAsia="Times New Roman" w:cs="Times New Roman"/>
          <w:b/>
          <w:szCs w:val="24"/>
          <w:lang w:eastAsia="en-GB"/>
        </w:rPr>
        <w:t xml:space="preserve"> </w:t>
      </w:r>
      <w:r>
        <w:rPr>
          <w:rFonts w:eastAsia="Times New Roman" w:cs="Times New Roman"/>
          <w:b/>
          <w:szCs w:val="24"/>
          <w:lang w:eastAsia="en-GB"/>
        </w:rPr>
        <w:t>и</w:t>
      </w:r>
      <w:r w:rsidRPr="00667462">
        <w:rPr>
          <w:rFonts w:eastAsia="Times New Roman" w:cs="Times New Roman"/>
          <w:b/>
          <w:szCs w:val="24"/>
          <w:lang w:eastAsia="en-GB"/>
        </w:rPr>
        <w:t xml:space="preserve"> </w:t>
      </w:r>
      <w:r>
        <w:rPr>
          <w:rFonts w:eastAsia="Times New Roman" w:cs="Times New Roman"/>
          <w:b/>
          <w:szCs w:val="24"/>
          <w:lang w:eastAsia="en-GB"/>
        </w:rPr>
        <w:t>документы</w:t>
      </w:r>
    </w:p>
    <w:p w:rsidR="00D82647" w:rsidRPr="00D82647" w:rsidRDefault="00D82647" w:rsidP="00D82647">
      <w:pPr>
        <w:shd w:val="clear" w:color="auto" w:fill="FFFFFF"/>
        <w:spacing w:after="0"/>
        <w:rPr>
          <w:rFonts w:eastAsia="Times New Roman" w:cstheme="minorHAnsi"/>
          <w:b/>
          <w:bCs/>
          <w:szCs w:val="24"/>
          <w:u w:val="single"/>
          <w:lang w:eastAsia="en-GB"/>
        </w:rPr>
      </w:pPr>
      <w:r w:rsidRPr="00D82647">
        <w:rPr>
          <w:rFonts w:eastAsia="Times New Roman" w:cstheme="minorHAnsi"/>
          <w:b/>
          <w:bCs/>
          <w:szCs w:val="24"/>
          <w:lang w:val="en-US" w:eastAsia="en-GB"/>
        </w:rPr>
        <w:t>URL</w:t>
      </w:r>
      <w:r w:rsidRPr="00D82647">
        <w:rPr>
          <w:rFonts w:eastAsia="Times New Roman" w:cstheme="minorHAnsi"/>
          <w:b/>
          <w:bCs/>
          <w:szCs w:val="24"/>
          <w:lang w:eastAsia="en-GB"/>
        </w:rPr>
        <w:t>:</w:t>
      </w:r>
      <w:r w:rsidRPr="00D82647">
        <w:rPr>
          <w:rFonts w:eastAsia="SimSun" w:cstheme="minorHAnsi"/>
          <w:szCs w:val="24"/>
        </w:rPr>
        <w:t xml:space="preserve"> </w:t>
      </w:r>
      <w:hyperlink r:id="rId9" w:history="1">
        <w:r w:rsidRPr="00D82647">
          <w:rPr>
            <w:rFonts w:eastAsia="SimSun" w:cstheme="minorHAnsi"/>
            <w:szCs w:val="24"/>
            <w:u w:val="single"/>
            <w:lang w:val="en-US"/>
          </w:rPr>
          <w:t>http</w:t>
        </w:r>
        <w:r w:rsidRPr="00D82647">
          <w:rPr>
            <w:rFonts w:eastAsia="SimSun" w:cstheme="minorHAnsi"/>
            <w:szCs w:val="24"/>
            <w:u w:val="single"/>
          </w:rPr>
          <w:t>://</w:t>
        </w:r>
        <w:r w:rsidRPr="00D82647">
          <w:rPr>
            <w:rFonts w:eastAsia="SimSun" w:cstheme="minorHAnsi"/>
            <w:szCs w:val="24"/>
            <w:u w:val="single"/>
            <w:lang w:val="en-US"/>
          </w:rPr>
          <w:t>apps</w:t>
        </w:r>
        <w:r w:rsidRPr="00D82647">
          <w:rPr>
            <w:rFonts w:eastAsia="SimSun" w:cstheme="minorHAnsi"/>
            <w:szCs w:val="24"/>
            <w:u w:val="single"/>
          </w:rPr>
          <w:t>.</w:t>
        </w:r>
        <w:r w:rsidRPr="00D82647">
          <w:rPr>
            <w:rFonts w:eastAsia="SimSun" w:cstheme="minorHAnsi"/>
            <w:szCs w:val="24"/>
            <w:u w:val="single"/>
            <w:lang w:val="en-US"/>
          </w:rPr>
          <w:t>who</w:t>
        </w:r>
        <w:r w:rsidRPr="00D82647">
          <w:rPr>
            <w:rFonts w:eastAsia="SimSun" w:cstheme="minorHAnsi"/>
            <w:szCs w:val="24"/>
            <w:u w:val="single"/>
          </w:rPr>
          <w:t>.</w:t>
        </w:r>
        <w:r w:rsidRPr="00D82647">
          <w:rPr>
            <w:rFonts w:eastAsia="SimSun" w:cstheme="minorHAnsi"/>
            <w:szCs w:val="24"/>
            <w:u w:val="single"/>
            <w:lang w:val="en-US"/>
          </w:rPr>
          <w:t>int</w:t>
        </w:r>
        <w:r w:rsidRPr="00D82647">
          <w:rPr>
            <w:rFonts w:eastAsia="SimSun" w:cstheme="minorHAnsi"/>
            <w:szCs w:val="24"/>
            <w:u w:val="single"/>
          </w:rPr>
          <w:t>/</w:t>
        </w:r>
        <w:r w:rsidRPr="00D82647">
          <w:rPr>
            <w:rFonts w:eastAsia="SimSun" w:cstheme="minorHAnsi"/>
            <w:szCs w:val="24"/>
            <w:u w:val="single"/>
            <w:lang w:val="en-US"/>
          </w:rPr>
          <w:t>gho</w:t>
        </w:r>
        <w:r w:rsidRPr="00D82647">
          <w:rPr>
            <w:rFonts w:eastAsia="SimSun" w:cstheme="minorHAnsi"/>
            <w:szCs w:val="24"/>
            <w:u w:val="single"/>
          </w:rPr>
          <w:t>/</w:t>
        </w:r>
        <w:r w:rsidRPr="00D82647">
          <w:rPr>
            <w:rFonts w:eastAsia="SimSun" w:cstheme="minorHAnsi"/>
            <w:szCs w:val="24"/>
            <w:u w:val="single"/>
            <w:lang w:val="en-US"/>
          </w:rPr>
          <w:t>cabinet</w:t>
        </w:r>
        <w:r w:rsidRPr="00D82647">
          <w:rPr>
            <w:rFonts w:eastAsia="SimSun" w:cstheme="minorHAnsi"/>
            <w:szCs w:val="24"/>
            <w:u w:val="single"/>
          </w:rPr>
          <w:t>/</w:t>
        </w:r>
        <w:r w:rsidRPr="00D82647">
          <w:rPr>
            <w:rFonts w:eastAsia="SimSun" w:cstheme="minorHAnsi"/>
            <w:szCs w:val="24"/>
            <w:u w:val="single"/>
            <w:lang w:val="en-US"/>
          </w:rPr>
          <w:t>uhc</w:t>
        </w:r>
        <w:r w:rsidRPr="00D82647">
          <w:rPr>
            <w:rFonts w:eastAsia="SimSun" w:cstheme="minorHAnsi"/>
            <w:szCs w:val="24"/>
            <w:u w:val="single"/>
          </w:rPr>
          <w:t>.</w:t>
        </w:r>
        <w:r w:rsidRPr="00D82647">
          <w:rPr>
            <w:rFonts w:eastAsia="SimSun" w:cstheme="minorHAnsi"/>
            <w:szCs w:val="24"/>
            <w:u w:val="single"/>
            <w:lang w:val="en-US"/>
          </w:rPr>
          <w:t>jsp</w:t>
        </w:r>
      </w:hyperlink>
      <w:r w:rsidRPr="00D82647">
        <w:rPr>
          <w:rFonts w:eastAsia="SimSun" w:cstheme="minorHAnsi"/>
          <w:szCs w:val="24"/>
        </w:rPr>
        <w:t xml:space="preserve">;  </w:t>
      </w:r>
      <w:hyperlink r:id="rId10" w:history="1">
        <w:r w:rsidRPr="00D82647">
          <w:rPr>
            <w:rFonts w:eastAsia="SimSun" w:cstheme="minorHAnsi"/>
            <w:szCs w:val="24"/>
            <w:u w:val="single"/>
            <w:lang w:val="en-US"/>
          </w:rPr>
          <w:t>http</w:t>
        </w:r>
        <w:r w:rsidRPr="00D82647">
          <w:rPr>
            <w:rFonts w:eastAsia="SimSun" w:cstheme="minorHAnsi"/>
            <w:szCs w:val="24"/>
            <w:u w:val="single"/>
          </w:rPr>
          <w:t>://</w:t>
        </w:r>
        <w:r w:rsidRPr="00D82647">
          <w:rPr>
            <w:rFonts w:eastAsia="SimSun" w:cstheme="minorHAnsi"/>
            <w:szCs w:val="24"/>
            <w:u w:val="single"/>
            <w:lang w:val="en-US"/>
          </w:rPr>
          <w:t>datatopics</w:t>
        </w:r>
        <w:r w:rsidRPr="00D82647">
          <w:rPr>
            <w:rFonts w:eastAsia="SimSun" w:cstheme="minorHAnsi"/>
            <w:szCs w:val="24"/>
            <w:u w:val="single"/>
          </w:rPr>
          <w:t>.</w:t>
        </w:r>
        <w:r w:rsidRPr="00D82647">
          <w:rPr>
            <w:rFonts w:eastAsia="SimSun" w:cstheme="minorHAnsi"/>
            <w:szCs w:val="24"/>
            <w:u w:val="single"/>
            <w:lang w:val="en-US"/>
          </w:rPr>
          <w:t>worldbank</w:t>
        </w:r>
        <w:r w:rsidRPr="00D82647">
          <w:rPr>
            <w:rFonts w:eastAsia="SimSun" w:cstheme="minorHAnsi"/>
            <w:szCs w:val="24"/>
            <w:u w:val="single"/>
          </w:rPr>
          <w:t>.</w:t>
        </w:r>
        <w:r w:rsidRPr="00D82647">
          <w:rPr>
            <w:rFonts w:eastAsia="SimSun" w:cstheme="minorHAnsi"/>
            <w:szCs w:val="24"/>
            <w:u w:val="single"/>
            <w:lang w:val="en-US"/>
          </w:rPr>
          <w:t>org</w:t>
        </w:r>
        <w:r w:rsidRPr="00D82647">
          <w:rPr>
            <w:rFonts w:eastAsia="SimSun" w:cstheme="minorHAnsi"/>
            <w:szCs w:val="24"/>
            <w:u w:val="single"/>
          </w:rPr>
          <w:t>/</w:t>
        </w:r>
        <w:r w:rsidRPr="00D82647">
          <w:rPr>
            <w:rFonts w:eastAsia="SimSun" w:cstheme="minorHAnsi"/>
            <w:szCs w:val="24"/>
            <w:u w:val="single"/>
            <w:lang w:val="en-US"/>
          </w:rPr>
          <w:t>universal</w:t>
        </w:r>
        <w:r w:rsidRPr="00D82647">
          <w:rPr>
            <w:rFonts w:eastAsia="SimSun" w:cstheme="minorHAnsi"/>
            <w:szCs w:val="24"/>
            <w:u w:val="single"/>
          </w:rPr>
          <w:t>-</w:t>
        </w:r>
        <w:r w:rsidRPr="00D82647">
          <w:rPr>
            <w:rFonts w:eastAsia="SimSun" w:cstheme="minorHAnsi"/>
            <w:szCs w:val="24"/>
            <w:u w:val="single"/>
            <w:lang w:val="en-US"/>
          </w:rPr>
          <w:t>health</w:t>
        </w:r>
        <w:r w:rsidRPr="00D82647">
          <w:rPr>
            <w:rFonts w:eastAsia="SimSun" w:cstheme="minorHAnsi"/>
            <w:szCs w:val="24"/>
            <w:u w:val="single"/>
          </w:rPr>
          <w:t>-</w:t>
        </w:r>
        <w:r w:rsidRPr="00D82647">
          <w:rPr>
            <w:rFonts w:eastAsia="SimSun" w:cstheme="minorHAnsi"/>
            <w:szCs w:val="24"/>
            <w:u w:val="single"/>
            <w:lang w:val="en-US"/>
          </w:rPr>
          <w:t>coverage</w:t>
        </w:r>
        <w:r w:rsidRPr="00D82647">
          <w:rPr>
            <w:rFonts w:eastAsia="SimSun" w:cstheme="minorHAnsi"/>
            <w:szCs w:val="24"/>
            <w:u w:val="single"/>
          </w:rPr>
          <w:t>/</w:t>
        </w:r>
      </w:hyperlink>
      <w:r w:rsidRPr="00D82647">
        <w:rPr>
          <w:rFonts w:eastAsia="SimSun" w:cstheme="minorHAnsi"/>
          <w:szCs w:val="24"/>
        </w:rPr>
        <w:t xml:space="preserve"> </w:t>
      </w:r>
    </w:p>
    <w:p w:rsidR="00D82647" w:rsidRPr="00D82647" w:rsidRDefault="00D82647" w:rsidP="00D82647">
      <w:pPr>
        <w:shd w:val="clear" w:color="auto" w:fill="FFFFFF"/>
        <w:spacing w:after="0"/>
        <w:rPr>
          <w:rFonts w:eastAsia="Times New Roman" w:cstheme="minorHAnsi"/>
          <w:szCs w:val="24"/>
          <w:lang w:eastAsia="en-GB"/>
        </w:rPr>
      </w:pPr>
    </w:p>
    <w:p w:rsidR="00D82647" w:rsidRPr="00D82647" w:rsidRDefault="00D82647" w:rsidP="00D82647">
      <w:pPr>
        <w:shd w:val="clear" w:color="auto" w:fill="FFFFFF"/>
        <w:spacing w:after="0"/>
        <w:rPr>
          <w:rFonts w:eastAsia="Times New Roman" w:cstheme="minorHAnsi"/>
          <w:b/>
          <w:bCs/>
          <w:szCs w:val="24"/>
          <w:lang w:eastAsia="en-GB"/>
        </w:rPr>
      </w:pPr>
      <w:r>
        <w:rPr>
          <w:rFonts w:eastAsia="Times New Roman" w:cstheme="minorHAnsi"/>
          <w:b/>
          <w:bCs/>
          <w:szCs w:val="24"/>
          <w:lang w:eastAsia="en-GB"/>
        </w:rPr>
        <w:t>Использованные документы</w:t>
      </w:r>
      <w:r w:rsidRPr="00D82647">
        <w:rPr>
          <w:rFonts w:eastAsia="Times New Roman" w:cstheme="minorHAnsi"/>
          <w:b/>
          <w:bCs/>
          <w:szCs w:val="24"/>
          <w:lang w:eastAsia="en-GB"/>
        </w:rPr>
        <w:t>:</w:t>
      </w:r>
    </w:p>
    <w:p w:rsidR="00D82647" w:rsidRPr="00D82647" w:rsidRDefault="00D82647" w:rsidP="00D82647">
      <w:pPr>
        <w:numPr>
          <w:ilvl w:val="0"/>
          <w:numId w:val="9"/>
        </w:numPr>
        <w:shd w:val="clear" w:color="auto" w:fill="FFFFFF"/>
        <w:spacing w:after="0" w:line="240" w:lineRule="auto"/>
        <w:rPr>
          <w:rFonts w:eastAsia="Times New Roman" w:cstheme="minorHAnsi"/>
          <w:szCs w:val="24"/>
          <w:lang w:eastAsia="en-GB"/>
        </w:rPr>
      </w:pPr>
      <w:r w:rsidRPr="00D82647">
        <w:rPr>
          <w:rFonts w:eastAsia="Times New Roman" w:cstheme="minorHAnsi"/>
          <w:szCs w:val="24"/>
          <w:lang w:eastAsia="en-GB"/>
        </w:rPr>
        <w:t xml:space="preserve">Глава 2 о финансовой </w:t>
      </w:r>
      <w:r w:rsidR="00311FC6">
        <w:rPr>
          <w:rFonts w:eastAsia="Times New Roman" w:cstheme="minorHAnsi"/>
          <w:szCs w:val="24"/>
          <w:lang w:eastAsia="en-GB"/>
        </w:rPr>
        <w:t>защите,</w:t>
      </w:r>
      <w:r w:rsidRPr="00D82647">
        <w:rPr>
          <w:rFonts w:eastAsia="Times New Roman" w:cstheme="minorHAnsi"/>
          <w:szCs w:val="24"/>
          <w:lang w:eastAsia="en-GB"/>
        </w:rPr>
        <w:t xml:space="preserve"> «Отслеживание всеобщего охвата услугами здравоохранения: отчет о глобальном мониторинге 2017 г.», Всемирная организация </w:t>
      </w:r>
      <w:r w:rsidRPr="00D82647">
        <w:rPr>
          <w:rFonts w:eastAsia="Times New Roman" w:cstheme="minorHAnsi"/>
          <w:szCs w:val="24"/>
          <w:lang w:eastAsia="en-GB"/>
        </w:rPr>
        <w:lastRenderedPageBreak/>
        <w:t>здравоохранения и Международный банк реконструкции и развития/Всемирный банк.</w:t>
      </w:r>
      <w:r w:rsidRPr="00D82647">
        <w:rPr>
          <w:rFonts w:eastAsia="Times New Roman" w:cstheme="minorHAnsi"/>
          <w:szCs w:val="24"/>
          <w:lang w:eastAsia="en-GB"/>
        </w:rPr>
        <w:t xml:space="preserve">; 2017;   </w:t>
      </w:r>
    </w:p>
    <w:p w:rsidR="00D82647" w:rsidRPr="00D82647" w:rsidRDefault="00D82647" w:rsidP="00D82647">
      <w:pPr>
        <w:shd w:val="clear" w:color="auto" w:fill="FFFFFF"/>
        <w:ind w:left="720"/>
        <w:contextualSpacing/>
        <w:rPr>
          <w:rFonts w:eastAsia="SimSun" w:cstheme="minorHAnsi"/>
          <w:szCs w:val="24"/>
          <w:u w:val="single"/>
          <w:lang w:val="en-US"/>
        </w:rPr>
      </w:pPr>
      <w:hyperlink r:id="rId11" w:history="1">
        <w:r w:rsidRPr="00D82647">
          <w:rPr>
            <w:rFonts w:eastAsia="SimSun" w:cstheme="minorHAnsi"/>
            <w:szCs w:val="24"/>
            <w:u w:val="single"/>
            <w:lang w:val="en-US"/>
          </w:rPr>
          <w:t>http</w:t>
        </w:r>
        <w:r w:rsidRPr="00D82647">
          <w:rPr>
            <w:rFonts w:eastAsia="SimSun" w:cstheme="minorHAnsi"/>
            <w:szCs w:val="24"/>
            <w:u w:val="single"/>
          </w:rPr>
          <w:t>://</w:t>
        </w:r>
        <w:r w:rsidRPr="00D82647">
          <w:rPr>
            <w:rFonts w:eastAsia="SimSun" w:cstheme="minorHAnsi"/>
            <w:szCs w:val="24"/>
            <w:u w:val="single"/>
            <w:lang w:val="en-US"/>
          </w:rPr>
          <w:t>www</w:t>
        </w:r>
        <w:r w:rsidRPr="00D82647">
          <w:rPr>
            <w:rFonts w:eastAsia="SimSun" w:cstheme="minorHAnsi"/>
            <w:szCs w:val="24"/>
            <w:u w:val="single"/>
          </w:rPr>
          <w:t>.</w:t>
        </w:r>
        <w:r w:rsidRPr="00D82647">
          <w:rPr>
            <w:rFonts w:eastAsia="SimSun" w:cstheme="minorHAnsi"/>
            <w:szCs w:val="24"/>
            <w:u w:val="single"/>
            <w:lang w:val="en-US"/>
          </w:rPr>
          <w:t>who</w:t>
        </w:r>
        <w:r w:rsidRPr="00D82647">
          <w:rPr>
            <w:rFonts w:eastAsia="SimSun" w:cstheme="minorHAnsi"/>
            <w:szCs w:val="24"/>
            <w:u w:val="single"/>
          </w:rPr>
          <w:t>.</w:t>
        </w:r>
        <w:r w:rsidRPr="00D82647">
          <w:rPr>
            <w:rFonts w:eastAsia="SimSun" w:cstheme="minorHAnsi"/>
            <w:szCs w:val="24"/>
            <w:u w:val="single"/>
            <w:lang w:val="en-US"/>
          </w:rPr>
          <w:t>int</w:t>
        </w:r>
        <w:r w:rsidRPr="00D82647">
          <w:rPr>
            <w:rFonts w:eastAsia="SimSun" w:cstheme="minorHAnsi"/>
            <w:szCs w:val="24"/>
            <w:u w:val="single"/>
          </w:rPr>
          <w:t>/</w:t>
        </w:r>
        <w:r w:rsidRPr="00D82647">
          <w:rPr>
            <w:rFonts w:eastAsia="SimSun" w:cstheme="minorHAnsi"/>
            <w:szCs w:val="24"/>
            <w:u w:val="single"/>
            <w:lang w:val="en-US"/>
          </w:rPr>
          <w:t>healthinfo</w:t>
        </w:r>
        <w:r w:rsidRPr="00D82647">
          <w:rPr>
            <w:rFonts w:eastAsia="SimSun" w:cstheme="minorHAnsi"/>
            <w:szCs w:val="24"/>
            <w:u w:val="single"/>
          </w:rPr>
          <w:t>/</w:t>
        </w:r>
        <w:r w:rsidRPr="00D82647">
          <w:rPr>
            <w:rFonts w:eastAsia="SimSun" w:cstheme="minorHAnsi"/>
            <w:szCs w:val="24"/>
            <w:u w:val="single"/>
            <w:lang w:val="en-US"/>
          </w:rPr>
          <w:t>universal</w:t>
        </w:r>
        <w:r w:rsidRPr="00D82647">
          <w:rPr>
            <w:rFonts w:eastAsia="SimSun" w:cstheme="minorHAnsi"/>
            <w:szCs w:val="24"/>
            <w:u w:val="single"/>
          </w:rPr>
          <w:t>_</w:t>
        </w:r>
        <w:r w:rsidRPr="00D82647">
          <w:rPr>
            <w:rFonts w:eastAsia="SimSun" w:cstheme="minorHAnsi"/>
            <w:szCs w:val="24"/>
            <w:u w:val="single"/>
            <w:lang w:val="en-US"/>
          </w:rPr>
          <w:t>health_coverage/report/2017/en/</w:t>
        </w:r>
      </w:hyperlink>
      <w:r w:rsidRPr="00D82647">
        <w:rPr>
          <w:rFonts w:eastAsia="Times New Roman" w:cstheme="minorHAnsi"/>
          <w:szCs w:val="24"/>
          <w:lang w:val="en-US" w:eastAsia="en-GB"/>
        </w:rPr>
        <w:t xml:space="preserve">;  </w:t>
      </w:r>
      <w:hyperlink r:id="rId12" w:history="1">
        <w:r w:rsidRPr="00D82647">
          <w:rPr>
            <w:rFonts w:eastAsia="SimSun" w:cstheme="minorHAnsi"/>
            <w:szCs w:val="24"/>
            <w:u w:val="single"/>
            <w:lang w:val="en-US"/>
          </w:rPr>
          <w:t>http://www.worldbank.org/en/topic/universalhealthcoverage/publication/tracking-universal-health-coverage-2017-global-monitoring-report</w:t>
        </w:r>
      </w:hyperlink>
    </w:p>
    <w:p w:rsidR="00D82647" w:rsidRPr="00D82647" w:rsidRDefault="00D82647" w:rsidP="00D82647">
      <w:pPr>
        <w:shd w:val="clear" w:color="auto" w:fill="FFFFFF"/>
        <w:ind w:left="720"/>
        <w:contextualSpacing/>
        <w:rPr>
          <w:rFonts w:eastAsia="Times New Roman" w:cstheme="minorHAnsi"/>
          <w:szCs w:val="24"/>
          <w:lang w:val="en-US" w:eastAsia="en-GB"/>
        </w:rPr>
      </w:pPr>
      <w:hyperlink r:id="rId13" w:history="1">
        <w:r w:rsidRPr="00D82647">
          <w:rPr>
            <w:rFonts w:eastAsia="SimSun" w:cstheme="minorHAnsi"/>
            <w:szCs w:val="24"/>
            <w:u w:val="single"/>
            <w:lang w:val="en-US"/>
          </w:rPr>
          <w:t>http://www.who.int/health_financing/topics/financial-protection/en/</w:t>
        </w:r>
      </w:hyperlink>
      <w:r w:rsidRPr="00D82647">
        <w:rPr>
          <w:rFonts w:eastAsia="Times New Roman" w:cstheme="minorHAnsi"/>
          <w:szCs w:val="24"/>
          <w:lang w:val="en-US" w:eastAsia="en-GB"/>
        </w:rPr>
        <w:t xml:space="preserve"> </w:t>
      </w:r>
    </w:p>
    <w:p w:rsidR="00D82647" w:rsidRPr="00D82647" w:rsidRDefault="00D82647" w:rsidP="002379D9">
      <w:pPr>
        <w:numPr>
          <w:ilvl w:val="0"/>
          <w:numId w:val="10"/>
        </w:numPr>
        <w:shd w:val="clear" w:color="auto" w:fill="FFFFFF"/>
        <w:spacing w:after="0" w:line="240" w:lineRule="auto"/>
        <w:contextualSpacing/>
        <w:rPr>
          <w:rFonts w:eastAsia="Times New Roman" w:cstheme="minorHAnsi"/>
          <w:szCs w:val="24"/>
          <w:lang w:eastAsia="en-GB"/>
        </w:rPr>
      </w:pPr>
      <w:proofErr w:type="spellStart"/>
      <w:r w:rsidRPr="00D82647">
        <w:rPr>
          <w:rFonts w:eastAsia="SimSun" w:cstheme="minorHAnsi"/>
          <w:szCs w:val="24"/>
          <w:shd w:val="clear" w:color="auto" w:fill="FFFFFF"/>
          <w:lang w:val="en-US" w:eastAsia="en-GB"/>
        </w:rPr>
        <w:t>Wagstaff</w:t>
      </w:r>
      <w:proofErr w:type="spellEnd"/>
      <w:r w:rsidRPr="00D82647">
        <w:rPr>
          <w:rFonts w:eastAsia="SimSun" w:cstheme="minorHAnsi"/>
          <w:szCs w:val="24"/>
          <w:shd w:val="clear" w:color="auto" w:fill="FFFFFF"/>
          <w:lang w:val="en-US" w:eastAsia="en-GB"/>
        </w:rPr>
        <w:t xml:space="preserve">, A., Flores, G., Hsu J., </w:t>
      </w:r>
      <w:proofErr w:type="spellStart"/>
      <w:r w:rsidRPr="00D82647">
        <w:rPr>
          <w:rFonts w:eastAsia="SimSun" w:cstheme="minorHAnsi"/>
          <w:szCs w:val="24"/>
          <w:shd w:val="clear" w:color="auto" w:fill="FFFFFF"/>
          <w:lang w:val="en-US" w:eastAsia="en-GB"/>
        </w:rPr>
        <w:t>Smitz</w:t>
      </w:r>
      <w:proofErr w:type="spellEnd"/>
      <w:r w:rsidRPr="00D82647">
        <w:rPr>
          <w:rFonts w:eastAsia="SimSun" w:cstheme="minorHAnsi"/>
          <w:szCs w:val="24"/>
          <w:shd w:val="clear" w:color="auto" w:fill="FFFFFF"/>
          <w:lang w:val="en-US" w:eastAsia="en-GB"/>
        </w:rPr>
        <w:t xml:space="preserve">, M-F., </w:t>
      </w:r>
      <w:proofErr w:type="spellStart"/>
      <w:r w:rsidRPr="00D82647">
        <w:rPr>
          <w:rFonts w:eastAsia="SimSun" w:cstheme="minorHAnsi"/>
          <w:szCs w:val="24"/>
          <w:shd w:val="clear" w:color="auto" w:fill="FFFFFF"/>
          <w:lang w:val="en-US" w:eastAsia="en-GB"/>
        </w:rPr>
        <w:t>Chepynoga</w:t>
      </w:r>
      <w:proofErr w:type="spellEnd"/>
      <w:r w:rsidRPr="00D82647">
        <w:rPr>
          <w:rFonts w:eastAsia="SimSun" w:cstheme="minorHAnsi"/>
          <w:szCs w:val="24"/>
          <w:shd w:val="clear" w:color="auto" w:fill="FFFFFF"/>
          <w:lang w:val="en-US" w:eastAsia="en-GB"/>
        </w:rPr>
        <w:t xml:space="preserve">, K., </w:t>
      </w:r>
      <w:proofErr w:type="spellStart"/>
      <w:r w:rsidRPr="00D82647">
        <w:rPr>
          <w:rFonts w:eastAsia="SimSun" w:cstheme="minorHAnsi"/>
          <w:szCs w:val="24"/>
          <w:shd w:val="clear" w:color="auto" w:fill="FFFFFF"/>
          <w:lang w:val="en-US" w:eastAsia="en-GB"/>
        </w:rPr>
        <w:t>Buisman</w:t>
      </w:r>
      <w:proofErr w:type="spellEnd"/>
      <w:r w:rsidRPr="00D82647">
        <w:rPr>
          <w:rFonts w:eastAsia="SimSun" w:cstheme="minorHAnsi"/>
          <w:szCs w:val="24"/>
          <w:shd w:val="clear" w:color="auto" w:fill="FFFFFF"/>
          <w:lang w:val="en-US" w:eastAsia="en-GB"/>
        </w:rPr>
        <w:t xml:space="preserve">, L.R., van </w:t>
      </w:r>
      <w:proofErr w:type="spellStart"/>
      <w:r w:rsidRPr="00D82647">
        <w:rPr>
          <w:rFonts w:eastAsia="SimSun" w:cstheme="minorHAnsi"/>
          <w:szCs w:val="24"/>
          <w:shd w:val="clear" w:color="auto" w:fill="FFFFFF"/>
          <w:lang w:val="en-US" w:eastAsia="en-GB"/>
        </w:rPr>
        <w:t>Wilgenburg</w:t>
      </w:r>
      <w:proofErr w:type="spellEnd"/>
      <w:r w:rsidRPr="00D82647">
        <w:rPr>
          <w:rFonts w:eastAsia="SimSun" w:cstheme="minorHAnsi"/>
          <w:szCs w:val="24"/>
          <w:shd w:val="clear" w:color="auto" w:fill="FFFFFF"/>
          <w:lang w:val="en-US" w:eastAsia="en-GB"/>
        </w:rPr>
        <w:t>, K.  and</w:t>
      </w:r>
      <w:r w:rsidRPr="002379D9">
        <w:rPr>
          <w:rFonts w:eastAsia="SimSun" w:cstheme="minorHAnsi"/>
          <w:szCs w:val="24"/>
          <w:shd w:val="clear" w:color="auto" w:fill="FFFFFF"/>
          <w:lang w:eastAsia="en-GB"/>
        </w:rPr>
        <w:t xml:space="preserve"> </w:t>
      </w:r>
      <w:proofErr w:type="spellStart"/>
      <w:r w:rsidRPr="00D82647">
        <w:rPr>
          <w:rFonts w:eastAsia="SimSun" w:cstheme="minorHAnsi"/>
          <w:szCs w:val="24"/>
          <w:shd w:val="clear" w:color="auto" w:fill="FFFFFF"/>
          <w:lang w:val="en-US" w:eastAsia="en-GB"/>
        </w:rPr>
        <w:t>Eozenou</w:t>
      </w:r>
      <w:proofErr w:type="spellEnd"/>
      <w:r w:rsidRPr="002379D9">
        <w:rPr>
          <w:rFonts w:eastAsia="SimSun" w:cstheme="minorHAnsi"/>
          <w:szCs w:val="24"/>
          <w:shd w:val="clear" w:color="auto" w:fill="FFFFFF"/>
          <w:lang w:eastAsia="en-GB"/>
        </w:rPr>
        <w:t xml:space="preserve">, </w:t>
      </w:r>
      <w:r w:rsidRPr="00D82647">
        <w:rPr>
          <w:rFonts w:eastAsia="SimSun" w:cstheme="minorHAnsi"/>
          <w:szCs w:val="24"/>
          <w:shd w:val="clear" w:color="auto" w:fill="FFFFFF"/>
          <w:lang w:val="en-US" w:eastAsia="en-GB"/>
        </w:rPr>
        <w:t>P</w:t>
      </w:r>
      <w:r w:rsidRPr="002379D9">
        <w:rPr>
          <w:rFonts w:eastAsia="SimSun" w:cstheme="minorHAnsi"/>
          <w:szCs w:val="24"/>
          <w:shd w:val="clear" w:color="auto" w:fill="FFFFFF"/>
          <w:lang w:eastAsia="en-GB"/>
        </w:rPr>
        <w:t>.</w:t>
      </w:r>
      <w:proofErr w:type="gramStart"/>
      <w:r w:rsidRPr="002379D9">
        <w:rPr>
          <w:rFonts w:eastAsia="SimSun" w:cstheme="minorHAnsi"/>
          <w:szCs w:val="24"/>
          <w:shd w:val="clear" w:color="auto" w:fill="FFFFFF"/>
          <w:lang w:eastAsia="en-GB"/>
        </w:rPr>
        <w:t>,  (</w:t>
      </w:r>
      <w:proofErr w:type="gramEnd"/>
      <w:r w:rsidRPr="002379D9">
        <w:rPr>
          <w:rFonts w:eastAsia="SimSun" w:cstheme="minorHAnsi"/>
          <w:szCs w:val="24"/>
          <w:shd w:val="clear" w:color="auto" w:fill="FFFFFF"/>
          <w:lang w:eastAsia="en-GB"/>
        </w:rPr>
        <w:t>2018), “</w:t>
      </w:r>
      <w:r w:rsidR="002379D9" w:rsidRPr="002379D9">
        <w:rPr>
          <w:rFonts w:eastAsia="SimSun" w:cstheme="minorHAnsi"/>
          <w:szCs w:val="24"/>
          <w:shd w:val="clear" w:color="auto" w:fill="FFFFFF"/>
          <w:lang w:eastAsia="en-GB"/>
        </w:rPr>
        <w:t>Прогресс в отношении катастрофических расходов на здравоохранение в 133 странах: ретроспективное обсервационное исследование</w:t>
      </w:r>
      <w:r w:rsidRPr="002379D9">
        <w:rPr>
          <w:rFonts w:eastAsia="SimSun" w:cstheme="minorHAnsi"/>
          <w:szCs w:val="24"/>
          <w:shd w:val="clear" w:color="auto" w:fill="FFFFFF"/>
          <w:lang w:eastAsia="en-GB"/>
        </w:rPr>
        <w:t xml:space="preserve">”, </w:t>
      </w:r>
      <w:r w:rsidRPr="00D82647">
        <w:rPr>
          <w:rFonts w:eastAsia="SimSun" w:cstheme="minorHAnsi"/>
          <w:szCs w:val="24"/>
          <w:shd w:val="clear" w:color="auto" w:fill="FFFFFF"/>
          <w:lang w:val="en-US" w:eastAsia="en-GB"/>
        </w:rPr>
        <w:t>the</w:t>
      </w:r>
      <w:r w:rsidRPr="002379D9">
        <w:rPr>
          <w:rFonts w:eastAsia="SimSun" w:cstheme="minorHAnsi"/>
          <w:szCs w:val="24"/>
          <w:shd w:val="clear" w:color="auto" w:fill="FFFFFF"/>
          <w:lang w:eastAsia="en-GB"/>
        </w:rPr>
        <w:t xml:space="preserve"> </w:t>
      </w:r>
      <w:r w:rsidRPr="00D82647">
        <w:rPr>
          <w:rFonts w:eastAsia="SimSun" w:cstheme="minorHAnsi"/>
          <w:szCs w:val="24"/>
          <w:shd w:val="clear" w:color="auto" w:fill="FFFFFF"/>
          <w:lang w:val="en-US" w:eastAsia="en-GB"/>
        </w:rPr>
        <w:t>Lancet</w:t>
      </w:r>
      <w:r w:rsidRPr="002379D9">
        <w:rPr>
          <w:rFonts w:eastAsia="SimSun" w:cstheme="minorHAnsi"/>
          <w:szCs w:val="24"/>
          <w:shd w:val="clear" w:color="auto" w:fill="FFFFFF"/>
          <w:lang w:eastAsia="en-GB"/>
        </w:rPr>
        <w:t xml:space="preserve"> </w:t>
      </w:r>
      <w:r w:rsidRPr="00D82647">
        <w:rPr>
          <w:rFonts w:eastAsia="SimSun" w:cstheme="minorHAnsi"/>
          <w:szCs w:val="24"/>
          <w:shd w:val="clear" w:color="auto" w:fill="FFFFFF"/>
          <w:lang w:val="en-US" w:eastAsia="en-GB"/>
        </w:rPr>
        <w:t>Global</w:t>
      </w:r>
      <w:r w:rsidRPr="002379D9">
        <w:rPr>
          <w:rFonts w:eastAsia="SimSun" w:cstheme="minorHAnsi"/>
          <w:szCs w:val="24"/>
          <w:shd w:val="clear" w:color="auto" w:fill="FFFFFF"/>
          <w:lang w:eastAsia="en-GB"/>
        </w:rPr>
        <w:t xml:space="preserve"> </w:t>
      </w:r>
      <w:r w:rsidRPr="00D82647">
        <w:rPr>
          <w:rFonts w:eastAsia="SimSun" w:cstheme="minorHAnsi"/>
          <w:szCs w:val="24"/>
          <w:shd w:val="clear" w:color="auto" w:fill="FFFFFF"/>
          <w:lang w:val="en-US" w:eastAsia="en-GB"/>
        </w:rPr>
        <w:t>Health</w:t>
      </w:r>
      <w:r w:rsidRPr="002379D9">
        <w:rPr>
          <w:rFonts w:eastAsia="SimSun" w:cstheme="minorHAnsi"/>
          <w:szCs w:val="24"/>
          <w:shd w:val="clear" w:color="auto" w:fill="FFFFFF"/>
          <w:lang w:eastAsia="en-GB"/>
        </w:rPr>
        <w:t xml:space="preserve">, </w:t>
      </w:r>
      <w:r w:rsidRPr="00D82647">
        <w:rPr>
          <w:rFonts w:eastAsia="SimSun" w:cstheme="minorHAnsi"/>
          <w:szCs w:val="24"/>
          <w:shd w:val="clear" w:color="auto" w:fill="FFFFFF"/>
          <w:lang w:val="en-US" w:eastAsia="en-GB"/>
        </w:rPr>
        <w:t>volume</w:t>
      </w:r>
      <w:r w:rsidRPr="002379D9">
        <w:rPr>
          <w:rFonts w:eastAsia="SimSun" w:cstheme="minorHAnsi"/>
          <w:szCs w:val="24"/>
          <w:shd w:val="clear" w:color="auto" w:fill="FFFFFF"/>
          <w:lang w:eastAsia="en-GB"/>
        </w:rPr>
        <w:t xml:space="preserve"> 6, </w:t>
      </w:r>
      <w:r w:rsidRPr="00D82647">
        <w:rPr>
          <w:rFonts w:eastAsia="SimSun" w:cstheme="minorHAnsi"/>
          <w:szCs w:val="24"/>
          <w:shd w:val="clear" w:color="auto" w:fill="FFFFFF"/>
          <w:lang w:val="en-US" w:eastAsia="en-GB"/>
        </w:rPr>
        <w:t>issue</w:t>
      </w:r>
      <w:r w:rsidRPr="002379D9">
        <w:rPr>
          <w:rFonts w:eastAsia="SimSun" w:cstheme="minorHAnsi"/>
          <w:szCs w:val="24"/>
          <w:shd w:val="clear" w:color="auto" w:fill="FFFFFF"/>
          <w:lang w:eastAsia="en-GB"/>
        </w:rPr>
        <w:t xml:space="preserve"> 2, </w:t>
      </w:r>
      <w:r w:rsidRPr="00D82647">
        <w:rPr>
          <w:rFonts w:eastAsia="SimSun" w:cstheme="minorHAnsi"/>
          <w:szCs w:val="24"/>
          <w:shd w:val="clear" w:color="auto" w:fill="FFFFFF"/>
          <w:lang w:val="en-US" w:eastAsia="en-GB"/>
        </w:rPr>
        <w:t>e</w:t>
      </w:r>
      <w:r w:rsidRPr="002379D9">
        <w:rPr>
          <w:rFonts w:eastAsia="SimSun" w:cstheme="minorHAnsi"/>
          <w:szCs w:val="24"/>
          <w:shd w:val="clear" w:color="auto" w:fill="FFFFFF"/>
          <w:lang w:eastAsia="en-GB"/>
        </w:rPr>
        <w:t>169-</w:t>
      </w:r>
      <w:r w:rsidRPr="00D82647">
        <w:rPr>
          <w:rFonts w:eastAsia="SimSun" w:cstheme="minorHAnsi"/>
          <w:szCs w:val="24"/>
          <w:shd w:val="clear" w:color="auto" w:fill="FFFFFF"/>
          <w:lang w:val="en-US" w:eastAsia="en-GB"/>
        </w:rPr>
        <w:t>e</w:t>
      </w:r>
      <w:r w:rsidRPr="002379D9">
        <w:rPr>
          <w:rFonts w:eastAsia="SimSun" w:cstheme="minorHAnsi"/>
          <w:szCs w:val="24"/>
          <w:shd w:val="clear" w:color="auto" w:fill="FFFFFF"/>
          <w:lang w:eastAsia="en-GB"/>
        </w:rPr>
        <w:t xml:space="preserve">179.  </w:t>
      </w:r>
      <w:hyperlink r:id="rId14" w:history="1">
        <w:r w:rsidRPr="00D82647">
          <w:rPr>
            <w:rFonts w:eastAsia="SimSun" w:cstheme="minorHAnsi"/>
            <w:szCs w:val="24"/>
            <w:u w:val="single"/>
          </w:rPr>
          <w:t>http://dx.doi.org/10.1016/S2214-109X(17)30429-1</w:t>
        </w:r>
      </w:hyperlink>
    </w:p>
    <w:p w:rsidR="00D82647" w:rsidRPr="00D82647" w:rsidRDefault="00D82647" w:rsidP="00D82647">
      <w:pPr>
        <w:shd w:val="clear" w:color="auto" w:fill="FFFFFF"/>
        <w:spacing w:after="0"/>
        <w:rPr>
          <w:rFonts w:eastAsia="Times New Roman" w:cstheme="minorHAnsi"/>
          <w:szCs w:val="24"/>
          <w:lang w:eastAsia="en-GB"/>
        </w:rPr>
      </w:pPr>
    </w:p>
    <w:p w:rsidR="00D82647" w:rsidRDefault="002379D9" w:rsidP="00D82647">
      <w:pPr>
        <w:shd w:val="clear" w:color="auto" w:fill="FFFFFF"/>
        <w:spacing w:after="0"/>
        <w:rPr>
          <w:rFonts w:eastAsia="Times New Roman" w:cstheme="minorHAnsi"/>
          <w:i/>
          <w:iCs/>
          <w:szCs w:val="24"/>
          <w:lang w:eastAsia="en-GB"/>
        </w:rPr>
      </w:pPr>
      <w:r w:rsidRPr="002379D9">
        <w:rPr>
          <w:rFonts w:eastAsia="Times New Roman" w:cstheme="minorHAnsi"/>
          <w:i/>
          <w:iCs/>
          <w:szCs w:val="24"/>
          <w:lang w:eastAsia="en-GB"/>
        </w:rPr>
        <w:t xml:space="preserve">О подходах, лежащих в основе нынешнего определения </w:t>
      </w:r>
      <w:r>
        <w:rPr>
          <w:rFonts w:cs="Times New Roman"/>
          <w:i/>
          <w:szCs w:val="24"/>
        </w:rPr>
        <w:t>большего удельного веса</w:t>
      </w:r>
      <w:r w:rsidRPr="002379D9">
        <w:rPr>
          <w:rFonts w:cs="Times New Roman"/>
          <w:i/>
          <w:szCs w:val="24"/>
        </w:rPr>
        <w:t xml:space="preserve"> семейных расходов на медицинскую помощь в общем объеме расходов или доходов домохозяйств</w:t>
      </w:r>
      <w:r w:rsidRPr="002379D9">
        <w:rPr>
          <w:rFonts w:eastAsia="Times New Roman" w:cstheme="minorHAnsi"/>
          <w:i/>
          <w:iCs/>
          <w:szCs w:val="24"/>
          <w:lang w:eastAsia="en-GB"/>
        </w:rPr>
        <w:t>:</w:t>
      </w:r>
    </w:p>
    <w:p w:rsidR="002379D9" w:rsidRPr="002379D9" w:rsidRDefault="002379D9" w:rsidP="00D82647">
      <w:pPr>
        <w:shd w:val="clear" w:color="auto" w:fill="FFFFFF"/>
        <w:spacing w:after="0"/>
        <w:rPr>
          <w:rFonts w:eastAsia="Times New Roman" w:cstheme="minorHAnsi"/>
          <w:i/>
          <w:iCs/>
          <w:szCs w:val="24"/>
          <w:lang w:eastAsia="en-GB"/>
        </w:rPr>
      </w:pPr>
    </w:p>
    <w:p w:rsidR="00D82647" w:rsidRPr="002379D9" w:rsidRDefault="002379D9" w:rsidP="002379D9">
      <w:pPr>
        <w:numPr>
          <w:ilvl w:val="0"/>
          <w:numId w:val="11"/>
        </w:numPr>
        <w:shd w:val="clear" w:color="auto" w:fill="FFFFFF"/>
        <w:spacing w:after="0" w:line="240" w:lineRule="auto"/>
        <w:contextualSpacing/>
        <w:rPr>
          <w:rFonts w:eastAsia="Times New Roman" w:cstheme="minorHAnsi"/>
          <w:szCs w:val="24"/>
          <w:lang w:eastAsia="en-GB"/>
        </w:rPr>
      </w:pPr>
      <w:r w:rsidRPr="002379D9">
        <w:rPr>
          <w:rFonts w:eastAsia="Times New Roman" w:cstheme="minorHAnsi"/>
          <w:szCs w:val="24"/>
          <w:lang w:eastAsia="en-GB"/>
        </w:rPr>
        <w:t>Глава 18</w:t>
      </w:r>
      <w:r w:rsidR="00311FC6">
        <w:rPr>
          <w:rFonts w:eastAsia="Times New Roman" w:cstheme="minorHAnsi"/>
          <w:szCs w:val="24"/>
          <w:lang w:eastAsia="en-GB"/>
        </w:rPr>
        <w:t>,</w:t>
      </w:r>
      <w:bookmarkStart w:id="5" w:name="_GoBack"/>
      <w:bookmarkEnd w:id="5"/>
      <w:r w:rsidRPr="002379D9">
        <w:rPr>
          <w:rFonts w:eastAsia="Times New Roman" w:cstheme="minorHAnsi"/>
          <w:szCs w:val="24"/>
          <w:lang w:eastAsia="en-GB"/>
        </w:rPr>
        <w:t xml:space="preserve"> «Анализ справедливости в отношении здоровья с использованием данных обследования домохозяйств». Вашингтон, округ Колумбия: Группа Всемирного банка</w:t>
      </w:r>
      <w:r w:rsidR="00D82647" w:rsidRPr="002379D9">
        <w:rPr>
          <w:rFonts w:eastAsia="Times New Roman" w:cstheme="minorHAnsi"/>
          <w:szCs w:val="24"/>
          <w:lang w:eastAsia="en-GB"/>
        </w:rPr>
        <w:t xml:space="preserve">; 2008, </w:t>
      </w:r>
      <w:hyperlink r:id="rId15" w:history="1">
        <w:r w:rsidR="00D82647" w:rsidRPr="00D82647">
          <w:rPr>
            <w:rFonts w:eastAsia="SimSun" w:cstheme="minorHAnsi"/>
            <w:szCs w:val="24"/>
            <w:u w:val="single"/>
            <w:lang w:val="en-US"/>
          </w:rPr>
          <w:t>http</w:t>
        </w:r>
        <w:r w:rsidR="00D82647" w:rsidRPr="002379D9">
          <w:rPr>
            <w:rFonts w:eastAsia="SimSun" w:cstheme="minorHAnsi"/>
            <w:szCs w:val="24"/>
            <w:u w:val="single"/>
          </w:rPr>
          <w:t>://</w:t>
        </w:r>
        <w:r w:rsidR="00D82647" w:rsidRPr="00D82647">
          <w:rPr>
            <w:rFonts w:eastAsia="SimSun" w:cstheme="minorHAnsi"/>
            <w:szCs w:val="24"/>
            <w:u w:val="single"/>
            <w:lang w:val="en-US"/>
          </w:rPr>
          <w:t>www</w:t>
        </w:r>
        <w:r w:rsidR="00D82647" w:rsidRPr="002379D9">
          <w:rPr>
            <w:rFonts w:eastAsia="SimSun" w:cstheme="minorHAnsi"/>
            <w:szCs w:val="24"/>
            <w:u w:val="single"/>
          </w:rPr>
          <w:t>.</w:t>
        </w:r>
        <w:proofErr w:type="spellStart"/>
        <w:r w:rsidR="00D82647" w:rsidRPr="00D82647">
          <w:rPr>
            <w:rFonts w:eastAsia="SimSun" w:cstheme="minorHAnsi"/>
            <w:szCs w:val="24"/>
            <w:u w:val="single"/>
            <w:lang w:val="en-US"/>
          </w:rPr>
          <w:t>worldbank</w:t>
        </w:r>
        <w:proofErr w:type="spellEnd"/>
        <w:r w:rsidR="00D82647" w:rsidRPr="002379D9">
          <w:rPr>
            <w:rFonts w:eastAsia="SimSun" w:cstheme="minorHAnsi"/>
            <w:szCs w:val="24"/>
            <w:u w:val="single"/>
          </w:rPr>
          <w:t>.</w:t>
        </w:r>
        <w:r w:rsidR="00D82647" w:rsidRPr="00D82647">
          <w:rPr>
            <w:rFonts w:eastAsia="SimSun" w:cstheme="minorHAnsi"/>
            <w:szCs w:val="24"/>
            <w:u w:val="single"/>
            <w:lang w:val="en-US"/>
          </w:rPr>
          <w:t>org</w:t>
        </w:r>
        <w:r w:rsidR="00D82647" w:rsidRPr="002379D9">
          <w:rPr>
            <w:rFonts w:eastAsia="SimSun" w:cstheme="minorHAnsi"/>
            <w:szCs w:val="24"/>
            <w:u w:val="single"/>
          </w:rPr>
          <w:t>/</w:t>
        </w:r>
        <w:proofErr w:type="spellStart"/>
        <w:r w:rsidR="00D82647" w:rsidRPr="00D82647">
          <w:rPr>
            <w:rFonts w:eastAsia="SimSun" w:cstheme="minorHAnsi"/>
            <w:szCs w:val="24"/>
            <w:u w:val="single"/>
            <w:lang w:val="en-US"/>
          </w:rPr>
          <w:t>en</w:t>
        </w:r>
        <w:proofErr w:type="spellEnd"/>
        <w:r w:rsidR="00D82647" w:rsidRPr="002379D9">
          <w:rPr>
            <w:rFonts w:eastAsia="SimSun" w:cstheme="minorHAnsi"/>
            <w:szCs w:val="24"/>
            <w:u w:val="single"/>
          </w:rPr>
          <w:t>/</w:t>
        </w:r>
        <w:r w:rsidR="00D82647" w:rsidRPr="00D82647">
          <w:rPr>
            <w:rFonts w:eastAsia="SimSun" w:cstheme="minorHAnsi"/>
            <w:szCs w:val="24"/>
            <w:u w:val="single"/>
            <w:lang w:val="en-US"/>
          </w:rPr>
          <w:t>topic</w:t>
        </w:r>
        <w:r w:rsidR="00D82647" w:rsidRPr="002379D9">
          <w:rPr>
            <w:rFonts w:eastAsia="SimSun" w:cstheme="minorHAnsi"/>
            <w:szCs w:val="24"/>
            <w:u w:val="single"/>
          </w:rPr>
          <w:t>/</w:t>
        </w:r>
        <w:r w:rsidR="00D82647" w:rsidRPr="00D82647">
          <w:rPr>
            <w:rFonts w:eastAsia="SimSun" w:cstheme="minorHAnsi"/>
            <w:szCs w:val="24"/>
            <w:u w:val="single"/>
            <w:lang w:val="en-US"/>
          </w:rPr>
          <w:t>health</w:t>
        </w:r>
        <w:r w:rsidR="00D82647" w:rsidRPr="002379D9">
          <w:rPr>
            <w:rFonts w:eastAsia="SimSun" w:cstheme="minorHAnsi"/>
            <w:szCs w:val="24"/>
            <w:u w:val="single"/>
          </w:rPr>
          <w:t>/</w:t>
        </w:r>
        <w:r w:rsidR="00D82647" w:rsidRPr="00D82647">
          <w:rPr>
            <w:rFonts w:eastAsia="SimSun" w:cstheme="minorHAnsi"/>
            <w:szCs w:val="24"/>
            <w:u w:val="single"/>
            <w:lang w:val="en-US"/>
          </w:rPr>
          <w:t>publication</w:t>
        </w:r>
        <w:r w:rsidR="00D82647" w:rsidRPr="002379D9">
          <w:rPr>
            <w:rFonts w:eastAsia="SimSun" w:cstheme="minorHAnsi"/>
            <w:szCs w:val="24"/>
            <w:u w:val="single"/>
          </w:rPr>
          <w:t>/</w:t>
        </w:r>
        <w:r w:rsidR="00D82647" w:rsidRPr="00D82647">
          <w:rPr>
            <w:rFonts w:eastAsia="SimSun" w:cstheme="minorHAnsi"/>
            <w:szCs w:val="24"/>
            <w:u w:val="single"/>
            <w:lang w:val="en-US"/>
          </w:rPr>
          <w:t>analyzing</w:t>
        </w:r>
        <w:r w:rsidR="00D82647" w:rsidRPr="002379D9">
          <w:rPr>
            <w:rFonts w:eastAsia="SimSun" w:cstheme="minorHAnsi"/>
            <w:szCs w:val="24"/>
            <w:u w:val="single"/>
          </w:rPr>
          <w:t>-</w:t>
        </w:r>
        <w:r w:rsidR="00D82647" w:rsidRPr="00D82647">
          <w:rPr>
            <w:rFonts w:eastAsia="SimSun" w:cstheme="minorHAnsi"/>
            <w:szCs w:val="24"/>
            <w:u w:val="single"/>
            <w:lang w:val="en-US"/>
          </w:rPr>
          <w:t>health</w:t>
        </w:r>
        <w:r w:rsidR="00D82647" w:rsidRPr="002379D9">
          <w:rPr>
            <w:rFonts w:eastAsia="SimSun" w:cstheme="minorHAnsi"/>
            <w:szCs w:val="24"/>
            <w:u w:val="single"/>
          </w:rPr>
          <w:t>-</w:t>
        </w:r>
        <w:r w:rsidR="00D82647" w:rsidRPr="00D82647">
          <w:rPr>
            <w:rFonts w:eastAsia="SimSun" w:cstheme="minorHAnsi"/>
            <w:szCs w:val="24"/>
            <w:u w:val="single"/>
            <w:lang w:val="en-US"/>
          </w:rPr>
          <w:t>equity</w:t>
        </w:r>
        <w:r w:rsidR="00D82647" w:rsidRPr="002379D9">
          <w:rPr>
            <w:rFonts w:eastAsia="SimSun" w:cstheme="minorHAnsi"/>
            <w:szCs w:val="24"/>
            <w:u w:val="single"/>
          </w:rPr>
          <w:t>-</w:t>
        </w:r>
        <w:r w:rsidR="00D82647" w:rsidRPr="00D82647">
          <w:rPr>
            <w:rFonts w:eastAsia="SimSun" w:cstheme="minorHAnsi"/>
            <w:szCs w:val="24"/>
            <w:u w:val="single"/>
            <w:lang w:val="en-US"/>
          </w:rPr>
          <w:t>using</w:t>
        </w:r>
        <w:r w:rsidR="00D82647" w:rsidRPr="002379D9">
          <w:rPr>
            <w:rFonts w:eastAsia="SimSun" w:cstheme="minorHAnsi"/>
            <w:szCs w:val="24"/>
            <w:u w:val="single"/>
          </w:rPr>
          <w:t>-</w:t>
        </w:r>
        <w:r w:rsidR="00D82647" w:rsidRPr="00D82647">
          <w:rPr>
            <w:rFonts w:eastAsia="SimSun" w:cstheme="minorHAnsi"/>
            <w:szCs w:val="24"/>
            <w:u w:val="single"/>
            <w:lang w:val="en-US"/>
          </w:rPr>
          <w:t>household</w:t>
        </w:r>
        <w:r w:rsidR="00D82647" w:rsidRPr="002379D9">
          <w:rPr>
            <w:rFonts w:eastAsia="SimSun" w:cstheme="minorHAnsi"/>
            <w:szCs w:val="24"/>
            <w:u w:val="single"/>
          </w:rPr>
          <w:t>-</w:t>
        </w:r>
        <w:r w:rsidR="00D82647" w:rsidRPr="00D82647">
          <w:rPr>
            <w:rFonts w:eastAsia="SimSun" w:cstheme="minorHAnsi"/>
            <w:szCs w:val="24"/>
            <w:u w:val="single"/>
            <w:lang w:val="en-US"/>
          </w:rPr>
          <w:t>survey</w:t>
        </w:r>
        <w:r w:rsidR="00D82647" w:rsidRPr="002379D9">
          <w:rPr>
            <w:rFonts w:eastAsia="SimSun" w:cstheme="minorHAnsi"/>
            <w:szCs w:val="24"/>
            <w:u w:val="single"/>
          </w:rPr>
          <w:t>-</w:t>
        </w:r>
        <w:r w:rsidR="00D82647" w:rsidRPr="00D82647">
          <w:rPr>
            <w:rFonts w:eastAsia="SimSun" w:cstheme="minorHAnsi"/>
            <w:szCs w:val="24"/>
            <w:u w:val="single"/>
            <w:lang w:val="en-US"/>
          </w:rPr>
          <w:t>data</w:t>
        </w:r>
      </w:hyperlink>
      <w:r w:rsidR="00D82647" w:rsidRPr="002379D9">
        <w:rPr>
          <w:rFonts w:eastAsia="Times New Roman" w:cstheme="minorHAnsi"/>
          <w:szCs w:val="24"/>
          <w:lang w:eastAsia="en-GB"/>
        </w:rPr>
        <w:t xml:space="preserve">  </w:t>
      </w:r>
    </w:p>
    <w:p w:rsidR="00D82647" w:rsidRPr="002379D9" w:rsidRDefault="00D82647" w:rsidP="00D82647">
      <w:pPr>
        <w:shd w:val="clear" w:color="auto" w:fill="FFFFFF"/>
        <w:spacing w:after="0"/>
        <w:rPr>
          <w:rFonts w:eastAsia="Times New Roman" w:cstheme="minorHAnsi"/>
          <w:i/>
          <w:iCs/>
          <w:szCs w:val="24"/>
          <w:lang w:eastAsia="en-GB"/>
        </w:rPr>
      </w:pPr>
    </w:p>
    <w:p w:rsidR="00D82647" w:rsidRPr="002379D9" w:rsidRDefault="002379D9" w:rsidP="00D82647">
      <w:pPr>
        <w:shd w:val="clear" w:color="auto" w:fill="FFFFFF"/>
        <w:spacing w:after="0"/>
        <w:rPr>
          <w:rFonts w:eastAsia="Times New Roman" w:cstheme="minorHAnsi"/>
          <w:i/>
          <w:iCs/>
          <w:szCs w:val="24"/>
          <w:lang w:eastAsia="en-GB"/>
        </w:rPr>
      </w:pPr>
      <w:r>
        <w:rPr>
          <w:rFonts w:eastAsia="Times New Roman" w:cstheme="minorHAnsi"/>
          <w:i/>
          <w:iCs/>
          <w:szCs w:val="24"/>
          <w:lang w:eastAsia="en-GB"/>
        </w:rPr>
        <w:t xml:space="preserve">Об </w:t>
      </w:r>
      <w:r w:rsidRPr="002379D9">
        <w:rPr>
          <w:rFonts w:eastAsia="Times New Roman" w:cstheme="minorHAnsi"/>
          <w:i/>
          <w:iCs/>
          <w:szCs w:val="24"/>
          <w:lang w:eastAsia="en-GB"/>
        </w:rPr>
        <w:t>определени</w:t>
      </w:r>
      <w:r>
        <w:rPr>
          <w:rFonts w:eastAsia="Times New Roman" w:cstheme="minorHAnsi"/>
          <w:i/>
          <w:iCs/>
          <w:szCs w:val="24"/>
          <w:lang w:eastAsia="en-GB"/>
        </w:rPr>
        <w:t>и понятия</w:t>
      </w:r>
      <w:r w:rsidRPr="002379D9">
        <w:rPr>
          <w:rFonts w:eastAsia="Times New Roman" w:cstheme="minorHAnsi"/>
          <w:i/>
          <w:iCs/>
          <w:szCs w:val="24"/>
          <w:lang w:eastAsia="en-GB"/>
        </w:rPr>
        <w:t xml:space="preserve"> расходов на здравоохранение</w:t>
      </w:r>
    </w:p>
    <w:p w:rsidR="00D82647" w:rsidRPr="00D82647" w:rsidRDefault="00D82647" w:rsidP="00D82647">
      <w:pPr>
        <w:numPr>
          <w:ilvl w:val="0"/>
          <w:numId w:val="11"/>
        </w:numPr>
        <w:shd w:val="clear" w:color="auto" w:fill="FFFFFF"/>
        <w:spacing w:after="0" w:line="240" w:lineRule="auto"/>
        <w:contextualSpacing/>
        <w:rPr>
          <w:rFonts w:eastAsia="Times New Roman" w:cstheme="minorHAnsi"/>
          <w:szCs w:val="24"/>
          <w:lang w:val="en-US" w:eastAsia="en-GB"/>
        </w:rPr>
      </w:pPr>
      <w:hyperlink r:id="rId16" w:history="1">
        <w:r w:rsidRPr="00D82647">
          <w:rPr>
            <w:rFonts w:eastAsia="SimSun" w:cstheme="minorHAnsi"/>
            <w:szCs w:val="24"/>
            <w:u w:val="single"/>
            <w:lang w:val="en-US"/>
          </w:rPr>
          <w:t>http://www.oecd-ilibrary.org/social-issues-migration-health/a-system-of-health-accounts/classification-of-health-care-financing-schemes-icha-hf_9789264116016-9-en</w:t>
        </w:r>
      </w:hyperlink>
      <w:r w:rsidRPr="00D82647">
        <w:rPr>
          <w:rFonts w:eastAsia="Times New Roman" w:cstheme="minorHAnsi"/>
          <w:szCs w:val="24"/>
          <w:u w:val="single"/>
          <w:lang w:val="en-US" w:eastAsia="en-GB"/>
        </w:rPr>
        <w:t xml:space="preserve"> </w:t>
      </w:r>
    </w:p>
    <w:p w:rsidR="00D82647" w:rsidRPr="00D82647" w:rsidRDefault="00D82647" w:rsidP="00D82647">
      <w:pPr>
        <w:shd w:val="clear" w:color="auto" w:fill="FFFFFF"/>
        <w:spacing w:after="0"/>
        <w:rPr>
          <w:rFonts w:eastAsia="Times New Roman" w:cstheme="minorHAnsi"/>
          <w:i/>
          <w:iCs/>
          <w:szCs w:val="24"/>
          <w:lang w:val="en-US" w:eastAsia="en-GB"/>
        </w:rPr>
      </w:pPr>
    </w:p>
    <w:p w:rsidR="00D82647" w:rsidRPr="002379D9" w:rsidRDefault="002379D9" w:rsidP="00D82647">
      <w:pPr>
        <w:shd w:val="clear" w:color="auto" w:fill="FFFFFF"/>
        <w:spacing w:after="0"/>
        <w:rPr>
          <w:rFonts w:eastAsia="Times New Roman" w:cstheme="minorHAnsi"/>
          <w:i/>
          <w:iCs/>
          <w:szCs w:val="24"/>
          <w:lang w:eastAsia="en-GB"/>
        </w:rPr>
      </w:pPr>
      <w:r w:rsidRPr="002379D9">
        <w:rPr>
          <w:rFonts w:eastAsia="Times New Roman" w:cstheme="minorHAnsi"/>
          <w:i/>
          <w:iCs/>
          <w:szCs w:val="24"/>
          <w:lang w:eastAsia="en-GB"/>
        </w:rPr>
        <w:t>По компонентам расходов на здравоохранение</w:t>
      </w:r>
    </w:p>
    <w:p w:rsidR="00D82647" w:rsidRPr="002379D9" w:rsidRDefault="002379D9" w:rsidP="00D82647">
      <w:pPr>
        <w:numPr>
          <w:ilvl w:val="0"/>
          <w:numId w:val="11"/>
        </w:numPr>
        <w:shd w:val="clear" w:color="auto" w:fill="FFFFFF"/>
        <w:spacing w:after="0" w:line="240" w:lineRule="auto"/>
        <w:contextualSpacing/>
        <w:rPr>
          <w:rFonts w:eastAsia="Times New Roman" w:cstheme="minorHAnsi"/>
          <w:szCs w:val="24"/>
          <w:lang w:eastAsia="en-GB"/>
        </w:rPr>
      </w:pPr>
      <w:r w:rsidRPr="002379D9">
        <w:rPr>
          <w:rFonts w:eastAsia="Times New Roman" w:cstheme="minorHAnsi"/>
          <w:szCs w:val="24"/>
          <w:lang w:eastAsia="en-GB"/>
        </w:rPr>
        <w:t>• раздел 06 Классификации индивидуального потребления ООН по целям (КИПЦ)</w:t>
      </w:r>
      <w:r>
        <w:rPr>
          <w:rFonts w:eastAsia="Times New Roman" w:cstheme="minorHAnsi"/>
          <w:szCs w:val="24"/>
          <w:lang w:eastAsia="en-GB"/>
        </w:rPr>
        <w:t xml:space="preserve"> </w:t>
      </w:r>
      <w:hyperlink r:id="rId17" w:history="1">
        <w:r w:rsidR="00D82647" w:rsidRPr="00D82647">
          <w:rPr>
            <w:rFonts w:eastAsia="SimSun" w:cstheme="minorHAnsi"/>
            <w:szCs w:val="24"/>
            <w:u w:val="single"/>
            <w:lang w:val="en-US"/>
          </w:rPr>
          <w:t>https</w:t>
        </w:r>
        <w:r w:rsidR="00D82647" w:rsidRPr="002379D9">
          <w:rPr>
            <w:rFonts w:eastAsia="SimSun" w:cstheme="minorHAnsi"/>
            <w:szCs w:val="24"/>
            <w:u w:val="single"/>
          </w:rPr>
          <w:t>://</w:t>
        </w:r>
        <w:r w:rsidR="00D82647" w:rsidRPr="00D82647">
          <w:rPr>
            <w:rFonts w:eastAsia="SimSun" w:cstheme="minorHAnsi"/>
            <w:szCs w:val="24"/>
            <w:u w:val="single"/>
            <w:lang w:val="en-US"/>
          </w:rPr>
          <w:t>unstats</w:t>
        </w:r>
        <w:r w:rsidR="00D82647" w:rsidRPr="002379D9">
          <w:rPr>
            <w:rFonts w:eastAsia="SimSun" w:cstheme="minorHAnsi"/>
            <w:szCs w:val="24"/>
            <w:u w:val="single"/>
          </w:rPr>
          <w:t>.</w:t>
        </w:r>
        <w:r w:rsidR="00D82647" w:rsidRPr="00D82647">
          <w:rPr>
            <w:rFonts w:eastAsia="SimSun" w:cstheme="minorHAnsi"/>
            <w:szCs w:val="24"/>
            <w:u w:val="single"/>
            <w:lang w:val="en-US"/>
          </w:rPr>
          <w:t>un</w:t>
        </w:r>
        <w:r w:rsidR="00D82647" w:rsidRPr="002379D9">
          <w:rPr>
            <w:rFonts w:eastAsia="SimSun" w:cstheme="minorHAnsi"/>
            <w:szCs w:val="24"/>
            <w:u w:val="single"/>
          </w:rPr>
          <w:t>.</w:t>
        </w:r>
        <w:r w:rsidR="00D82647" w:rsidRPr="00D82647">
          <w:rPr>
            <w:rFonts w:eastAsia="SimSun" w:cstheme="minorHAnsi"/>
            <w:szCs w:val="24"/>
            <w:u w:val="single"/>
            <w:lang w:val="en-US"/>
          </w:rPr>
          <w:t>org</w:t>
        </w:r>
        <w:r w:rsidR="00D82647" w:rsidRPr="002379D9">
          <w:rPr>
            <w:rFonts w:eastAsia="SimSun" w:cstheme="minorHAnsi"/>
            <w:szCs w:val="24"/>
            <w:u w:val="single"/>
          </w:rPr>
          <w:t>/</w:t>
        </w:r>
        <w:r w:rsidR="00D82647" w:rsidRPr="00D82647">
          <w:rPr>
            <w:rFonts w:eastAsia="SimSun" w:cstheme="minorHAnsi"/>
            <w:szCs w:val="24"/>
            <w:u w:val="single"/>
            <w:lang w:val="en-US"/>
          </w:rPr>
          <w:t>unsd</w:t>
        </w:r>
        <w:r w:rsidR="00D82647" w:rsidRPr="002379D9">
          <w:rPr>
            <w:rFonts w:eastAsia="SimSun" w:cstheme="minorHAnsi"/>
            <w:szCs w:val="24"/>
            <w:u w:val="single"/>
          </w:rPr>
          <w:t>/</w:t>
        </w:r>
        <w:r w:rsidR="00D82647" w:rsidRPr="00D82647">
          <w:rPr>
            <w:rFonts w:eastAsia="SimSun" w:cstheme="minorHAnsi"/>
            <w:szCs w:val="24"/>
            <w:u w:val="single"/>
            <w:lang w:val="en-US"/>
          </w:rPr>
          <w:t>class</w:t>
        </w:r>
        <w:r w:rsidR="00D82647" w:rsidRPr="002379D9">
          <w:rPr>
            <w:rFonts w:eastAsia="SimSun" w:cstheme="minorHAnsi"/>
            <w:szCs w:val="24"/>
            <w:u w:val="single"/>
          </w:rPr>
          <w:t>/</w:t>
        </w:r>
        <w:r w:rsidR="00D82647" w:rsidRPr="00D82647">
          <w:rPr>
            <w:rFonts w:eastAsia="SimSun" w:cstheme="minorHAnsi"/>
            <w:szCs w:val="24"/>
            <w:u w:val="single"/>
            <w:lang w:val="en-US"/>
          </w:rPr>
          <w:t>revisions</w:t>
        </w:r>
        <w:r w:rsidR="00D82647" w:rsidRPr="002379D9">
          <w:rPr>
            <w:rFonts w:eastAsia="SimSun" w:cstheme="minorHAnsi"/>
            <w:szCs w:val="24"/>
            <w:u w:val="single"/>
          </w:rPr>
          <w:t>/</w:t>
        </w:r>
        <w:r w:rsidR="00D82647" w:rsidRPr="00D82647">
          <w:rPr>
            <w:rFonts w:eastAsia="SimSun" w:cstheme="minorHAnsi"/>
            <w:szCs w:val="24"/>
            <w:u w:val="single"/>
            <w:lang w:val="en-US"/>
          </w:rPr>
          <w:t>coicop</w:t>
        </w:r>
        <w:r w:rsidR="00D82647" w:rsidRPr="002379D9">
          <w:rPr>
            <w:rFonts w:eastAsia="SimSun" w:cstheme="minorHAnsi"/>
            <w:szCs w:val="24"/>
            <w:u w:val="single"/>
          </w:rPr>
          <w:t>_</w:t>
        </w:r>
        <w:r w:rsidR="00D82647" w:rsidRPr="00D82647">
          <w:rPr>
            <w:rFonts w:eastAsia="SimSun" w:cstheme="minorHAnsi"/>
            <w:szCs w:val="24"/>
            <w:u w:val="single"/>
            <w:lang w:val="en-US"/>
          </w:rPr>
          <w:t>revision</w:t>
        </w:r>
        <w:r w:rsidR="00D82647" w:rsidRPr="002379D9">
          <w:rPr>
            <w:rFonts w:eastAsia="SimSun" w:cstheme="minorHAnsi"/>
            <w:szCs w:val="24"/>
            <w:u w:val="single"/>
          </w:rPr>
          <w:t>.</w:t>
        </w:r>
        <w:r w:rsidR="00D82647" w:rsidRPr="00D82647">
          <w:rPr>
            <w:rFonts w:eastAsia="SimSun" w:cstheme="minorHAnsi"/>
            <w:szCs w:val="24"/>
            <w:u w:val="single"/>
            <w:lang w:val="en-US"/>
          </w:rPr>
          <w:t>asp</w:t>
        </w:r>
      </w:hyperlink>
      <w:r w:rsidR="00D82647" w:rsidRPr="002379D9">
        <w:rPr>
          <w:rFonts w:eastAsia="SimSun" w:cstheme="minorHAnsi"/>
          <w:szCs w:val="24"/>
        </w:rPr>
        <w:t xml:space="preserve">; </w:t>
      </w:r>
      <w:hyperlink r:id="rId18" w:history="1">
        <w:r w:rsidR="00D82647" w:rsidRPr="00D82647">
          <w:rPr>
            <w:rFonts w:eastAsia="SimSun" w:cstheme="minorHAnsi"/>
            <w:szCs w:val="24"/>
            <w:u w:val="single"/>
            <w:lang w:val="en-US"/>
          </w:rPr>
          <w:t>http</w:t>
        </w:r>
        <w:r w:rsidR="00D82647" w:rsidRPr="002379D9">
          <w:rPr>
            <w:rFonts w:eastAsia="SimSun" w:cstheme="minorHAnsi"/>
            <w:szCs w:val="24"/>
            <w:u w:val="single"/>
          </w:rPr>
          <w:t>://</w:t>
        </w:r>
        <w:r w:rsidR="00D82647" w:rsidRPr="00D82647">
          <w:rPr>
            <w:rFonts w:eastAsia="SimSun" w:cstheme="minorHAnsi"/>
            <w:szCs w:val="24"/>
            <w:u w:val="single"/>
            <w:lang w:val="en-US"/>
          </w:rPr>
          <w:t>unstats</w:t>
        </w:r>
        <w:r w:rsidR="00D82647" w:rsidRPr="002379D9">
          <w:rPr>
            <w:rFonts w:eastAsia="SimSun" w:cstheme="minorHAnsi"/>
            <w:szCs w:val="24"/>
            <w:u w:val="single"/>
          </w:rPr>
          <w:t>.</w:t>
        </w:r>
        <w:r w:rsidR="00D82647" w:rsidRPr="00D82647">
          <w:rPr>
            <w:rFonts w:eastAsia="SimSun" w:cstheme="minorHAnsi"/>
            <w:szCs w:val="24"/>
            <w:u w:val="single"/>
            <w:lang w:val="en-US"/>
          </w:rPr>
          <w:t>un</w:t>
        </w:r>
        <w:r w:rsidR="00D82647" w:rsidRPr="002379D9">
          <w:rPr>
            <w:rFonts w:eastAsia="SimSun" w:cstheme="minorHAnsi"/>
            <w:szCs w:val="24"/>
            <w:u w:val="single"/>
          </w:rPr>
          <w:t>.</w:t>
        </w:r>
        <w:r w:rsidR="00D82647" w:rsidRPr="00D82647">
          <w:rPr>
            <w:rFonts w:eastAsia="SimSun" w:cstheme="minorHAnsi"/>
            <w:szCs w:val="24"/>
            <w:u w:val="single"/>
            <w:lang w:val="en-US"/>
          </w:rPr>
          <w:t>org</w:t>
        </w:r>
        <w:r w:rsidR="00D82647" w:rsidRPr="002379D9">
          <w:rPr>
            <w:rFonts w:eastAsia="SimSun" w:cstheme="minorHAnsi"/>
            <w:szCs w:val="24"/>
            <w:u w:val="single"/>
          </w:rPr>
          <w:t>/</w:t>
        </w:r>
        <w:r w:rsidR="00D82647" w:rsidRPr="00D82647">
          <w:rPr>
            <w:rFonts w:eastAsia="SimSun" w:cstheme="minorHAnsi"/>
            <w:szCs w:val="24"/>
            <w:u w:val="single"/>
            <w:lang w:val="en-US"/>
          </w:rPr>
          <w:t>unsd</w:t>
        </w:r>
        <w:r w:rsidR="00D82647" w:rsidRPr="002379D9">
          <w:rPr>
            <w:rFonts w:eastAsia="SimSun" w:cstheme="minorHAnsi"/>
            <w:szCs w:val="24"/>
            <w:u w:val="single"/>
          </w:rPr>
          <w:t>/</w:t>
        </w:r>
        <w:r w:rsidR="00D82647" w:rsidRPr="00D82647">
          <w:rPr>
            <w:rFonts w:eastAsia="SimSun" w:cstheme="minorHAnsi"/>
            <w:szCs w:val="24"/>
            <w:u w:val="single"/>
            <w:lang w:val="en-US"/>
          </w:rPr>
          <w:t>cr</w:t>
        </w:r>
        <w:r w:rsidR="00D82647" w:rsidRPr="002379D9">
          <w:rPr>
            <w:rFonts w:eastAsia="SimSun" w:cstheme="minorHAnsi"/>
            <w:szCs w:val="24"/>
            <w:u w:val="single"/>
          </w:rPr>
          <w:t>/</w:t>
        </w:r>
        <w:r w:rsidR="00D82647" w:rsidRPr="00D82647">
          <w:rPr>
            <w:rFonts w:eastAsia="SimSun" w:cstheme="minorHAnsi"/>
            <w:szCs w:val="24"/>
            <w:u w:val="single"/>
            <w:lang w:val="en-US"/>
          </w:rPr>
          <w:t>registry</w:t>
        </w:r>
        <w:r w:rsidR="00D82647" w:rsidRPr="002379D9">
          <w:rPr>
            <w:rFonts w:eastAsia="SimSun" w:cstheme="minorHAnsi"/>
            <w:szCs w:val="24"/>
            <w:u w:val="single"/>
          </w:rPr>
          <w:t>/</w:t>
        </w:r>
        <w:r w:rsidR="00D82647" w:rsidRPr="00D82647">
          <w:rPr>
            <w:rFonts w:eastAsia="SimSun" w:cstheme="minorHAnsi"/>
            <w:szCs w:val="24"/>
            <w:u w:val="single"/>
            <w:lang w:val="en-US"/>
          </w:rPr>
          <w:t>regcs</w:t>
        </w:r>
        <w:r w:rsidR="00D82647" w:rsidRPr="002379D9">
          <w:rPr>
            <w:rFonts w:eastAsia="SimSun" w:cstheme="minorHAnsi"/>
            <w:szCs w:val="24"/>
            <w:u w:val="single"/>
          </w:rPr>
          <w:t>.</w:t>
        </w:r>
        <w:r w:rsidR="00D82647" w:rsidRPr="00D82647">
          <w:rPr>
            <w:rFonts w:eastAsia="SimSun" w:cstheme="minorHAnsi"/>
            <w:szCs w:val="24"/>
            <w:u w:val="single"/>
            <w:lang w:val="en-US"/>
          </w:rPr>
          <w:t>asp</w:t>
        </w:r>
        <w:r w:rsidR="00D82647" w:rsidRPr="002379D9">
          <w:rPr>
            <w:rFonts w:eastAsia="SimSun" w:cstheme="minorHAnsi"/>
            <w:szCs w:val="24"/>
            <w:u w:val="single"/>
          </w:rPr>
          <w:t>?</w:t>
        </w:r>
        <w:r w:rsidR="00D82647" w:rsidRPr="00D82647">
          <w:rPr>
            <w:rFonts w:eastAsia="SimSun" w:cstheme="minorHAnsi"/>
            <w:szCs w:val="24"/>
            <w:u w:val="single"/>
            <w:lang w:val="en-US"/>
          </w:rPr>
          <w:t>Cl</w:t>
        </w:r>
        <w:r w:rsidR="00D82647" w:rsidRPr="002379D9">
          <w:rPr>
            <w:rFonts w:eastAsia="SimSun" w:cstheme="minorHAnsi"/>
            <w:szCs w:val="24"/>
            <w:u w:val="single"/>
          </w:rPr>
          <w:t>=5&amp;</w:t>
        </w:r>
        <w:r w:rsidR="00D82647" w:rsidRPr="00D82647">
          <w:rPr>
            <w:rFonts w:eastAsia="SimSun" w:cstheme="minorHAnsi"/>
            <w:szCs w:val="24"/>
            <w:u w:val="single"/>
            <w:lang w:val="en-US"/>
          </w:rPr>
          <w:t>Lg</w:t>
        </w:r>
        <w:r w:rsidR="00D82647" w:rsidRPr="002379D9">
          <w:rPr>
            <w:rFonts w:eastAsia="SimSun" w:cstheme="minorHAnsi"/>
            <w:szCs w:val="24"/>
            <w:u w:val="single"/>
          </w:rPr>
          <w:t>=1&amp;</w:t>
        </w:r>
        <w:r w:rsidR="00D82647" w:rsidRPr="00D82647">
          <w:rPr>
            <w:rFonts w:eastAsia="SimSun" w:cstheme="minorHAnsi"/>
            <w:szCs w:val="24"/>
            <w:u w:val="single"/>
            <w:lang w:val="en-US"/>
          </w:rPr>
          <w:t>Co</w:t>
        </w:r>
        <w:r w:rsidR="00D82647" w:rsidRPr="002379D9">
          <w:rPr>
            <w:rFonts w:eastAsia="SimSun" w:cstheme="minorHAnsi"/>
            <w:szCs w:val="24"/>
            <w:u w:val="single"/>
          </w:rPr>
          <w:t>=06.1</w:t>
        </w:r>
      </w:hyperlink>
      <w:r w:rsidR="00D82647" w:rsidRPr="002379D9">
        <w:rPr>
          <w:rFonts w:eastAsia="Times New Roman" w:cstheme="minorHAnsi"/>
          <w:szCs w:val="24"/>
          <w:u w:val="single"/>
          <w:lang w:eastAsia="en-GB"/>
        </w:rPr>
        <w:t xml:space="preserve"> </w:t>
      </w:r>
    </w:p>
    <w:p w:rsidR="00D82647" w:rsidRPr="002379D9" w:rsidRDefault="00D82647" w:rsidP="00D82647">
      <w:pPr>
        <w:rPr>
          <w:rFonts w:cstheme="minorHAnsi"/>
          <w:szCs w:val="24"/>
        </w:rPr>
      </w:pPr>
    </w:p>
    <w:p w:rsidR="00537510" w:rsidRPr="002379D9" w:rsidRDefault="00537510">
      <w:pPr>
        <w:jc w:val="left"/>
        <w:rPr>
          <w:szCs w:val="24"/>
        </w:rPr>
      </w:pPr>
    </w:p>
    <w:sectPr w:rsidR="00537510" w:rsidRPr="002379D9">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D0" w:rsidRDefault="000577D0" w:rsidP="00F73DBC">
      <w:pPr>
        <w:spacing w:after="0" w:line="240" w:lineRule="auto"/>
      </w:pPr>
      <w:r>
        <w:separator/>
      </w:r>
    </w:p>
  </w:endnote>
  <w:endnote w:type="continuationSeparator" w:id="0">
    <w:p w:rsidR="000577D0" w:rsidRDefault="000577D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D0" w:rsidRDefault="000577D0" w:rsidP="00F73DBC">
      <w:pPr>
        <w:spacing w:after="0" w:line="240" w:lineRule="auto"/>
      </w:pPr>
      <w:r>
        <w:separator/>
      </w:r>
    </w:p>
  </w:footnote>
  <w:footnote w:type="continuationSeparator" w:id="0">
    <w:p w:rsidR="000577D0" w:rsidRDefault="000577D0" w:rsidP="00F73DBC">
      <w:pPr>
        <w:spacing w:after="0" w:line="240" w:lineRule="auto"/>
      </w:pPr>
      <w:r>
        <w:continuationSeparator/>
      </w:r>
    </w:p>
  </w:footnote>
  <w:footnote w:id="1">
    <w:p w:rsidR="002A09A0" w:rsidRPr="00087090" w:rsidRDefault="002A09A0" w:rsidP="002A09A0">
      <w:pPr>
        <w:pStyle w:val="a4"/>
        <w:rPr>
          <w:rFonts w:cs="Times New Roman"/>
        </w:rPr>
      </w:pPr>
      <w:r>
        <w:rPr>
          <w:rStyle w:val="a6"/>
        </w:rPr>
        <w:footnoteRef/>
      </w:r>
      <w:r>
        <w:t xml:space="preserve"> </w:t>
      </w:r>
      <w:r w:rsidR="00D01617" w:rsidRPr="00D01617">
        <w:rPr>
          <w:rFonts w:cs="Times New Roman"/>
        </w:rPr>
        <w:t>https://www.oecd-ilibrary.org/social-issues-migration-health/a-system-of-health-accounts/classification-of-health-care-financing-schemes-icha-hf_9789264116016-9-en</w:t>
      </w:r>
    </w:p>
  </w:footnote>
  <w:footnote w:id="2">
    <w:p w:rsidR="00C8648A" w:rsidRDefault="00C8648A">
      <w:pPr>
        <w:pStyle w:val="a4"/>
      </w:pPr>
      <w:r>
        <w:rPr>
          <w:rStyle w:val="a6"/>
        </w:rPr>
        <w:footnoteRef/>
      </w:r>
      <w:r>
        <w:t xml:space="preserve"> </w:t>
      </w:r>
      <w:r>
        <w:rPr>
          <w:rFonts w:cs="Times New Roman"/>
        </w:rPr>
        <w:t xml:space="preserve">Пункт 3(l) повестки </w:t>
      </w:r>
      <w:r w:rsidRPr="00D01617">
        <w:rPr>
          <w:rFonts w:cs="Times New Roman"/>
        </w:rPr>
        <w:t>доступен по адресу</w:t>
      </w:r>
      <w:r>
        <w:rPr>
          <w:rFonts w:cs="Times New Roman"/>
        </w:rPr>
        <w:t xml:space="preserve"> </w:t>
      </w:r>
      <w:hyperlink r:id="rId1" w:history="1">
        <w:r w:rsidRPr="00CD76A5">
          <w:rPr>
            <w:rStyle w:val="ac"/>
            <w:rFonts w:cs="Times New Roman"/>
          </w:rPr>
          <w:t>https://unstats.un.org/unsd/statcom/49th-session/documents/</w:t>
        </w:r>
      </w:hyperlink>
      <w:r>
        <w:rPr>
          <w:rFonts w:cs="Times New Roman"/>
        </w:rPr>
        <w:t xml:space="preserve">; </w:t>
      </w:r>
      <w:r w:rsidRPr="00D01617">
        <w:rPr>
          <w:rFonts w:cs="Times New Roman"/>
        </w:rPr>
        <w:t>https://unstats.un.org/unsd/cr/registry/regcs.asp?Cl=5&amp;Lg=1&amp;Co=06.1</w:t>
      </w:r>
    </w:p>
  </w:footnote>
  <w:footnote w:id="3">
    <w:p w:rsidR="002A09A0" w:rsidRDefault="002A09A0" w:rsidP="002A09A0">
      <w:pPr>
        <w:pStyle w:val="a4"/>
      </w:pPr>
      <w:r w:rsidRPr="00087090">
        <w:rPr>
          <w:rStyle w:val="a6"/>
          <w:rFonts w:cs="Times New Roman"/>
        </w:rPr>
        <w:footnoteRef/>
      </w:r>
      <w:r w:rsidRPr="00087090">
        <w:rPr>
          <w:rFonts w:cs="Times New Roman"/>
        </w:rPr>
        <w:t xml:space="preserve"> </w:t>
      </w:r>
      <w:r w:rsidR="00A96DC6" w:rsidRPr="00A96DC6">
        <w:rPr>
          <w:rFonts w:cs="Times New Roman"/>
        </w:rPr>
        <w:t>http://www.ilo.org/public/english/bureau/stat/download/17thicls/r2hies.pdf</w:t>
      </w:r>
    </w:p>
  </w:footnote>
  <w:footnote w:id="4">
    <w:p w:rsidR="0089424F" w:rsidRPr="0089424F" w:rsidRDefault="0089424F" w:rsidP="0089424F">
      <w:pPr>
        <w:pStyle w:val="a4"/>
        <w:rPr>
          <w:rFonts w:cs="Times New Roman"/>
        </w:rPr>
      </w:pPr>
      <w:r w:rsidRPr="00F72B75">
        <w:rPr>
          <w:rStyle w:val="a6"/>
          <w:rFonts w:cs="Times New Roman"/>
        </w:rPr>
        <w:footnoteRef/>
      </w:r>
      <w:r w:rsidRPr="0089424F">
        <w:rPr>
          <w:rFonts w:cs="Times New Roman"/>
        </w:rPr>
        <w:t xml:space="preserve"> </w:t>
      </w:r>
      <w:r w:rsidR="001B427D" w:rsidRPr="001B427D">
        <w:rPr>
          <w:rFonts w:cs="Times New Roman"/>
          <w:lang w:val="en-US"/>
        </w:rPr>
        <w:t>http</w:t>
      </w:r>
      <w:r w:rsidR="001B427D" w:rsidRPr="001B427D">
        <w:rPr>
          <w:rFonts w:cs="Times New Roman"/>
        </w:rPr>
        <w:t>://</w:t>
      </w:r>
      <w:r w:rsidR="001B427D" w:rsidRPr="001B427D">
        <w:rPr>
          <w:rFonts w:cs="Times New Roman"/>
          <w:lang w:val="en-US"/>
        </w:rPr>
        <w:t>www</w:t>
      </w:r>
      <w:r w:rsidR="001B427D" w:rsidRPr="001B427D">
        <w:rPr>
          <w:rFonts w:cs="Times New Roman"/>
        </w:rPr>
        <w:t>.</w:t>
      </w:r>
      <w:proofErr w:type="spellStart"/>
      <w:r w:rsidR="001B427D" w:rsidRPr="001B427D">
        <w:rPr>
          <w:rFonts w:cs="Times New Roman"/>
          <w:lang w:val="en-US"/>
        </w:rPr>
        <w:t>ilo</w:t>
      </w:r>
      <w:proofErr w:type="spellEnd"/>
      <w:r w:rsidR="001B427D" w:rsidRPr="001B427D">
        <w:rPr>
          <w:rFonts w:cs="Times New Roman"/>
        </w:rPr>
        <w:t>.</w:t>
      </w:r>
      <w:r w:rsidR="001B427D" w:rsidRPr="001B427D">
        <w:rPr>
          <w:rFonts w:cs="Times New Roman"/>
          <w:lang w:val="en-US"/>
        </w:rPr>
        <w:t>org</w:t>
      </w:r>
      <w:r w:rsidR="001B427D" w:rsidRPr="001B427D">
        <w:rPr>
          <w:rFonts w:cs="Times New Roman"/>
        </w:rPr>
        <w:t>/</w:t>
      </w:r>
      <w:r w:rsidR="001B427D" w:rsidRPr="001B427D">
        <w:rPr>
          <w:rFonts w:cs="Times New Roman"/>
          <w:lang w:val="en-US"/>
        </w:rPr>
        <w:t>public</w:t>
      </w:r>
      <w:r w:rsidR="001B427D" w:rsidRPr="001B427D">
        <w:rPr>
          <w:rFonts w:cs="Times New Roman"/>
        </w:rPr>
        <w:t>/</w:t>
      </w:r>
      <w:proofErr w:type="spellStart"/>
      <w:r w:rsidR="001B427D" w:rsidRPr="001B427D">
        <w:rPr>
          <w:rFonts w:cs="Times New Roman"/>
          <w:lang w:val="en-US"/>
        </w:rPr>
        <w:t>english</w:t>
      </w:r>
      <w:proofErr w:type="spellEnd"/>
      <w:r w:rsidR="001B427D" w:rsidRPr="001B427D">
        <w:rPr>
          <w:rFonts w:cs="Times New Roman"/>
        </w:rPr>
        <w:t>/</w:t>
      </w:r>
      <w:r w:rsidR="001B427D" w:rsidRPr="001B427D">
        <w:rPr>
          <w:rFonts w:cs="Times New Roman"/>
          <w:lang w:val="en-US"/>
        </w:rPr>
        <w:t>bureau</w:t>
      </w:r>
      <w:r w:rsidR="001B427D" w:rsidRPr="001B427D">
        <w:rPr>
          <w:rFonts w:cs="Times New Roman"/>
        </w:rPr>
        <w:t>/</w:t>
      </w:r>
      <w:r w:rsidR="001B427D" w:rsidRPr="001B427D">
        <w:rPr>
          <w:rFonts w:cs="Times New Roman"/>
          <w:lang w:val="en-US"/>
        </w:rPr>
        <w:t>stat</w:t>
      </w:r>
      <w:r w:rsidR="001B427D" w:rsidRPr="001B427D">
        <w:rPr>
          <w:rFonts w:cs="Times New Roman"/>
        </w:rPr>
        <w:t>/</w:t>
      </w:r>
      <w:r w:rsidR="001B427D" w:rsidRPr="001B427D">
        <w:rPr>
          <w:rFonts w:cs="Times New Roman"/>
          <w:lang w:val="en-US"/>
        </w:rPr>
        <w:t>download</w:t>
      </w:r>
      <w:r w:rsidR="001B427D" w:rsidRPr="001B427D">
        <w:rPr>
          <w:rFonts w:cs="Times New Roman"/>
        </w:rPr>
        <w:t>/17</w:t>
      </w:r>
      <w:proofErr w:type="spellStart"/>
      <w:r w:rsidR="001B427D" w:rsidRPr="001B427D">
        <w:rPr>
          <w:rFonts w:cs="Times New Roman"/>
          <w:lang w:val="en-US"/>
        </w:rPr>
        <w:t>thicls</w:t>
      </w:r>
      <w:proofErr w:type="spellEnd"/>
      <w:r w:rsidR="001B427D" w:rsidRPr="001B427D">
        <w:rPr>
          <w:rFonts w:cs="Times New Roman"/>
        </w:rPr>
        <w:t>/</w:t>
      </w:r>
      <w:r w:rsidR="001B427D" w:rsidRPr="001B427D">
        <w:rPr>
          <w:rFonts w:cs="Times New Roman"/>
          <w:lang w:val="en-US"/>
        </w:rPr>
        <w:t>r</w:t>
      </w:r>
      <w:r w:rsidR="001B427D" w:rsidRPr="001B427D">
        <w:rPr>
          <w:rFonts w:cs="Times New Roman"/>
        </w:rPr>
        <w:t>2</w:t>
      </w:r>
      <w:proofErr w:type="spellStart"/>
      <w:r w:rsidR="001B427D" w:rsidRPr="001B427D">
        <w:rPr>
          <w:rFonts w:cs="Times New Roman"/>
          <w:lang w:val="en-US"/>
        </w:rPr>
        <w:t>hies</w:t>
      </w:r>
      <w:proofErr w:type="spellEnd"/>
      <w:r w:rsidR="001B427D" w:rsidRPr="001B427D">
        <w:rPr>
          <w:rFonts w:cs="Times New Roman"/>
        </w:rPr>
        <w:t>.</w:t>
      </w:r>
      <w:r w:rsidR="001B427D" w:rsidRPr="001B427D">
        <w:rPr>
          <w:rFonts w:cs="Times New Roman"/>
          <w:lang w:val="en-US"/>
        </w:rPr>
        <w:t>pdf</w:t>
      </w:r>
    </w:p>
  </w:footnote>
  <w:footnote w:id="5">
    <w:p w:rsidR="0089424F" w:rsidRPr="00F72B75" w:rsidRDefault="0089424F" w:rsidP="0089424F">
      <w:pPr>
        <w:pStyle w:val="a4"/>
      </w:pPr>
      <w:r w:rsidRPr="00F72B75">
        <w:rPr>
          <w:rStyle w:val="a6"/>
          <w:rFonts w:cs="Times New Roman"/>
        </w:rPr>
        <w:footnoteRef/>
      </w:r>
      <w:r w:rsidRPr="00F72B75">
        <w:rPr>
          <w:rFonts w:cs="Times New Roman"/>
        </w:rPr>
        <w:t xml:space="preserve"> Одним из примеров является участие ВОЗ в текущем пересмотре КИПЦ ООН по СОООН </w:t>
      </w:r>
      <w:r w:rsidR="00F777E9" w:rsidRPr="00F777E9">
        <w:rPr>
          <w:rFonts w:cs="Times New Roman"/>
        </w:rPr>
        <w:t>https://unstats.un.org/unsd/class/revisions/coicop_revision.asp</w:t>
      </w:r>
      <w:r w:rsidRPr="00F72B75">
        <w:rPr>
          <w:rFonts w:cs="Times New Roman"/>
        </w:rPr>
        <w:t xml:space="preserve">. </w:t>
      </w:r>
      <w:r w:rsidR="00F777E9">
        <w:rPr>
          <w:rFonts w:cs="Times New Roman"/>
        </w:rPr>
        <w:t>Д</w:t>
      </w:r>
      <w:r w:rsidR="00F777E9" w:rsidRPr="00F777E9">
        <w:rPr>
          <w:rFonts w:cs="Times New Roman"/>
        </w:rPr>
        <w:t>ругим примером является проект BMGF, который ВОЗ поддерживает для улучшения измерения расходов домохозяйств на здравоохранение http://www.ind</w:t>
      </w:r>
      <w:r w:rsidR="00F777E9">
        <w:rPr>
          <w:rFonts w:cs="Times New Roman"/>
        </w:rPr>
        <w:t>epth-network.org/projects/ihope</w:t>
      </w:r>
    </w:p>
  </w:footnote>
  <w:footnote w:id="6">
    <w:p w:rsidR="00651B2C" w:rsidRDefault="00651B2C">
      <w:pPr>
        <w:pStyle w:val="a4"/>
      </w:pPr>
      <w:r>
        <w:rPr>
          <w:rStyle w:val="a6"/>
        </w:rPr>
        <w:footnoteRef/>
      </w:r>
      <w:r>
        <w:t xml:space="preserve"> </w:t>
      </w:r>
      <w:hyperlink r:id="rId2" w:history="1">
        <w:r>
          <w:rPr>
            <w:rStyle w:val="ac"/>
            <w:sz w:val="18"/>
            <w:szCs w:val="18"/>
          </w:rPr>
          <w:t>http://iresearch.worldbank.org/PovcalNet/povOnDemand.aspx</w:t>
        </w:r>
      </w:hyperlink>
    </w:p>
  </w:footnote>
  <w:footnote w:id="7">
    <w:p w:rsidR="00651B2C" w:rsidRDefault="00651B2C" w:rsidP="00651B2C">
      <w:r>
        <w:rPr>
          <w:rStyle w:val="a6"/>
        </w:rPr>
        <w:footnoteRef/>
      </w:r>
      <w:r>
        <w:t xml:space="preserve"> </w:t>
      </w:r>
      <w:hyperlink r:id="rId3" w:history="1">
        <w:r>
          <w:rPr>
            <w:rStyle w:val="ac"/>
            <w:sz w:val="18"/>
            <w:szCs w:val="18"/>
          </w:rPr>
          <w:t>https://datacatalog.worldbank.org/dataset/world-development-indicators</w:t>
        </w:r>
      </w:hyperlink>
    </w:p>
  </w:footnote>
  <w:footnote w:id="8">
    <w:p w:rsidR="007B0BBA" w:rsidRDefault="007B0BBA" w:rsidP="007B0BBA">
      <w:pPr>
        <w:pStyle w:val="a8"/>
      </w:pPr>
      <w:r>
        <w:rPr>
          <w:rStyle w:val="a6"/>
        </w:rPr>
        <w:footnoteRef/>
      </w:r>
      <w:r>
        <w:t xml:space="preserve"> </w:t>
      </w:r>
      <w:hyperlink r:id="rId4" w:history="1">
        <w:r>
          <w:rPr>
            <w:rStyle w:val="ac"/>
            <w:sz w:val="18"/>
            <w:szCs w:val="18"/>
          </w:rPr>
          <w:t>http://www.who.int/health-accounts/ghed/en/</w:t>
        </w:r>
      </w:hyperlink>
    </w:p>
  </w:footnote>
  <w:footnote w:id="9">
    <w:p w:rsidR="007B0BBA" w:rsidRDefault="007B0BBA" w:rsidP="007B0BBA">
      <w:pPr>
        <w:pStyle w:val="a8"/>
      </w:pPr>
      <w:r>
        <w:rPr>
          <w:rStyle w:val="a6"/>
        </w:rPr>
        <w:footnoteRef/>
      </w:r>
      <w:r>
        <w:t xml:space="preserve"> </w:t>
      </w:r>
      <w:hyperlink r:id="rId5" w:history="1">
        <w:r>
          <w:rPr>
            <w:rStyle w:val="ac"/>
            <w:sz w:val="18"/>
            <w:szCs w:val="18"/>
          </w:rPr>
          <w:t>https://datacatalog.worldbank.org/dataset/world-development-indicators</w:t>
        </w:r>
      </w:hyperlink>
    </w:p>
  </w:footnote>
  <w:footnote w:id="10">
    <w:p w:rsidR="008F4D3C" w:rsidRPr="00087090" w:rsidRDefault="008F4D3C" w:rsidP="008F4D3C">
      <w:pPr>
        <w:pStyle w:val="a4"/>
        <w:rPr>
          <w:rFonts w:cs="Times New Roman"/>
        </w:rPr>
      </w:pPr>
      <w:r w:rsidRPr="00087090">
        <w:rPr>
          <w:rStyle w:val="a6"/>
          <w:rFonts w:cs="Times New Roman"/>
        </w:rPr>
        <w:footnoteRef/>
      </w:r>
      <w:r w:rsidRPr="00087090">
        <w:rPr>
          <w:rFonts w:cs="Times New Roman"/>
        </w:rPr>
        <w:t xml:space="preserve"> </w:t>
      </w:r>
      <w:hyperlink r:id="rId6" w:history="1">
        <w:r w:rsidRPr="008F4D3C">
          <w:rPr>
            <w:rStyle w:val="ac"/>
          </w:rPr>
          <w:t>http://unstats.un.org/sdgs/metadata/files/Metadata-01-01-01a.pdf</w:t>
        </w:r>
      </w:hyperlink>
      <w:r>
        <w:rPr>
          <w:color w:val="404040" w:themeColor="text1" w:themeTint="BF"/>
          <w:sz w:val="18"/>
          <w:szCs w:val="18"/>
        </w:rPr>
        <w:t xml:space="preserve">  </w:t>
      </w:r>
    </w:p>
  </w:footnote>
  <w:footnote w:id="11">
    <w:p w:rsidR="008F4D3C" w:rsidRPr="009519D6" w:rsidRDefault="008F4D3C" w:rsidP="008F4D3C">
      <w:pPr>
        <w:pStyle w:val="a4"/>
        <w:rPr>
          <w:rFonts w:cs="Times New Roman"/>
        </w:rPr>
      </w:pPr>
      <w:r w:rsidRPr="00413D82">
        <w:rPr>
          <w:rStyle w:val="a6"/>
          <w:rFonts w:cs="Times New Roman"/>
        </w:rPr>
        <w:footnoteRef/>
      </w:r>
      <w:r w:rsidRPr="009519D6">
        <w:rPr>
          <w:rFonts w:cs="Times New Roman"/>
        </w:rPr>
        <w:t xml:space="preserve"> </w:t>
      </w:r>
      <w:r w:rsidR="009519D6">
        <w:rPr>
          <w:rFonts w:cs="Times New Roman"/>
        </w:rPr>
        <w:t xml:space="preserve">Глава 2, </w:t>
      </w:r>
      <w:r w:rsidR="009519D6" w:rsidRPr="009519D6">
        <w:rPr>
          <w:rFonts w:cs="Times New Roman"/>
        </w:rPr>
        <w:t xml:space="preserve">«Отслеживание всеобщего охвата услугами здравоохранения: отчет о глобальном мониторинге 2017 г.», Всемирная организация здравоохранения и Международный банк реконструкции и развития/Всемирный банк; 2017; </w:t>
      </w:r>
      <w:r w:rsidR="009519D6" w:rsidRPr="009519D6">
        <w:rPr>
          <w:rFonts w:cs="Times New Roman"/>
          <w:lang w:val="en-US"/>
        </w:rPr>
        <w:t>http</w:t>
      </w:r>
      <w:r w:rsidR="009519D6" w:rsidRPr="009519D6">
        <w:rPr>
          <w:rFonts w:cs="Times New Roman"/>
        </w:rPr>
        <w:t>://</w:t>
      </w:r>
      <w:r w:rsidR="009519D6" w:rsidRPr="009519D6">
        <w:rPr>
          <w:rFonts w:cs="Times New Roman"/>
          <w:lang w:val="en-US"/>
        </w:rPr>
        <w:t>www</w:t>
      </w:r>
      <w:r w:rsidR="009519D6" w:rsidRPr="009519D6">
        <w:rPr>
          <w:rFonts w:cs="Times New Roman"/>
        </w:rPr>
        <w:t>.</w:t>
      </w:r>
      <w:r w:rsidR="009519D6" w:rsidRPr="009519D6">
        <w:rPr>
          <w:rFonts w:cs="Times New Roman"/>
          <w:lang w:val="en-US"/>
        </w:rPr>
        <w:t>who</w:t>
      </w:r>
      <w:r w:rsidR="009519D6" w:rsidRPr="009519D6">
        <w:rPr>
          <w:rFonts w:cs="Times New Roman"/>
        </w:rPr>
        <w:t>.</w:t>
      </w:r>
      <w:proofErr w:type="spellStart"/>
      <w:r w:rsidR="009519D6" w:rsidRPr="009519D6">
        <w:rPr>
          <w:rFonts w:cs="Times New Roman"/>
          <w:lang w:val="en-US"/>
        </w:rPr>
        <w:t>int</w:t>
      </w:r>
      <w:proofErr w:type="spellEnd"/>
      <w:r w:rsidR="009519D6" w:rsidRPr="009519D6">
        <w:rPr>
          <w:rFonts w:cs="Times New Roman"/>
        </w:rPr>
        <w:t>/</w:t>
      </w:r>
      <w:proofErr w:type="spellStart"/>
      <w:r w:rsidR="009519D6" w:rsidRPr="009519D6">
        <w:rPr>
          <w:rFonts w:cs="Times New Roman"/>
          <w:lang w:val="en-US"/>
        </w:rPr>
        <w:t>healthinfo</w:t>
      </w:r>
      <w:proofErr w:type="spellEnd"/>
      <w:r w:rsidR="009519D6" w:rsidRPr="009519D6">
        <w:rPr>
          <w:rFonts w:cs="Times New Roman"/>
        </w:rPr>
        <w:t>/</w:t>
      </w:r>
      <w:r w:rsidR="009519D6" w:rsidRPr="009519D6">
        <w:rPr>
          <w:rFonts w:cs="Times New Roman"/>
          <w:lang w:val="en-US"/>
        </w:rPr>
        <w:t>indicators</w:t>
      </w:r>
      <w:r w:rsidR="009519D6" w:rsidRPr="009519D6">
        <w:rPr>
          <w:rFonts w:cs="Times New Roman"/>
        </w:rPr>
        <w:t>/2015/</w:t>
      </w:r>
      <w:proofErr w:type="spellStart"/>
      <w:r w:rsidR="009519D6" w:rsidRPr="009519D6">
        <w:rPr>
          <w:rFonts w:cs="Times New Roman"/>
          <w:lang w:val="en-US"/>
        </w:rPr>
        <w:t>en</w:t>
      </w:r>
      <w:proofErr w:type="spellEnd"/>
      <w:r w:rsidR="009519D6" w:rsidRPr="009519D6">
        <w:rPr>
          <w:rFonts w:cs="Times New Roman"/>
        </w:rPr>
        <w:t>/;</w:t>
      </w:r>
    </w:p>
  </w:footnote>
  <w:footnote w:id="12">
    <w:p w:rsidR="008F4D3C" w:rsidRPr="009519D6" w:rsidRDefault="008F4D3C" w:rsidP="009519D6">
      <w:pPr>
        <w:pStyle w:val="a8"/>
        <w:rPr>
          <w:rFonts w:ascii="Times New Roman" w:hAnsi="Times New Roman" w:cs="Times New Roman"/>
        </w:rPr>
      </w:pPr>
      <w:r w:rsidRPr="00413D82">
        <w:rPr>
          <w:rStyle w:val="a6"/>
          <w:rFonts w:ascii="Times New Roman" w:hAnsi="Times New Roman" w:cs="Times New Roman"/>
        </w:rPr>
        <w:footnoteRef/>
      </w:r>
      <w:r w:rsidRPr="009519D6">
        <w:rPr>
          <w:rFonts w:ascii="Times New Roman" w:hAnsi="Times New Roman" w:cs="Times New Roman"/>
        </w:rPr>
        <w:t xml:space="preserve"> </w:t>
      </w:r>
      <w:proofErr w:type="spellStart"/>
      <w:r w:rsidR="009519D6" w:rsidRPr="009519D6">
        <w:rPr>
          <w:rFonts w:ascii="Times New Roman" w:hAnsi="Times New Roman" w:cs="Times New Roman"/>
          <w:sz w:val="20"/>
          <w:szCs w:val="20"/>
        </w:rPr>
        <w:t>Xu</w:t>
      </w:r>
      <w:proofErr w:type="spellEnd"/>
      <w:r w:rsidR="009519D6" w:rsidRPr="009519D6">
        <w:rPr>
          <w:rFonts w:ascii="Times New Roman" w:hAnsi="Times New Roman" w:cs="Times New Roman"/>
          <w:sz w:val="20"/>
          <w:szCs w:val="20"/>
        </w:rPr>
        <w:t xml:space="preserve">, K., </w:t>
      </w:r>
      <w:proofErr w:type="spellStart"/>
      <w:r w:rsidR="009519D6" w:rsidRPr="009519D6">
        <w:rPr>
          <w:rFonts w:ascii="Times New Roman" w:hAnsi="Times New Roman" w:cs="Times New Roman"/>
          <w:sz w:val="20"/>
          <w:szCs w:val="20"/>
        </w:rPr>
        <w:t>Evans</w:t>
      </w:r>
      <w:proofErr w:type="spellEnd"/>
      <w:r w:rsidR="009519D6" w:rsidRPr="009519D6">
        <w:rPr>
          <w:rFonts w:ascii="Times New Roman" w:hAnsi="Times New Roman" w:cs="Times New Roman"/>
          <w:sz w:val="20"/>
          <w:szCs w:val="20"/>
        </w:rPr>
        <w:t xml:space="preserve">, D. B., </w:t>
      </w:r>
      <w:proofErr w:type="spellStart"/>
      <w:r w:rsidR="009519D6" w:rsidRPr="009519D6">
        <w:rPr>
          <w:rFonts w:ascii="Times New Roman" w:hAnsi="Times New Roman" w:cs="Times New Roman"/>
          <w:sz w:val="20"/>
          <w:szCs w:val="20"/>
        </w:rPr>
        <w:t>Carrin</w:t>
      </w:r>
      <w:proofErr w:type="spellEnd"/>
      <w:r w:rsidR="009519D6" w:rsidRPr="009519D6">
        <w:rPr>
          <w:rFonts w:ascii="Times New Roman" w:hAnsi="Times New Roman" w:cs="Times New Roman"/>
          <w:sz w:val="20"/>
          <w:szCs w:val="20"/>
        </w:rPr>
        <w:t xml:space="preserve">, G., </w:t>
      </w:r>
      <w:proofErr w:type="spellStart"/>
      <w:r w:rsidR="009519D6" w:rsidRPr="009519D6">
        <w:rPr>
          <w:rFonts w:ascii="Times New Roman" w:hAnsi="Times New Roman" w:cs="Times New Roman"/>
          <w:sz w:val="20"/>
          <w:szCs w:val="20"/>
        </w:rPr>
        <w:t>Aguilar-Rivera</w:t>
      </w:r>
      <w:proofErr w:type="spellEnd"/>
      <w:r w:rsidR="009519D6" w:rsidRPr="009519D6">
        <w:rPr>
          <w:rFonts w:ascii="Times New Roman" w:hAnsi="Times New Roman" w:cs="Times New Roman"/>
          <w:sz w:val="20"/>
          <w:szCs w:val="20"/>
        </w:rPr>
        <w:t xml:space="preserve">, A. M., </w:t>
      </w:r>
      <w:proofErr w:type="spellStart"/>
      <w:r w:rsidR="009519D6" w:rsidRPr="009519D6">
        <w:rPr>
          <w:rFonts w:ascii="Times New Roman" w:hAnsi="Times New Roman" w:cs="Times New Roman"/>
          <w:sz w:val="20"/>
          <w:szCs w:val="20"/>
        </w:rPr>
        <w:t>Musgrove</w:t>
      </w:r>
      <w:proofErr w:type="spellEnd"/>
      <w:r w:rsidR="009519D6" w:rsidRPr="009519D6">
        <w:rPr>
          <w:rFonts w:ascii="Times New Roman" w:hAnsi="Times New Roman" w:cs="Times New Roman"/>
          <w:sz w:val="20"/>
          <w:szCs w:val="20"/>
        </w:rPr>
        <w:t xml:space="preserve">, P., </w:t>
      </w:r>
      <w:proofErr w:type="spellStart"/>
      <w:r w:rsidR="009519D6" w:rsidRPr="009519D6">
        <w:rPr>
          <w:rFonts w:ascii="Times New Roman" w:hAnsi="Times New Roman" w:cs="Times New Roman"/>
          <w:sz w:val="20"/>
          <w:szCs w:val="20"/>
        </w:rPr>
        <w:t>and</w:t>
      </w:r>
      <w:proofErr w:type="spellEnd"/>
      <w:r w:rsidR="009519D6" w:rsidRPr="009519D6">
        <w:rPr>
          <w:rFonts w:ascii="Times New Roman" w:hAnsi="Times New Roman" w:cs="Times New Roman"/>
          <w:sz w:val="20"/>
          <w:szCs w:val="20"/>
        </w:rPr>
        <w:t xml:space="preserve"> </w:t>
      </w:r>
      <w:proofErr w:type="spellStart"/>
      <w:r w:rsidR="009519D6" w:rsidRPr="009519D6">
        <w:rPr>
          <w:rFonts w:ascii="Times New Roman" w:hAnsi="Times New Roman" w:cs="Times New Roman"/>
          <w:sz w:val="20"/>
          <w:szCs w:val="20"/>
        </w:rPr>
        <w:t>Evans</w:t>
      </w:r>
      <w:proofErr w:type="spellEnd"/>
      <w:r w:rsidR="009519D6" w:rsidRPr="009519D6">
        <w:rPr>
          <w:rFonts w:ascii="Times New Roman" w:hAnsi="Times New Roman" w:cs="Times New Roman"/>
          <w:sz w:val="20"/>
          <w:szCs w:val="20"/>
        </w:rPr>
        <w:t>, T. (2007), “</w:t>
      </w:r>
      <w:r w:rsidR="009519D6" w:rsidRPr="009519D6">
        <w:t xml:space="preserve"> </w:t>
      </w:r>
      <w:r w:rsidR="009519D6" w:rsidRPr="009519D6">
        <w:rPr>
          <w:rFonts w:ascii="Times New Roman" w:hAnsi="Times New Roman" w:cs="Times New Roman"/>
          <w:sz w:val="20"/>
          <w:szCs w:val="20"/>
        </w:rPr>
        <w:t>Защита домохозяйств от катастрофических расходов на здравоохранение</w:t>
      </w:r>
      <w:r w:rsidR="009519D6" w:rsidRPr="009519D6">
        <w:rPr>
          <w:rFonts w:ascii="Times New Roman" w:hAnsi="Times New Roman" w:cs="Times New Roman"/>
          <w:sz w:val="20"/>
          <w:szCs w:val="20"/>
        </w:rPr>
        <w:t xml:space="preserve">,” </w:t>
      </w:r>
      <w:proofErr w:type="spellStart"/>
      <w:r w:rsidR="009519D6" w:rsidRPr="009519D6">
        <w:rPr>
          <w:rFonts w:ascii="Times New Roman" w:hAnsi="Times New Roman" w:cs="Times New Roman"/>
          <w:sz w:val="20"/>
          <w:szCs w:val="20"/>
        </w:rPr>
        <w:t>Health</w:t>
      </w:r>
      <w:proofErr w:type="spellEnd"/>
      <w:r w:rsidR="009519D6" w:rsidRPr="009519D6">
        <w:rPr>
          <w:rFonts w:ascii="Times New Roman" w:hAnsi="Times New Roman" w:cs="Times New Roman"/>
          <w:sz w:val="20"/>
          <w:szCs w:val="20"/>
        </w:rPr>
        <w:t xml:space="preserve"> </w:t>
      </w:r>
      <w:proofErr w:type="spellStart"/>
      <w:r w:rsidR="009519D6" w:rsidRPr="009519D6">
        <w:rPr>
          <w:rFonts w:ascii="Times New Roman" w:hAnsi="Times New Roman" w:cs="Times New Roman"/>
          <w:sz w:val="20"/>
          <w:szCs w:val="20"/>
        </w:rPr>
        <w:t>Affairs</w:t>
      </w:r>
      <w:proofErr w:type="spellEnd"/>
      <w:r w:rsidR="009519D6" w:rsidRPr="009519D6">
        <w:rPr>
          <w:rFonts w:ascii="Times New Roman" w:hAnsi="Times New Roman" w:cs="Times New Roman"/>
          <w:sz w:val="20"/>
          <w:szCs w:val="20"/>
        </w:rPr>
        <w:t xml:space="preserve">, 26, 972–983. </w:t>
      </w:r>
      <w:proofErr w:type="spellStart"/>
      <w:r w:rsidR="009519D6" w:rsidRPr="009519D6">
        <w:rPr>
          <w:rFonts w:ascii="Times New Roman" w:hAnsi="Times New Roman" w:cs="Times New Roman"/>
          <w:sz w:val="20"/>
          <w:szCs w:val="20"/>
        </w:rPr>
        <w:t>Xu</w:t>
      </w:r>
      <w:proofErr w:type="spellEnd"/>
      <w:r w:rsidR="009519D6" w:rsidRPr="009519D6">
        <w:rPr>
          <w:rFonts w:ascii="Times New Roman" w:hAnsi="Times New Roman" w:cs="Times New Roman"/>
          <w:sz w:val="20"/>
          <w:szCs w:val="20"/>
        </w:rPr>
        <w:t xml:space="preserve">, L., </w:t>
      </w:r>
      <w:proofErr w:type="spellStart"/>
      <w:r w:rsidR="009519D6" w:rsidRPr="009519D6">
        <w:rPr>
          <w:rFonts w:ascii="Times New Roman" w:hAnsi="Times New Roman" w:cs="Times New Roman"/>
          <w:sz w:val="20"/>
          <w:szCs w:val="20"/>
        </w:rPr>
        <w:t>Evans</w:t>
      </w:r>
      <w:proofErr w:type="spellEnd"/>
      <w:r w:rsidR="009519D6" w:rsidRPr="009519D6">
        <w:rPr>
          <w:rFonts w:ascii="Times New Roman" w:hAnsi="Times New Roman" w:cs="Times New Roman"/>
          <w:sz w:val="20"/>
          <w:szCs w:val="20"/>
        </w:rPr>
        <w:t xml:space="preserve">, D., </w:t>
      </w:r>
      <w:proofErr w:type="spellStart"/>
      <w:r w:rsidR="009519D6" w:rsidRPr="009519D6">
        <w:rPr>
          <w:rFonts w:ascii="Times New Roman" w:hAnsi="Times New Roman" w:cs="Times New Roman"/>
          <w:sz w:val="20"/>
          <w:szCs w:val="20"/>
        </w:rPr>
        <w:t>Kawabata</w:t>
      </w:r>
      <w:proofErr w:type="spellEnd"/>
      <w:r w:rsidR="009519D6" w:rsidRPr="009519D6">
        <w:rPr>
          <w:rFonts w:ascii="Times New Roman" w:hAnsi="Times New Roman" w:cs="Times New Roman"/>
          <w:sz w:val="20"/>
          <w:szCs w:val="20"/>
        </w:rPr>
        <w:t xml:space="preserve">, K., </w:t>
      </w:r>
      <w:proofErr w:type="spellStart"/>
      <w:r w:rsidR="009519D6" w:rsidRPr="009519D6">
        <w:rPr>
          <w:rFonts w:ascii="Times New Roman" w:hAnsi="Times New Roman" w:cs="Times New Roman"/>
          <w:sz w:val="20"/>
          <w:szCs w:val="20"/>
        </w:rPr>
        <w:t>Zeramdini</w:t>
      </w:r>
      <w:proofErr w:type="spellEnd"/>
      <w:r w:rsidR="009519D6" w:rsidRPr="009519D6">
        <w:rPr>
          <w:rFonts w:ascii="Times New Roman" w:hAnsi="Times New Roman" w:cs="Times New Roman"/>
          <w:sz w:val="20"/>
          <w:szCs w:val="20"/>
        </w:rPr>
        <w:t xml:space="preserve">, R., </w:t>
      </w:r>
      <w:proofErr w:type="spellStart"/>
      <w:r w:rsidR="009519D6" w:rsidRPr="009519D6">
        <w:rPr>
          <w:rFonts w:ascii="Times New Roman" w:hAnsi="Times New Roman" w:cs="Times New Roman"/>
          <w:sz w:val="20"/>
          <w:szCs w:val="20"/>
        </w:rPr>
        <w:t>Klavus</w:t>
      </w:r>
      <w:proofErr w:type="spellEnd"/>
      <w:r w:rsidR="009519D6" w:rsidRPr="009519D6">
        <w:rPr>
          <w:rFonts w:ascii="Times New Roman" w:hAnsi="Times New Roman" w:cs="Times New Roman"/>
          <w:sz w:val="20"/>
          <w:szCs w:val="20"/>
        </w:rPr>
        <w:t xml:space="preserve">, J., </w:t>
      </w:r>
      <w:proofErr w:type="spellStart"/>
      <w:r w:rsidR="009519D6" w:rsidRPr="009519D6">
        <w:rPr>
          <w:rFonts w:ascii="Times New Roman" w:hAnsi="Times New Roman" w:cs="Times New Roman"/>
          <w:sz w:val="20"/>
          <w:szCs w:val="20"/>
        </w:rPr>
        <w:t>and</w:t>
      </w:r>
      <w:proofErr w:type="spellEnd"/>
      <w:r w:rsidR="009519D6" w:rsidRPr="009519D6">
        <w:rPr>
          <w:rFonts w:ascii="Times New Roman" w:hAnsi="Times New Roman" w:cs="Times New Roman"/>
          <w:sz w:val="20"/>
          <w:szCs w:val="20"/>
        </w:rPr>
        <w:t xml:space="preserve"> </w:t>
      </w:r>
      <w:proofErr w:type="spellStart"/>
      <w:r w:rsidR="009519D6" w:rsidRPr="009519D6">
        <w:rPr>
          <w:rFonts w:ascii="Times New Roman" w:hAnsi="Times New Roman" w:cs="Times New Roman"/>
          <w:sz w:val="20"/>
          <w:szCs w:val="20"/>
        </w:rPr>
        <w:t>Murray</w:t>
      </w:r>
      <w:proofErr w:type="spellEnd"/>
      <w:r w:rsidR="009519D6" w:rsidRPr="009519D6">
        <w:rPr>
          <w:rFonts w:ascii="Times New Roman" w:hAnsi="Times New Roman" w:cs="Times New Roman"/>
          <w:sz w:val="20"/>
          <w:szCs w:val="20"/>
        </w:rPr>
        <w:t>, C. (2003), “</w:t>
      </w:r>
      <w:r w:rsidR="009519D6" w:rsidRPr="009519D6">
        <w:t xml:space="preserve"> </w:t>
      </w:r>
      <w:r w:rsidR="009519D6" w:rsidRPr="009519D6">
        <w:rPr>
          <w:rFonts w:ascii="Times New Roman" w:hAnsi="Times New Roman" w:cs="Times New Roman"/>
          <w:sz w:val="20"/>
          <w:szCs w:val="20"/>
        </w:rPr>
        <w:t xml:space="preserve">Катастрофические расходы домохозяйств на здравоохранение: </w:t>
      </w:r>
      <w:proofErr w:type="spellStart"/>
      <w:r w:rsidR="009519D6" w:rsidRPr="009519D6">
        <w:rPr>
          <w:rFonts w:ascii="Times New Roman" w:hAnsi="Times New Roman" w:cs="Times New Roman"/>
          <w:sz w:val="20"/>
          <w:szCs w:val="20"/>
        </w:rPr>
        <w:t>многострановой</w:t>
      </w:r>
      <w:proofErr w:type="spellEnd"/>
      <w:r w:rsidR="009519D6" w:rsidRPr="009519D6">
        <w:rPr>
          <w:rFonts w:ascii="Times New Roman" w:hAnsi="Times New Roman" w:cs="Times New Roman"/>
          <w:sz w:val="20"/>
          <w:szCs w:val="20"/>
        </w:rPr>
        <w:t xml:space="preserve"> анализ</w:t>
      </w:r>
      <w:r w:rsidR="009519D6" w:rsidRPr="009519D6">
        <w:rPr>
          <w:rFonts w:ascii="Times New Roman" w:hAnsi="Times New Roman" w:cs="Times New Roman"/>
          <w:sz w:val="20"/>
          <w:szCs w:val="20"/>
        </w:rPr>
        <w:t xml:space="preserve">,” </w:t>
      </w:r>
      <w:proofErr w:type="spellStart"/>
      <w:r w:rsidR="009519D6" w:rsidRPr="009519D6">
        <w:rPr>
          <w:rFonts w:ascii="Times New Roman" w:hAnsi="Times New Roman" w:cs="Times New Roman"/>
          <w:sz w:val="20"/>
          <w:szCs w:val="20"/>
        </w:rPr>
        <w:t>The</w:t>
      </w:r>
      <w:proofErr w:type="spellEnd"/>
      <w:r w:rsidR="009519D6" w:rsidRPr="009519D6">
        <w:rPr>
          <w:rFonts w:ascii="Times New Roman" w:hAnsi="Times New Roman" w:cs="Times New Roman"/>
          <w:sz w:val="20"/>
          <w:szCs w:val="20"/>
        </w:rPr>
        <w:t xml:space="preserve"> </w:t>
      </w:r>
      <w:proofErr w:type="spellStart"/>
      <w:r w:rsidR="009519D6" w:rsidRPr="009519D6">
        <w:rPr>
          <w:rFonts w:ascii="Times New Roman" w:hAnsi="Times New Roman" w:cs="Times New Roman"/>
          <w:sz w:val="20"/>
          <w:szCs w:val="20"/>
        </w:rPr>
        <w:t>Lancet</w:t>
      </w:r>
      <w:proofErr w:type="spellEnd"/>
      <w:r w:rsidR="009519D6" w:rsidRPr="009519D6">
        <w:rPr>
          <w:rFonts w:ascii="Times New Roman" w:hAnsi="Times New Roman" w:cs="Times New Roman"/>
          <w:sz w:val="20"/>
          <w:szCs w:val="20"/>
        </w:rPr>
        <w:t>, 326, 111–117.</w:t>
      </w:r>
    </w:p>
  </w:footnote>
  <w:footnote w:id="13">
    <w:p w:rsidR="008F4D3C" w:rsidRPr="009519D6" w:rsidRDefault="008F4D3C" w:rsidP="008F4D3C">
      <w:pPr>
        <w:pStyle w:val="a4"/>
        <w:rPr>
          <w:rFonts w:cs="Times New Roman"/>
        </w:rPr>
      </w:pPr>
      <w:r w:rsidRPr="00413D82">
        <w:rPr>
          <w:rStyle w:val="a6"/>
          <w:rFonts w:cs="Times New Roman"/>
        </w:rPr>
        <w:footnoteRef/>
      </w:r>
      <w:hyperlink r:id="rId7" w:history="1">
        <w:r w:rsidR="009519D6">
          <w:rPr>
            <w:rStyle w:val="ac"/>
            <w:sz w:val="18"/>
            <w:szCs w:val="18"/>
          </w:rPr>
          <w:t>http://www.euro.who.int/en/health-topics/Health-systems/health-systems-financing/publications/clusters/universal-health-coverage-financial-protection</w:t>
        </w:r>
      </w:hyperlink>
      <w:r w:rsidR="009519D6">
        <w:rPr>
          <w:rStyle w:val="ac"/>
        </w:rPr>
        <w:t>;</w:t>
      </w:r>
      <w:hyperlink r:id="rId8" w:history="1">
        <w:r w:rsidR="009519D6">
          <w:rPr>
            <w:rStyle w:val="ac"/>
            <w:sz w:val="18"/>
            <w:szCs w:val="18"/>
          </w:rPr>
          <w:t>http://applications.emro.who.int/dsaf/EMROPUB_2016_EN_19169.pdf?ua=1</w:t>
        </w:r>
      </w:hyperlink>
      <w:r w:rsidR="009519D6">
        <w:rPr>
          <w:rStyle w:val="ac"/>
        </w:rPr>
        <w:t xml:space="preserve"> ; </w:t>
      </w:r>
      <w:hyperlink r:id="rId9" w:history="1">
        <w:r w:rsidR="009519D6">
          <w:rPr>
            <w:rStyle w:val="ac"/>
            <w:sz w:val="18"/>
            <w:szCs w:val="18"/>
          </w:rPr>
          <w:t>http://apps.searo.who.int/uhc</w:t>
        </w:r>
      </w:hyperlink>
      <w:r w:rsidR="00D22B38">
        <w:rPr>
          <w:rStyle w:val="ac"/>
          <w:sz w:val="18"/>
          <w:szCs w:val="18"/>
        </w:rPr>
        <w:t xml:space="preserve">; </w:t>
      </w:r>
      <w:hyperlink r:id="rId10" w:history="1">
        <w:r w:rsidR="009519D6">
          <w:rPr>
            <w:rStyle w:val="ac"/>
            <w:sz w:val="18"/>
            <w:szCs w:val="18"/>
          </w:rPr>
          <w:t>http://www.paho.org/hq/index.php?option=com_content&amp;view=article&amp;id=11065%3A2015-universal-health-coverage-latin-america-c</w:t>
        </w:r>
        <w:r w:rsidR="009519D6">
          <w:rPr>
            <w:rStyle w:val="ac"/>
            <w:sz w:val="18"/>
            <w:szCs w:val="18"/>
          </w:rPr>
          <w:t>a</w:t>
        </w:r>
        <w:r w:rsidR="009519D6">
          <w:rPr>
            <w:rStyle w:val="ac"/>
            <w:sz w:val="18"/>
            <w:szCs w:val="18"/>
          </w:rPr>
          <w:t>ribbean&amp;catid=3316%3Apublications&amp;Itemid=3562&amp;lang=en</w:t>
        </w:r>
      </w:hyperlink>
    </w:p>
  </w:footnote>
  <w:footnote w:id="14">
    <w:p w:rsidR="00D82647" w:rsidRPr="00D82647" w:rsidRDefault="00D82647">
      <w:pPr>
        <w:pStyle w:val="a4"/>
      </w:pPr>
      <w:r>
        <w:rPr>
          <w:rStyle w:val="a6"/>
        </w:rPr>
        <w:footnoteRef/>
      </w:r>
      <w:r>
        <w:t> </w:t>
      </w:r>
      <w:r w:rsidRPr="00D82647">
        <w:rPr>
          <w:rStyle w:val="ac"/>
        </w:rPr>
        <w:t>http://econ.worldbank.org/WBSITE/EXTERNAL/EXTDEC/EXTRESEARCH/EXTLSMS/0,,contentMDK:21610833~pagePK:64168427~piPK:64168435~theSitePK:3358997,00.html</w:t>
      </w:r>
    </w:p>
  </w:footnote>
  <w:footnote w:id="15">
    <w:p w:rsidR="00D82647" w:rsidRPr="00D82647" w:rsidRDefault="00D82647" w:rsidP="00D82647">
      <w:pPr>
        <w:pStyle w:val="a4"/>
      </w:pPr>
      <w:r w:rsidRPr="00D82647">
        <w:rPr>
          <w:rStyle w:val="a6"/>
        </w:rPr>
        <w:footnoteRef/>
      </w:r>
      <w:r w:rsidRPr="00D82647">
        <w:t xml:space="preserve"> Подробная документация, описывающая процедуры гармонизации, доступна в сопроводительных документах в формате </w:t>
      </w:r>
      <w:r w:rsidRPr="00D82647">
        <w:rPr>
          <w:lang w:val="en-US"/>
        </w:rPr>
        <w:t>pdf</w:t>
      </w:r>
      <w:r w:rsidRPr="00D82647">
        <w:t>.</w:t>
      </w:r>
    </w:p>
  </w:footnote>
  <w:footnote w:id="16">
    <w:p w:rsidR="00D82647" w:rsidRDefault="00D82647">
      <w:pPr>
        <w:pStyle w:val="a4"/>
      </w:pPr>
      <w:r w:rsidRPr="00D82647">
        <w:rPr>
          <w:rStyle w:val="a6"/>
        </w:rPr>
        <w:footnoteRef/>
      </w:r>
      <w:r w:rsidRPr="00D82647">
        <w:t xml:space="preserve"> </w:t>
      </w:r>
      <w:r w:rsidRPr="00D82647">
        <w:rPr>
          <w:rStyle w:val="ac"/>
        </w:rPr>
        <w:t>http://www.lisdatacenter.org/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10" w:rsidRDefault="00537510" w:rsidP="009508D1">
    <w:pPr>
      <w:pStyle w:val="ae"/>
      <w:jc w:val="right"/>
      <w:rPr>
        <w:i/>
      </w:rPr>
    </w:pPr>
    <w:r w:rsidRPr="009508D1">
      <w:rPr>
        <w:i/>
      </w:rPr>
      <w:t>Неофициальный перевод</w:t>
    </w:r>
    <w:r>
      <w:rPr>
        <w:i/>
      </w:rPr>
      <w:t xml:space="preserve"> </w:t>
    </w:r>
  </w:p>
  <w:p w:rsidR="00537510" w:rsidRPr="009508D1" w:rsidRDefault="00537510" w:rsidP="009508D1">
    <w:pPr>
      <w:pStyle w:val="ae"/>
      <w:jc w:val="right"/>
    </w:pPr>
    <w:r>
      <w:t>Последнее обновление: февраль 2022</w:t>
    </w:r>
  </w:p>
  <w:p w:rsidR="00537510" w:rsidRDefault="0053751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2E6182"/>
    <w:multiLevelType w:val="hybridMultilevel"/>
    <w:tmpl w:val="006A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3B56AD"/>
    <w:multiLevelType w:val="hybridMultilevel"/>
    <w:tmpl w:val="0902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5074CB"/>
    <w:multiLevelType w:val="hybridMultilevel"/>
    <w:tmpl w:val="8B8C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FE1F7F"/>
    <w:multiLevelType w:val="hybridMultilevel"/>
    <w:tmpl w:val="E1147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FB6C7E"/>
    <w:multiLevelType w:val="hybridMultilevel"/>
    <w:tmpl w:val="C34C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9F1CFF"/>
    <w:multiLevelType w:val="hybridMultilevel"/>
    <w:tmpl w:val="CCFE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304E62"/>
    <w:multiLevelType w:val="hybridMultilevel"/>
    <w:tmpl w:val="C3DC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3"/>
  </w:num>
  <w:num w:numId="7">
    <w:abstractNumId w:val="1"/>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FC"/>
    <w:rsid w:val="00007E13"/>
    <w:rsid w:val="000211BA"/>
    <w:rsid w:val="00040034"/>
    <w:rsid w:val="0004066D"/>
    <w:rsid w:val="000476F9"/>
    <w:rsid w:val="00053D20"/>
    <w:rsid w:val="00056A06"/>
    <w:rsid w:val="000577D0"/>
    <w:rsid w:val="00067CA2"/>
    <w:rsid w:val="00080A73"/>
    <w:rsid w:val="000A210D"/>
    <w:rsid w:val="000A229E"/>
    <w:rsid w:val="000C5EF5"/>
    <w:rsid w:val="000D5685"/>
    <w:rsid w:val="00110AED"/>
    <w:rsid w:val="00116248"/>
    <w:rsid w:val="001470A2"/>
    <w:rsid w:val="00160EF4"/>
    <w:rsid w:val="00165896"/>
    <w:rsid w:val="001A163A"/>
    <w:rsid w:val="001B427D"/>
    <w:rsid w:val="001C0011"/>
    <w:rsid w:val="001D49FA"/>
    <w:rsid w:val="001E2FC9"/>
    <w:rsid w:val="00235B95"/>
    <w:rsid w:val="002379D9"/>
    <w:rsid w:val="00255011"/>
    <w:rsid w:val="00277C45"/>
    <w:rsid w:val="00291FA0"/>
    <w:rsid w:val="002A09A0"/>
    <w:rsid w:val="002D6D85"/>
    <w:rsid w:val="002E122C"/>
    <w:rsid w:val="002E15F9"/>
    <w:rsid w:val="002F63E5"/>
    <w:rsid w:val="00303D71"/>
    <w:rsid w:val="00311FC6"/>
    <w:rsid w:val="003143BC"/>
    <w:rsid w:val="003746BC"/>
    <w:rsid w:val="0037495D"/>
    <w:rsid w:val="003859BD"/>
    <w:rsid w:val="00387386"/>
    <w:rsid w:val="003D58DC"/>
    <w:rsid w:val="00407E4E"/>
    <w:rsid w:val="004143B4"/>
    <w:rsid w:val="00421928"/>
    <w:rsid w:val="00426D6C"/>
    <w:rsid w:val="00474B64"/>
    <w:rsid w:val="004E087E"/>
    <w:rsid w:val="00515A5F"/>
    <w:rsid w:val="00537510"/>
    <w:rsid w:val="005421AF"/>
    <w:rsid w:val="005712CD"/>
    <w:rsid w:val="00597FFB"/>
    <w:rsid w:val="005B15A0"/>
    <w:rsid w:val="005E47BD"/>
    <w:rsid w:val="005F0D70"/>
    <w:rsid w:val="005F2C0B"/>
    <w:rsid w:val="00651B2C"/>
    <w:rsid w:val="00667462"/>
    <w:rsid w:val="006704C2"/>
    <w:rsid w:val="006852E5"/>
    <w:rsid w:val="00694160"/>
    <w:rsid w:val="006945F1"/>
    <w:rsid w:val="006A6D4F"/>
    <w:rsid w:val="006B260E"/>
    <w:rsid w:val="006B3939"/>
    <w:rsid w:val="006D330F"/>
    <w:rsid w:val="006D7049"/>
    <w:rsid w:val="00702333"/>
    <w:rsid w:val="00705161"/>
    <w:rsid w:val="0073563E"/>
    <w:rsid w:val="0075371E"/>
    <w:rsid w:val="00780F08"/>
    <w:rsid w:val="00781DE7"/>
    <w:rsid w:val="007B0BBA"/>
    <w:rsid w:val="007B0CFD"/>
    <w:rsid w:val="007B6F31"/>
    <w:rsid w:val="007C27E0"/>
    <w:rsid w:val="007C58B1"/>
    <w:rsid w:val="007D1185"/>
    <w:rsid w:val="007F06DF"/>
    <w:rsid w:val="00831AF2"/>
    <w:rsid w:val="00836F3E"/>
    <w:rsid w:val="008461CC"/>
    <w:rsid w:val="00853C09"/>
    <w:rsid w:val="00855515"/>
    <w:rsid w:val="0088265C"/>
    <w:rsid w:val="0089424F"/>
    <w:rsid w:val="008D1EA0"/>
    <w:rsid w:val="008F4D3C"/>
    <w:rsid w:val="00902545"/>
    <w:rsid w:val="00921B1C"/>
    <w:rsid w:val="009508D1"/>
    <w:rsid w:val="009519D6"/>
    <w:rsid w:val="00957A62"/>
    <w:rsid w:val="00980F79"/>
    <w:rsid w:val="00982FE8"/>
    <w:rsid w:val="00996BD1"/>
    <w:rsid w:val="009A09B1"/>
    <w:rsid w:val="009C064B"/>
    <w:rsid w:val="009C7C05"/>
    <w:rsid w:val="009D192F"/>
    <w:rsid w:val="009E16C4"/>
    <w:rsid w:val="00A202AF"/>
    <w:rsid w:val="00A234F9"/>
    <w:rsid w:val="00A53D4B"/>
    <w:rsid w:val="00A618FC"/>
    <w:rsid w:val="00A71EC6"/>
    <w:rsid w:val="00A82CD3"/>
    <w:rsid w:val="00A91FDE"/>
    <w:rsid w:val="00A96DC6"/>
    <w:rsid w:val="00AC1A97"/>
    <w:rsid w:val="00AE18BA"/>
    <w:rsid w:val="00AE3968"/>
    <w:rsid w:val="00B0378B"/>
    <w:rsid w:val="00B3092C"/>
    <w:rsid w:val="00B72F77"/>
    <w:rsid w:val="00B8224E"/>
    <w:rsid w:val="00BD29EC"/>
    <w:rsid w:val="00BD4401"/>
    <w:rsid w:val="00BD4CEC"/>
    <w:rsid w:val="00BD5871"/>
    <w:rsid w:val="00BE2C5D"/>
    <w:rsid w:val="00BE415C"/>
    <w:rsid w:val="00C47A4A"/>
    <w:rsid w:val="00C5595E"/>
    <w:rsid w:val="00C650EC"/>
    <w:rsid w:val="00C8596F"/>
    <w:rsid w:val="00C8648A"/>
    <w:rsid w:val="00CA1CB1"/>
    <w:rsid w:val="00D01617"/>
    <w:rsid w:val="00D02A96"/>
    <w:rsid w:val="00D05466"/>
    <w:rsid w:val="00D22B38"/>
    <w:rsid w:val="00D2619D"/>
    <w:rsid w:val="00D30158"/>
    <w:rsid w:val="00D35734"/>
    <w:rsid w:val="00D82647"/>
    <w:rsid w:val="00DA19D7"/>
    <w:rsid w:val="00DC1DAF"/>
    <w:rsid w:val="00E0451B"/>
    <w:rsid w:val="00E123F7"/>
    <w:rsid w:val="00E125A5"/>
    <w:rsid w:val="00E15199"/>
    <w:rsid w:val="00E21B43"/>
    <w:rsid w:val="00E24E9B"/>
    <w:rsid w:val="00E27922"/>
    <w:rsid w:val="00E33CA8"/>
    <w:rsid w:val="00E4369C"/>
    <w:rsid w:val="00E629C6"/>
    <w:rsid w:val="00E651B8"/>
    <w:rsid w:val="00E90BD4"/>
    <w:rsid w:val="00EB362A"/>
    <w:rsid w:val="00EB389E"/>
    <w:rsid w:val="00EC38BC"/>
    <w:rsid w:val="00EE0900"/>
    <w:rsid w:val="00F6371F"/>
    <w:rsid w:val="00F73DBC"/>
    <w:rsid w:val="00F7481A"/>
    <w:rsid w:val="00F777E9"/>
    <w:rsid w:val="00F84FF1"/>
    <w:rsid w:val="00F92D6F"/>
    <w:rsid w:val="00FB66D9"/>
    <w:rsid w:val="00FE35CF"/>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09C0"/>
  <w15:docId w15:val="{6A62FD5C-BBE8-4E74-AC9F-4B7636B6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CD"/>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160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ome/cms-decommissioning" TargetMode="External"/><Relationship Id="rId13" Type="http://schemas.openxmlformats.org/officeDocument/2006/relationships/hyperlink" Target="http://www.who.int/health_financing/topics/financial-protection/en/" TargetMode="External"/><Relationship Id="rId18" Type="http://schemas.openxmlformats.org/officeDocument/2006/relationships/hyperlink" Target="http://unstats.un.org/unsd/cr/registry/regcs.asp?Cl=5&amp;Lg=1&amp;Co=0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ldbank.org/en/topic/universalhealthcoverage/publication/tracking-universal-health-coverage-2017-global-monitoring-report" TargetMode="External"/><Relationship Id="rId17" Type="http://schemas.openxmlformats.org/officeDocument/2006/relationships/hyperlink" Target="https://unstats.un.org/unsd/class/revisions/coicop_revision.asp" TargetMode="External"/><Relationship Id="rId2" Type="http://schemas.openxmlformats.org/officeDocument/2006/relationships/numbering" Target="numbering.xml"/><Relationship Id="rId16" Type="http://schemas.openxmlformats.org/officeDocument/2006/relationships/hyperlink" Target="http://www.oecd-ilibrary.org/social-issues-migration-health/a-system-of-health-accounts/classification-of-health-care-financing-schemes-icha-hf_9789264116016-9-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ealthinfo/universal_health_coverage/report/2017/en/" TargetMode="External"/><Relationship Id="rId5" Type="http://schemas.openxmlformats.org/officeDocument/2006/relationships/webSettings" Target="webSettings.xml"/><Relationship Id="rId15" Type="http://schemas.openxmlformats.org/officeDocument/2006/relationships/hyperlink" Target="http://www.worldbank.org/en/topic/health/publication/analyzing-health-equity-using-household-survey-data" TargetMode="External"/><Relationship Id="rId10" Type="http://schemas.openxmlformats.org/officeDocument/2006/relationships/hyperlink" Target="http://datatopics.worldbank.org/universal-health-cover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ho.int/gho/cabinet/uhc.jsp" TargetMode="External"/><Relationship Id="rId14" Type="http://schemas.openxmlformats.org/officeDocument/2006/relationships/hyperlink" Target="http://dx.doi.org/10.1016/S2214-109X(17)30429-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pplications.emro.who.int/dsaf/EMROPUB_2016_EN_19169.pdf?ua=1" TargetMode="External"/><Relationship Id="rId3" Type="http://schemas.openxmlformats.org/officeDocument/2006/relationships/hyperlink" Target="https://datacatalog.worldbank.org/dataset/world-development-indicators" TargetMode="External"/><Relationship Id="rId7" Type="http://schemas.openxmlformats.org/officeDocument/2006/relationships/hyperlink" Target="http://www.euro.who.int/en/health-topics/Health-systems/health-systems-financing/publications/clusters/universal-health-coverage-financial-protection" TargetMode="External"/><Relationship Id="rId2" Type="http://schemas.openxmlformats.org/officeDocument/2006/relationships/hyperlink" Target="http://iresearch.worldbank.org/PovcalNet/povOnDemand.aspx" TargetMode="External"/><Relationship Id="rId1" Type="http://schemas.openxmlformats.org/officeDocument/2006/relationships/hyperlink" Target="https://unstats.un.org/unsd/statcom/49th-session/documents/" TargetMode="External"/><Relationship Id="rId6" Type="http://schemas.openxmlformats.org/officeDocument/2006/relationships/hyperlink" Target="http://unstats.un.org/sdgs/metadata/files/Metadata-01-01-01a.pdf" TargetMode="External"/><Relationship Id="rId5" Type="http://schemas.openxmlformats.org/officeDocument/2006/relationships/hyperlink" Target="https://datacatalog.worldbank.org/dataset/world-development-indicators" TargetMode="External"/><Relationship Id="rId10" Type="http://schemas.openxmlformats.org/officeDocument/2006/relationships/hyperlink" Target="http://www.paho.org/hq/index.php?option=com_content&amp;view=article&amp;id=11065%3A2015-universal-health-coverage-latin-america-caribbean&amp;catid=3316%3Apublications&amp;Itemid=3562&amp;lang=en" TargetMode="External"/><Relationship Id="rId4" Type="http://schemas.openxmlformats.org/officeDocument/2006/relationships/hyperlink" Target="http://www.who.int/health-accounts/ghed/en/" TargetMode="External"/><Relationship Id="rId9" Type="http://schemas.openxmlformats.org/officeDocument/2006/relationships/hyperlink" Target="http://apps.searo.who.int/uh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92A7-BC98-40B2-B818-444EC9AF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5319</Words>
  <Characters>30320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Екатерина Жирякова</cp:lastModifiedBy>
  <cp:revision>42</cp:revision>
  <dcterms:created xsi:type="dcterms:W3CDTF">2022-02-08T06:31:00Z</dcterms:created>
  <dcterms:modified xsi:type="dcterms:W3CDTF">2022-02-08T09:50:00Z</dcterms:modified>
</cp:coreProperties>
</file>