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BE415C">
        <w:rPr>
          <w:rFonts w:eastAsia="Arial Unicode MS" w:cs="Times New Roman"/>
          <w:szCs w:val="24"/>
          <w:bdr w:val="nil"/>
          <w:lang w:eastAsia="ru-RU"/>
        </w:rPr>
        <w:t>3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BE415C" w:rsidRPr="00BE415C">
        <w:rPr>
          <w:rFonts w:eastAsia="Arial Unicode MS" w:cs="Times New Roman"/>
          <w:szCs w:val="24"/>
          <w:bdr w:val="nil"/>
          <w:lang w:eastAsia="ru-RU"/>
        </w:rPr>
        <w:t>Обеспечение здорового образа жизни и содействие благополучию для всех в любом возрасте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931791" w:rsidRPr="00931791" w:rsidRDefault="00BE415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6424CD">
        <w:rPr>
          <w:rFonts w:cs="Times New Roman"/>
          <w:szCs w:val="24"/>
          <w:lang w:val="en-US"/>
        </w:rPr>
        <w:t>a</w:t>
      </w:r>
      <w:r w:rsidR="00780F08" w:rsidRPr="00BD29EC">
        <w:rPr>
          <w:rFonts w:cs="Times New Roman"/>
          <w:szCs w:val="24"/>
        </w:rPr>
        <w:t xml:space="preserve">.  </w:t>
      </w:r>
      <w:r w:rsidR="00931791">
        <w:rPr>
          <w:rFonts w:cs="Times New Roman"/>
          <w:szCs w:val="24"/>
        </w:rPr>
        <w:t>Активизировать</w:t>
      </w:r>
      <w:r w:rsidR="00931791" w:rsidRPr="00931791">
        <w:rPr>
          <w:rFonts w:cs="Times New Roman"/>
          <w:szCs w:val="24"/>
        </w:rPr>
        <w:t xml:space="preserve"> при необходимости осуществление Рамочной конвенции Всемирной организации здравоохранения по борьбе против табака во всех странах.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931791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BE415C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6424CD">
        <w:rPr>
          <w:rFonts w:cs="Times New Roman"/>
          <w:szCs w:val="24"/>
          <w:lang w:val="en-US"/>
        </w:rPr>
        <w:t>a</w:t>
      </w:r>
      <w:r w:rsidR="00780F08" w:rsidRPr="00BD29EC">
        <w:rPr>
          <w:rFonts w:cs="Times New Roman"/>
          <w:szCs w:val="24"/>
        </w:rPr>
        <w:t xml:space="preserve">.1 </w:t>
      </w:r>
      <w:r w:rsidR="00931791" w:rsidRPr="00931791">
        <w:rPr>
          <w:rFonts w:cs="Times New Roman"/>
          <w:szCs w:val="24"/>
        </w:rPr>
        <w:t xml:space="preserve">Стандартизированная по возрасту распространенность употребления табака лицами в возрасте от 15 лет. </w:t>
      </w:r>
    </w:p>
    <w:p w:rsidR="003143BC" w:rsidRPr="00A663DD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2F73D4" w:rsidRPr="002F73D4" w:rsidRDefault="002F73D4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2F73D4">
        <w:rPr>
          <w:rFonts w:eastAsia="Arial Unicode MS" w:cs="Times New Roman"/>
          <w:szCs w:val="24"/>
          <w:bdr w:val="nil"/>
          <w:lang w:eastAsia="ru-RU"/>
        </w:rPr>
        <w:t>Не применимо.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2F73D4" w:rsidRPr="002F73D4" w:rsidRDefault="002F73D4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2F73D4">
        <w:rPr>
          <w:rFonts w:eastAsia="Arial Unicode MS" w:cs="Times New Roman"/>
          <w:szCs w:val="24"/>
          <w:bdr w:val="nil"/>
          <w:lang w:eastAsia="ru-RU"/>
        </w:rPr>
        <w:t>06.12.2021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EF5D0C" w:rsidRPr="00DA19D7" w:rsidRDefault="00EF5D0C" w:rsidP="00EF5D0C">
      <w:pPr>
        <w:rPr>
          <w:bdr w:val="nil"/>
          <w:lang w:eastAsia="ru-RU"/>
        </w:rPr>
      </w:pPr>
      <w:r>
        <w:rPr>
          <w:bdr w:val="nil"/>
          <w:lang w:eastAsia="ru-RU"/>
        </w:rPr>
        <w:t xml:space="preserve">3.4.1. </w:t>
      </w:r>
      <w:r w:rsidRPr="00EF5D0C">
        <w:rPr>
          <w:bdr w:val="nil"/>
          <w:lang w:eastAsia="ru-RU"/>
        </w:rPr>
        <w:t xml:space="preserve">Смертность от </w:t>
      </w:r>
      <w:proofErr w:type="gramStart"/>
      <w:r w:rsidRPr="00EF5D0C">
        <w:rPr>
          <w:bdr w:val="nil"/>
          <w:lang w:eastAsia="ru-RU"/>
        </w:rPr>
        <w:t>сердечно-сосудистых</w:t>
      </w:r>
      <w:proofErr w:type="gramEnd"/>
      <w:r w:rsidRPr="00EF5D0C">
        <w:rPr>
          <w:bdr w:val="nil"/>
          <w:lang w:eastAsia="ru-RU"/>
        </w:rPr>
        <w:t xml:space="preserve"> заболеваний, рака, диабета, хронических респираторных заболеваний</w:t>
      </w:r>
      <w:r>
        <w:rPr>
          <w:bdr w:val="nil"/>
          <w:lang w:eastAsia="ru-RU"/>
        </w:rPr>
        <w:t>.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BD29EC" w:rsidRDefault="004D6DB6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Всемирная организация здравоохранения; </w:t>
      </w:r>
      <w:r w:rsidR="00B04183" w:rsidRPr="00B04183">
        <w:rPr>
          <w:rFonts w:cs="Times New Roman"/>
          <w:szCs w:val="24"/>
        </w:rPr>
        <w:t>Секретариат Рамочной конвенции ВОЗ по борьбе против табака.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BD29EC" w:rsidRDefault="004D6DB6" w:rsidP="0075371E">
      <w:pPr>
        <w:pStyle w:val="MText"/>
        <w:rPr>
          <w:color w:val="auto"/>
          <w:sz w:val="24"/>
          <w:szCs w:val="24"/>
          <w:lang w:val="ru-RU"/>
        </w:rPr>
      </w:pPr>
      <w:r w:rsidRPr="004D6DB6">
        <w:rPr>
          <w:color w:val="auto"/>
          <w:sz w:val="24"/>
          <w:szCs w:val="24"/>
          <w:lang w:val="ru-RU"/>
        </w:rPr>
        <w:t>Всемирная организация здравоохранения; Секретариат Рамочной конвенции ВОЗ по борьбе против табака.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4D6DB6" w:rsidRPr="00BE78E6" w:rsidRDefault="004D6DB6" w:rsidP="00BE78E6">
      <w:r w:rsidRPr="004D6DB6">
        <w:t xml:space="preserve">Показатель определяется как процент населения в возрасте 15 лет и старше, который в настоящее время использует любой табачный продукт (курительный и/или </w:t>
      </w:r>
      <w:proofErr w:type="spellStart"/>
      <w:r w:rsidRPr="004D6DB6">
        <w:t>некурительный</w:t>
      </w:r>
      <w:proofErr w:type="spellEnd"/>
      <w:r w:rsidRPr="004D6DB6">
        <w:t xml:space="preserve"> табак) ежедневно или не ежедневно.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BE78E6" w:rsidRDefault="00BE78E6" w:rsidP="00BE78E6">
      <w:pPr>
        <w:rPr>
          <w:rFonts w:cs="Times New Roman"/>
          <w:szCs w:val="24"/>
        </w:rPr>
      </w:pPr>
      <w:r w:rsidRPr="003F1B08">
        <w:rPr>
          <w:rFonts w:cs="Times New Roman"/>
          <w:szCs w:val="24"/>
        </w:rPr>
        <w:t xml:space="preserve">Использование табака означает использование </w:t>
      </w:r>
      <w:r w:rsidRPr="00065049">
        <w:rPr>
          <w:rFonts w:cs="Times New Roman"/>
          <w:szCs w:val="24"/>
        </w:rPr>
        <w:t>кури</w:t>
      </w:r>
      <w:r>
        <w:rPr>
          <w:rFonts w:cs="Times New Roman"/>
          <w:szCs w:val="24"/>
        </w:rPr>
        <w:t>тель</w:t>
      </w:r>
      <w:r w:rsidRPr="00065049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ых</w:t>
      </w:r>
      <w:r w:rsidRPr="00065049">
        <w:rPr>
          <w:rFonts w:cs="Times New Roman"/>
          <w:szCs w:val="24"/>
        </w:rPr>
        <w:t xml:space="preserve"> и/или </w:t>
      </w:r>
      <w:proofErr w:type="spellStart"/>
      <w:r>
        <w:rPr>
          <w:rFonts w:cs="Times New Roman"/>
          <w:szCs w:val="24"/>
        </w:rPr>
        <w:t>некурительных</w:t>
      </w:r>
      <w:proofErr w:type="spellEnd"/>
      <w:r>
        <w:rPr>
          <w:rFonts w:cs="Times New Roman"/>
          <w:szCs w:val="24"/>
        </w:rPr>
        <w:t xml:space="preserve"> табачных</w:t>
      </w:r>
      <w:r w:rsidRPr="003F1B08">
        <w:rPr>
          <w:rFonts w:cs="Times New Roman"/>
          <w:szCs w:val="24"/>
        </w:rPr>
        <w:t xml:space="preserve"> изделий. «Текущее использование» означает использование в течение предыдущих 30 дней на момент опроса, будь то ежедневное или не ежедневное использование.</w:t>
      </w:r>
    </w:p>
    <w:p w:rsidR="00BE78E6" w:rsidRPr="0081049D" w:rsidRDefault="00BE78E6" w:rsidP="00BE78E6">
      <w:pPr>
        <w:rPr>
          <w:rFonts w:cs="Times New Roman"/>
          <w:szCs w:val="24"/>
        </w:rPr>
      </w:pPr>
      <w:r w:rsidRPr="0081049D">
        <w:rPr>
          <w:rFonts w:cs="Times New Roman"/>
          <w:szCs w:val="24"/>
        </w:rPr>
        <w:t xml:space="preserve">Табачные изделия </w:t>
      </w:r>
      <w:r>
        <w:rPr>
          <w:rFonts w:cs="Times New Roman"/>
          <w:szCs w:val="24"/>
        </w:rPr>
        <w:t>- это</w:t>
      </w:r>
      <w:r w:rsidRPr="0081049D">
        <w:rPr>
          <w:rFonts w:cs="Times New Roman"/>
          <w:szCs w:val="24"/>
        </w:rPr>
        <w:t xml:space="preserve"> продукты, полностью или частично изготовленные из листового табака в качестве сырья, предназначенного для потребления человеком, путем </w:t>
      </w:r>
      <w:r>
        <w:rPr>
          <w:rFonts w:cs="Times New Roman"/>
          <w:szCs w:val="24"/>
        </w:rPr>
        <w:t>курения, сосания, жевания или втягивания носом</w:t>
      </w:r>
      <w:r w:rsidRPr="0081049D">
        <w:rPr>
          <w:rFonts w:cs="Times New Roman"/>
          <w:szCs w:val="24"/>
        </w:rPr>
        <w:t>.</w:t>
      </w:r>
    </w:p>
    <w:p w:rsidR="00BE78E6" w:rsidRPr="003F1B08" w:rsidRDefault="00BE78E6" w:rsidP="00BE78E6">
      <w:pPr>
        <w:rPr>
          <w:rFonts w:cs="Times New Roman"/>
          <w:szCs w:val="24"/>
        </w:rPr>
      </w:pPr>
      <w:r w:rsidRPr="0081049D">
        <w:rPr>
          <w:rFonts w:cs="Times New Roman"/>
          <w:szCs w:val="24"/>
        </w:rPr>
        <w:lastRenderedPageBreak/>
        <w:t>«</w:t>
      </w:r>
      <w:r>
        <w:rPr>
          <w:rFonts w:cs="Times New Roman"/>
          <w:szCs w:val="24"/>
        </w:rPr>
        <w:t>Курительные</w:t>
      </w:r>
      <w:r w:rsidRPr="0081049D">
        <w:rPr>
          <w:rFonts w:cs="Times New Roman"/>
          <w:szCs w:val="24"/>
        </w:rPr>
        <w:t xml:space="preserve"> табачные изделия» включают сигареты, </w:t>
      </w:r>
      <w:proofErr w:type="spellStart"/>
      <w:r w:rsidRPr="0081049D">
        <w:rPr>
          <w:rFonts w:cs="Times New Roman"/>
          <w:szCs w:val="24"/>
        </w:rPr>
        <w:t>сигариллы</w:t>
      </w:r>
      <w:proofErr w:type="spellEnd"/>
      <w:r w:rsidRPr="0081049D">
        <w:rPr>
          <w:rFonts w:cs="Times New Roman"/>
          <w:szCs w:val="24"/>
        </w:rPr>
        <w:t xml:space="preserve">, сигары, </w:t>
      </w:r>
      <w:r>
        <w:rPr>
          <w:rFonts w:cs="Times New Roman"/>
          <w:szCs w:val="24"/>
        </w:rPr>
        <w:t xml:space="preserve">манильские </w:t>
      </w:r>
      <w:r w:rsidRPr="0081049D">
        <w:rPr>
          <w:rFonts w:cs="Times New Roman"/>
          <w:szCs w:val="24"/>
        </w:rPr>
        <w:t xml:space="preserve">сигары с обрезанными концами, </w:t>
      </w:r>
      <w:proofErr w:type="spellStart"/>
      <w:r w:rsidRPr="0081049D">
        <w:rPr>
          <w:rFonts w:cs="Times New Roman"/>
          <w:szCs w:val="24"/>
        </w:rPr>
        <w:t>биди</w:t>
      </w:r>
      <w:proofErr w:type="spellEnd"/>
      <w:r w:rsidRPr="0081049D">
        <w:rPr>
          <w:rFonts w:cs="Times New Roman"/>
          <w:szCs w:val="24"/>
        </w:rPr>
        <w:t>, труб</w:t>
      </w:r>
      <w:r>
        <w:rPr>
          <w:rFonts w:cs="Times New Roman"/>
          <w:szCs w:val="24"/>
        </w:rPr>
        <w:t>ки</w:t>
      </w:r>
      <w:r w:rsidRPr="0081049D">
        <w:rPr>
          <w:rFonts w:cs="Times New Roman"/>
          <w:szCs w:val="24"/>
        </w:rPr>
        <w:t>, кальяны, собственн</w:t>
      </w:r>
      <w:r>
        <w:rPr>
          <w:rFonts w:cs="Times New Roman"/>
          <w:szCs w:val="24"/>
        </w:rPr>
        <w:t xml:space="preserve">оручно скрученный </w:t>
      </w:r>
      <w:r w:rsidRPr="0081049D">
        <w:rPr>
          <w:rFonts w:cs="Times New Roman"/>
          <w:szCs w:val="24"/>
        </w:rPr>
        <w:t xml:space="preserve">табак, </w:t>
      </w:r>
      <w:proofErr w:type="spellStart"/>
      <w:r w:rsidRPr="0081049D">
        <w:rPr>
          <w:rFonts w:cs="Times New Roman"/>
          <w:szCs w:val="24"/>
        </w:rPr>
        <w:t>кретек</w:t>
      </w:r>
      <w:proofErr w:type="spellEnd"/>
      <w:r w:rsidRPr="0081049D">
        <w:rPr>
          <w:rFonts w:cs="Times New Roman"/>
          <w:szCs w:val="24"/>
        </w:rPr>
        <w:t xml:space="preserve"> и любую другую форму табака, потребляемую</w:t>
      </w:r>
      <w:r>
        <w:rPr>
          <w:rFonts w:cs="Times New Roman"/>
          <w:szCs w:val="24"/>
        </w:rPr>
        <w:t xml:space="preserve"> путем</w:t>
      </w:r>
      <w:r w:rsidRPr="0081049D">
        <w:rPr>
          <w:rFonts w:cs="Times New Roman"/>
          <w:szCs w:val="24"/>
        </w:rPr>
        <w:t xml:space="preserve"> курени</w:t>
      </w:r>
      <w:r>
        <w:rPr>
          <w:rFonts w:cs="Times New Roman"/>
          <w:szCs w:val="24"/>
        </w:rPr>
        <w:t>я</w:t>
      </w:r>
      <w:r w:rsidRPr="0081049D">
        <w:rPr>
          <w:rFonts w:cs="Times New Roman"/>
          <w:szCs w:val="24"/>
        </w:rPr>
        <w:t>.</w:t>
      </w:r>
    </w:p>
    <w:p w:rsidR="00BE78E6" w:rsidRDefault="00BE78E6" w:rsidP="00BE78E6">
      <w:pPr>
        <w:rPr>
          <w:rFonts w:cs="Times New Roman"/>
          <w:szCs w:val="24"/>
        </w:rPr>
      </w:pPr>
      <w:proofErr w:type="gramStart"/>
      <w:r w:rsidRPr="0081049D">
        <w:rPr>
          <w:rFonts w:cs="Times New Roman"/>
          <w:szCs w:val="24"/>
        </w:rPr>
        <w:t>«</w:t>
      </w:r>
      <w:proofErr w:type="spellStart"/>
      <w:r>
        <w:rPr>
          <w:rFonts w:cs="Times New Roman"/>
          <w:szCs w:val="24"/>
        </w:rPr>
        <w:t>Некурительное</w:t>
      </w:r>
      <w:proofErr w:type="spellEnd"/>
      <w:r>
        <w:rPr>
          <w:rFonts w:cs="Times New Roman"/>
          <w:szCs w:val="24"/>
        </w:rPr>
        <w:t xml:space="preserve"> табачное изделие</w:t>
      </w:r>
      <w:r w:rsidRPr="0081049D">
        <w:rPr>
          <w:rFonts w:cs="Times New Roman"/>
          <w:szCs w:val="24"/>
        </w:rPr>
        <w:t xml:space="preserve">» включает в себя влажный табак, сливочный табак, сухой табак, </w:t>
      </w:r>
      <w:r>
        <w:rPr>
          <w:rFonts w:cs="Times New Roman"/>
          <w:szCs w:val="24"/>
        </w:rPr>
        <w:t>жевательный табак</w:t>
      </w:r>
      <w:r w:rsidRPr="0081049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рассасываемый табак</w:t>
      </w:r>
      <w:r w:rsidRPr="0081049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порошковый табак</w:t>
      </w:r>
      <w:r w:rsidRPr="0081049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листья табака, красный зубной порошок, </w:t>
      </w:r>
      <w:proofErr w:type="spellStart"/>
      <w:r>
        <w:rPr>
          <w:rFonts w:cs="Times New Roman"/>
          <w:szCs w:val="24"/>
        </w:rPr>
        <w:t>сню</w:t>
      </w:r>
      <w:r w:rsidRPr="0081049D">
        <w:rPr>
          <w:rFonts w:cs="Times New Roman"/>
          <w:szCs w:val="24"/>
        </w:rPr>
        <w:t>с</w:t>
      </w:r>
      <w:proofErr w:type="spellEnd"/>
      <w:r w:rsidRPr="0081049D">
        <w:rPr>
          <w:rFonts w:cs="Times New Roman"/>
          <w:szCs w:val="24"/>
        </w:rPr>
        <w:t xml:space="preserve">, </w:t>
      </w:r>
      <w:proofErr w:type="spellStart"/>
      <w:r w:rsidRPr="0081049D">
        <w:rPr>
          <w:rFonts w:cs="Times New Roman"/>
          <w:szCs w:val="24"/>
        </w:rPr>
        <w:t>химо</w:t>
      </w:r>
      <w:proofErr w:type="spellEnd"/>
      <w:r w:rsidRPr="0081049D">
        <w:rPr>
          <w:rFonts w:cs="Times New Roman"/>
          <w:szCs w:val="24"/>
        </w:rPr>
        <w:t xml:space="preserve">, </w:t>
      </w:r>
      <w:proofErr w:type="spellStart"/>
      <w:r w:rsidRPr="0081049D">
        <w:rPr>
          <w:rFonts w:cs="Times New Roman"/>
          <w:szCs w:val="24"/>
        </w:rPr>
        <w:t>гутха</w:t>
      </w:r>
      <w:proofErr w:type="spellEnd"/>
      <w:r w:rsidRPr="0081049D">
        <w:rPr>
          <w:rFonts w:cs="Times New Roman"/>
          <w:szCs w:val="24"/>
        </w:rPr>
        <w:t xml:space="preserve">, </w:t>
      </w:r>
      <w:proofErr w:type="spellStart"/>
      <w:r w:rsidRPr="0081049D">
        <w:rPr>
          <w:rFonts w:cs="Times New Roman"/>
          <w:szCs w:val="24"/>
        </w:rPr>
        <w:t>хайни</w:t>
      </w:r>
      <w:proofErr w:type="spellEnd"/>
      <w:r w:rsidRPr="0081049D">
        <w:rPr>
          <w:rFonts w:cs="Times New Roman"/>
          <w:szCs w:val="24"/>
        </w:rPr>
        <w:t xml:space="preserve">, </w:t>
      </w:r>
      <w:proofErr w:type="spellStart"/>
      <w:r w:rsidRPr="0081049D">
        <w:rPr>
          <w:rFonts w:cs="Times New Roman"/>
          <w:szCs w:val="24"/>
        </w:rPr>
        <w:t>гудаху</w:t>
      </w:r>
      <w:proofErr w:type="spellEnd"/>
      <w:r w:rsidRPr="0081049D">
        <w:rPr>
          <w:rFonts w:cs="Times New Roman"/>
          <w:szCs w:val="24"/>
        </w:rPr>
        <w:t xml:space="preserve">, </w:t>
      </w:r>
      <w:proofErr w:type="spellStart"/>
      <w:r w:rsidRPr="0081049D">
        <w:rPr>
          <w:rFonts w:cs="Times New Roman"/>
          <w:szCs w:val="24"/>
        </w:rPr>
        <w:t>зарду</w:t>
      </w:r>
      <w:proofErr w:type="spellEnd"/>
      <w:r w:rsidRPr="0081049D">
        <w:rPr>
          <w:rFonts w:cs="Times New Roman"/>
          <w:szCs w:val="24"/>
        </w:rPr>
        <w:t xml:space="preserve">, </w:t>
      </w:r>
      <w:proofErr w:type="spellStart"/>
      <w:r w:rsidRPr="0081049D">
        <w:rPr>
          <w:rFonts w:cs="Times New Roman"/>
          <w:szCs w:val="24"/>
        </w:rPr>
        <w:t>кувум</w:t>
      </w:r>
      <w:proofErr w:type="spellEnd"/>
      <w:r w:rsidRPr="0081049D">
        <w:rPr>
          <w:rFonts w:cs="Times New Roman"/>
          <w:szCs w:val="24"/>
        </w:rPr>
        <w:t xml:space="preserve">, </w:t>
      </w:r>
      <w:proofErr w:type="spellStart"/>
      <w:r w:rsidRPr="0081049D">
        <w:rPr>
          <w:rFonts w:cs="Times New Roman"/>
          <w:szCs w:val="24"/>
        </w:rPr>
        <w:t>дохра</w:t>
      </w:r>
      <w:proofErr w:type="spellEnd"/>
      <w:r w:rsidRPr="0081049D">
        <w:rPr>
          <w:rFonts w:cs="Times New Roman"/>
          <w:szCs w:val="24"/>
        </w:rPr>
        <w:t xml:space="preserve">, </w:t>
      </w:r>
      <w:proofErr w:type="spellStart"/>
      <w:r w:rsidRPr="0081049D">
        <w:rPr>
          <w:rFonts w:cs="Times New Roman"/>
          <w:szCs w:val="24"/>
        </w:rPr>
        <w:t>туйбур</w:t>
      </w:r>
      <w:proofErr w:type="spellEnd"/>
      <w:r w:rsidRPr="0081049D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насвай</w:t>
      </w:r>
      <w:proofErr w:type="spellEnd"/>
      <w:r w:rsidRPr="0081049D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шамма</w:t>
      </w:r>
      <w:proofErr w:type="spellEnd"/>
      <w:r w:rsidRPr="0081049D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томбак</w:t>
      </w:r>
      <w:proofErr w:type="spellEnd"/>
      <w:r w:rsidRPr="0081049D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паан</w:t>
      </w:r>
      <w:proofErr w:type="spellEnd"/>
      <w:r w:rsidRPr="0081049D">
        <w:rPr>
          <w:rFonts w:cs="Times New Roman"/>
          <w:szCs w:val="24"/>
        </w:rPr>
        <w:t xml:space="preserve"> (бетель с табаком), </w:t>
      </w:r>
      <w:proofErr w:type="spellStart"/>
      <w:r w:rsidRPr="0081049D">
        <w:rPr>
          <w:rFonts w:cs="Times New Roman"/>
          <w:szCs w:val="24"/>
        </w:rPr>
        <w:t>iq'mik</w:t>
      </w:r>
      <w:proofErr w:type="spellEnd"/>
      <w:r w:rsidRPr="0081049D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мишри</w:t>
      </w:r>
      <w:proofErr w:type="spellEnd"/>
      <w:r w:rsidRPr="0081049D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тапкир</w:t>
      </w:r>
      <w:proofErr w:type="spellEnd"/>
      <w:r w:rsidRPr="0081049D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томбол</w:t>
      </w:r>
      <w:proofErr w:type="spellEnd"/>
      <w:r w:rsidRPr="0081049D">
        <w:rPr>
          <w:rFonts w:cs="Times New Roman"/>
          <w:szCs w:val="24"/>
        </w:rPr>
        <w:t xml:space="preserve"> и любой другой табачный</w:t>
      </w:r>
      <w:r>
        <w:rPr>
          <w:rFonts w:cs="Times New Roman"/>
          <w:szCs w:val="24"/>
        </w:rPr>
        <w:t xml:space="preserve"> продукт, который потребляется путем вдыхания,</w:t>
      </w:r>
      <w:r w:rsidRPr="0081049D">
        <w:rPr>
          <w:rFonts w:cs="Times New Roman"/>
          <w:szCs w:val="24"/>
        </w:rPr>
        <w:t xml:space="preserve"> держа</w:t>
      </w:r>
      <w:r>
        <w:rPr>
          <w:rFonts w:cs="Times New Roman"/>
          <w:szCs w:val="24"/>
        </w:rPr>
        <w:t>ния</w:t>
      </w:r>
      <w:r w:rsidRPr="0081049D">
        <w:rPr>
          <w:rFonts w:cs="Times New Roman"/>
          <w:szCs w:val="24"/>
        </w:rPr>
        <w:t xml:space="preserve"> в рот</w:t>
      </w:r>
      <w:r>
        <w:rPr>
          <w:rFonts w:cs="Times New Roman"/>
          <w:szCs w:val="24"/>
        </w:rPr>
        <w:t>у или жевания</w:t>
      </w:r>
      <w:r w:rsidRPr="0081049D">
        <w:rPr>
          <w:rFonts w:cs="Times New Roman"/>
          <w:szCs w:val="24"/>
        </w:rPr>
        <w:t>.</w:t>
      </w:r>
      <w:proofErr w:type="gramEnd"/>
    </w:p>
    <w:p w:rsidR="00BE78E6" w:rsidRPr="00BE78E6" w:rsidRDefault="00BE78E6" w:rsidP="00BE78E6">
      <w:pPr>
        <w:rPr>
          <w:rFonts w:cs="Times New Roman"/>
          <w:szCs w:val="24"/>
        </w:rPr>
      </w:pPr>
      <w:r w:rsidRPr="00BE78E6">
        <w:rPr>
          <w:rFonts w:cs="Times New Roman"/>
          <w:szCs w:val="24"/>
        </w:rPr>
        <w:t>Оценки распространенности были «стандартизированы по возрасту», чтобы сделать их сопоставимыми по всем странам независимо от демографического профиля страны. Это делается путем применения показателей удельной распространенности по странам и возрасту каждой страны к Стандартному населению ВОЗ. Результирующие показатели представляют собой гипотетические цифры, которые имеют смысл только при сравнении показателей, полученных для одной страны, с данными, полученными для другой страны.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6902DB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Доля (процент). 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8326D2" w:rsidRPr="008326D2" w:rsidRDefault="008326D2" w:rsidP="008326D2">
      <w:pPr>
        <w:pStyle w:val="MText"/>
        <w:rPr>
          <w:color w:val="auto"/>
          <w:sz w:val="24"/>
          <w:szCs w:val="24"/>
          <w:lang w:val="ru-RU"/>
        </w:rPr>
      </w:pPr>
      <w:r w:rsidRPr="008326D2">
        <w:rPr>
          <w:color w:val="auto"/>
          <w:sz w:val="24"/>
          <w:szCs w:val="24"/>
          <w:lang w:val="ru-RU"/>
        </w:rPr>
        <w:t xml:space="preserve">«Табачные изделия» определены в статье 1 (f) РКБТ ВОЗ, </w:t>
      </w:r>
      <w:proofErr w:type="gramStart"/>
      <w:r w:rsidRPr="008326D2">
        <w:rPr>
          <w:color w:val="auto"/>
          <w:sz w:val="24"/>
          <w:szCs w:val="24"/>
          <w:lang w:val="ru-RU"/>
        </w:rPr>
        <w:t>см</w:t>
      </w:r>
      <w:proofErr w:type="gramEnd"/>
      <w:r w:rsidRPr="008326D2">
        <w:rPr>
          <w:color w:val="auto"/>
          <w:sz w:val="24"/>
          <w:szCs w:val="24"/>
          <w:lang w:val="ru-RU"/>
        </w:rPr>
        <w:t>.</w:t>
      </w:r>
    </w:p>
    <w:p w:rsidR="00333B34" w:rsidRDefault="008326D2" w:rsidP="008326D2">
      <w:pPr>
        <w:pStyle w:val="MText"/>
        <w:rPr>
          <w:color w:val="auto"/>
          <w:sz w:val="24"/>
          <w:szCs w:val="24"/>
          <w:lang w:val="ru-RU"/>
        </w:rPr>
      </w:pPr>
      <w:r w:rsidRPr="008326D2">
        <w:rPr>
          <w:color w:val="auto"/>
          <w:sz w:val="24"/>
          <w:szCs w:val="24"/>
          <w:lang w:val="ru-RU"/>
        </w:rPr>
        <w:t xml:space="preserve">https://www.who.int/fctc/text_download/en/. </w:t>
      </w:r>
    </w:p>
    <w:p w:rsidR="008326D2" w:rsidRPr="008326D2" w:rsidRDefault="00333B34" w:rsidP="008326D2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Системы нагревания табака</w:t>
      </w:r>
      <w:r w:rsidR="008326D2" w:rsidRPr="008326D2">
        <w:rPr>
          <w:color w:val="auto"/>
          <w:sz w:val="24"/>
          <w:szCs w:val="24"/>
          <w:lang w:val="ru-RU"/>
        </w:rPr>
        <w:t xml:space="preserve"> классифицируются как табачные изделия в решении </w:t>
      </w:r>
      <w:r w:rsidRPr="008326D2">
        <w:rPr>
          <w:color w:val="auto"/>
          <w:sz w:val="24"/>
          <w:szCs w:val="24"/>
          <w:lang w:val="ru-RU"/>
        </w:rPr>
        <w:t xml:space="preserve">РКБТ </w:t>
      </w:r>
      <w:r w:rsidR="008326D2" w:rsidRPr="008326D2">
        <w:rPr>
          <w:color w:val="auto"/>
          <w:sz w:val="24"/>
          <w:szCs w:val="24"/>
          <w:lang w:val="ru-RU"/>
        </w:rPr>
        <w:t>/CIO8(22), см. https://www.who.int/fctc/cop/sessions/cop8/FCTC__COP8(22).pdf.</w:t>
      </w:r>
    </w:p>
    <w:p w:rsidR="008326D2" w:rsidRPr="008326D2" w:rsidRDefault="008326D2" w:rsidP="008326D2">
      <w:pPr>
        <w:pStyle w:val="MText"/>
        <w:rPr>
          <w:color w:val="auto"/>
          <w:sz w:val="24"/>
          <w:szCs w:val="24"/>
          <w:lang w:val="ru-RU"/>
        </w:rPr>
      </w:pPr>
      <w:r w:rsidRPr="008326D2">
        <w:rPr>
          <w:color w:val="auto"/>
          <w:sz w:val="24"/>
          <w:szCs w:val="24"/>
          <w:lang w:val="ru-RU"/>
        </w:rPr>
        <w:t xml:space="preserve">Стандартная популяция ВОЗ используется для стандартизации возраста, </w:t>
      </w:r>
      <w:proofErr w:type="gramStart"/>
      <w:r w:rsidRPr="008326D2">
        <w:rPr>
          <w:color w:val="auto"/>
          <w:sz w:val="24"/>
          <w:szCs w:val="24"/>
          <w:lang w:val="ru-RU"/>
        </w:rPr>
        <w:t>см</w:t>
      </w:r>
      <w:proofErr w:type="gramEnd"/>
      <w:r w:rsidRPr="008326D2">
        <w:rPr>
          <w:color w:val="auto"/>
          <w:sz w:val="24"/>
          <w:szCs w:val="24"/>
          <w:lang w:val="ru-RU"/>
        </w:rPr>
        <w:t>.</w:t>
      </w:r>
    </w:p>
    <w:p w:rsidR="008326D2" w:rsidRPr="008326D2" w:rsidRDefault="008326D2" w:rsidP="008326D2">
      <w:pPr>
        <w:pStyle w:val="MText"/>
        <w:rPr>
          <w:color w:val="auto"/>
          <w:sz w:val="24"/>
          <w:szCs w:val="24"/>
          <w:lang w:val="ru-RU"/>
        </w:rPr>
      </w:pPr>
      <w:r w:rsidRPr="008326D2">
        <w:rPr>
          <w:color w:val="auto"/>
          <w:sz w:val="24"/>
          <w:szCs w:val="24"/>
          <w:lang w:val="ru-RU"/>
        </w:rPr>
        <w:t>https://www.who.int/healthinfo/paper31.pdf</w:t>
      </w:r>
    </w:p>
    <w:p w:rsidR="000A229E" w:rsidRPr="00BD29EC" w:rsidRDefault="00333B34" w:rsidP="008326D2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Данные </w:t>
      </w:r>
      <w:proofErr w:type="spellStart"/>
      <w:r w:rsidRPr="00333B34">
        <w:rPr>
          <w:color w:val="auto"/>
          <w:sz w:val="24"/>
          <w:szCs w:val="24"/>
          <w:lang w:val="ru-RU"/>
        </w:rPr>
        <w:t>World</w:t>
      </w:r>
      <w:proofErr w:type="spellEnd"/>
      <w:r w:rsidRPr="00333B34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333B34">
        <w:rPr>
          <w:color w:val="auto"/>
          <w:sz w:val="24"/>
          <w:szCs w:val="24"/>
          <w:lang w:val="ru-RU"/>
        </w:rPr>
        <w:t>Population</w:t>
      </w:r>
      <w:proofErr w:type="spellEnd"/>
      <w:r w:rsidRPr="00333B34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333B34">
        <w:rPr>
          <w:color w:val="auto"/>
          <w:sz w:val="24"/>
          <w:szCs w:val="24"/>
          <w:lang w:val="ru-RU"/>
        </w:rPr>
        <w:t>Prospects</w:t>
      </w:r>
      <w:proofErr w:type="spellEnd"/>
      <w:r w:rsidR="008326D2" w:rsidRPr="008326D2">
        <w:rPr>
          <w:color w:val="auto"/>
          <w:sz w:val="24"/>
          <w:szCs w:val="24"/>
          <w:lang w:val="ru-RU"/>
        </w:rPr>
        <w:t xml:space="preserve"> (население в возрасте 15 лет и старше в каждой стране) использу</w:t>
      </w:r>
      <w:r>
        <w:rPr>
          <w:color w:val="auto"/>
          <w:sz w:val="24"/>
          <w:szCs w:val="24"/>
          <w:lang w:val="ru-RU"/>
        </w:rPr>
        <w:t>ю</w:t>
      </w:r>
      <w:r w:rsidR="008326D2" w:rsidRPr="008326D2">
        <w:rPr>
          <w:color w:val="auto"/>
          <w:sz w:val="24"/>
          <w:szCs w:val="24"/>
          <w:lang w:val="ru-RU"/>
        </w:rPr>
        <w:t>тся в знаменателе показателя, см. https://population.un.org/wpp/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C63B1F" w:rsidRDefault="00C63B1F" w:rsidP="00C63B1F">
      <w:pPr>
        <w:rPr>
          <w:rFonts w:cs="Times New Roman"/>
          <w:szCs w:val="24"/>
        </w:rPr>
      </w:pPr>
      <w:r w:rsidRPr="004D13FF">
        <w:rPr>
          <w:rFonts w:cs="Times New Roman"/>
          <w:szCs w:val="24"/>
        </w:rPr>
        <w:t>Показатели распространенности по возрасту по результатам опросов национальных представителей, проведенных с 1990 года:</w:t>
      </w:r>
    </w:p>
    <w:p w:rsidR="00C63B1F" w:rsidRDefault="00C63B1F" w:rsidP="00C63B1F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официально признаны</w:t>
      </w:r>
      <w:r w:rsidRPr="004D13FF">
        <w:rPr>
          <w:rFonts w:cs="Times New Roman"/>
          <w:szCs w:val="24"/>
        </w:rPr>
        <w:t xml:space="preserve"> национальным органом здравоохранения;</w:t>
      </w:r>
    </w:p>
    <w:p w:rsidR="00C63B1F" w:rsidRDefault="00C63B1F" w:rsidP="00C63B1F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4D13FF">
        <w:rPr>
          <w:rFonts w:cs="Times New Roman"/>
          <w:szCs w:val="24"/>
        </w:rPr>
        <w:t xml:space="preserve">случайно выбранных участников, представляющих население в целом; </w:t>
      </w:r>
    </w:p>
    <w:p w:rsidR="00C63B1F" w:rsidRDefault="00C63B1F" w:rsidP="0075371E">
      <w:pPr>
        <w:pStyle w:val="ab"/>
        <w:numPr>
          <w:ilvl w:val="0"/>
          <w:numId w:val="5"/>
        </w:num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отмечается</w:t>
      </w:r>
      <w:proofErr w:type="gramEnd"/>
      <w:r>
        <w:rPr>
          <w:rFonts w:cs="Times New Roman"/>
          <w:szCs w:val="24"/>
        </w:rPr>
        <w:t xml:space="preserve"> </w:t>
      </w:r>
      <w:r w:rsidRPr="006B3EB9">
        <w:rPr>
          <w:rFonts w:cs="Times New Roman"/>
          <w:szCs w:val="24"/>
        </w:rPr>
        <w:t>по крайней мере, один показатель, измеряющий потребление табака, ежедневное употребление табака, текущее курение табака, ежедневное курение табака, текущее курение сигарет или ежедневное курение сигарет.</w:t>
      </w:r>
    </w:p>
    <w:p w:rsidR="00C63B1F" w:rsidRPr="00C63B1F" w:rsidRDefault="00C63B1F" w:rsidP="00C63B1F">
      <w:pPr>
        <w:rPr>
          <w:rFonts w:cs="Times New Roman"/>
          <w:szCs w:val="24"/>
        </w:rPr>
      </w:pPr>
      <w:r w:rsidRPr="00C63B1F">
        <w:rPr>
          <w:rFonts w:cs="Times New Roman"/>
          <w:szCs w:val="24"/>
        </w:rPr>
        <w:t>Официальные отчеты обследований собираются из государств-членов одним или несколькими из следующих способов:</w:t>
      </w:r>
    </w:p>
    <w:p w:rsidR="00C63B1F" w:rsidRPr="00C63B1F" w:rsidRDefault="00C63B1F" w:rsidP="00C63B1F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C63B1F">
        <w:rPr>
          <w:rFonts w:cs="Times New Roman"/>
          <w:szCs w:val="24"/>
        </w:rPr>
        <w:t>система отчетности РКБТ ВОЗ</w:t>
      </w:r>
      <w:r>
        <w:rPr>
          <w:rFonts w:cs="Times New Roman"/>
          <w:szCs w:val="24"/>
        </w:rPr>
        <w:t xml:space="preserve"> </w:t>
      </w:r>
      <w:r w:rsidRPr="00C63B1F">
        <w:rPr>
          <w:rFonts w:cs="Times New Roman"/>
          <w:szCs w:val="24"/>
        </w:rPr>
        <w:t>о ходе осуществления</w:t>
      </w:r>
      <w:r>
        <w:rPr>
          <w:rFonts w:cs="Times New Roman"/>
          <w:szCs w:val="24"/>
        </w:rPr>
        <w:t xml:space="preserve"> положений</w:t>
      </w:r>
      <w:r w:rsidRPr="00C63B1F">
        <w:rPr>
          <w:rFonts w:cs="Times New Roman"/>
          <w:szCs w:val="24"/>
        </w:rPr>
        <w:t xml:space="preserve"> Конвенции;</w:t>
      </w:r>
    </w:p>
    <w:p w:rsidR="00C63B1F" w:rsidRPr="00C63B1F" w:rsidRDefault="00C63B1F" w:rsidP="00C63B1F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C63B1F">
        <w:rPr>
          <w:rFonts w:cs="Times New Roman"/>
          <w:szCs w:val="24"/>
        </w:rPr>
        <w:lastRenderedPageBreak/>
        <w:t xml:space="preserve">обзор обследований, проводимых под эгидой Глобальной системы </w:t>
      </w:r>
      <w:proofErr w:type="spellStart"/>
      <w:r w:rsidRPr="00C63B1F">
        <w:rPr>
          <w:rFonts w:cs="Times New Roman"/>
          <w:szCs w:val="24"/>
        </w:rPr>
        <w:t>эпиднадзора</w:t>
      </w:r>
      <w:proofErr w:type="spellEnd"/>
      <w:r w:rsidRPr="00C63B1F">
        <w:rPr>
          <w:rFonts w:cs="Times New Roman"/>
          <w:szCs w:val="24"/>
        </w:rPr>
        <w:t xml:space="preserve"> за табаком;</w:t>
      </w:r>
    </w:p>
    <w:p w:rsidR="00C63B1F" w:rsidRPr="00C63B1F" w:rsidRDefault="00C63B1F" w:rsidP="00C63B1F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C63B1F">
        <w:rPr>
          <w:rFonts w:cs="Times New Roman"/>
          <w:szCs w:val="24"/>
        </w:rPr>
        <w:t xml:space="preserve">обзор других обследований, проведенных в сотрудничестве с ВОЗ, таких как </w:t>
      </w:r>
      <w:proofErr w:type="spellStart"/>
      <w:r w:rsidRPr="00C63B1F">
        <w:rPr>
          <w:rFonts w:cs="Times New Roman"/>
          <w:szCs w:val="24"/>
        </w:rPr>
        <w:t>STEPwise</w:t>
      </w:r>
      <w:proofErr w:type="spellEnd"/>
      <w:r w:rsidRPr="00C63B1F">
        <w:rPr>
          <w:rFonts w:cs="Times New Roman"/>
          <w:szCs w:val="24"/>
        </w:rPr>
        <w:t xml:space="preserve"> опросы и Всемирные обследования здоровья;</w:t>
      </w:r>
    </w:p>
    <w:p w:rsidR="00C63B1F" w:rsidRPr="00C63B1F" w:rsidRDefault="00C63B1F" w:rsidP="00C63B1F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C63B1F">
        <w:rPr>
          <w:rFonts w:cs="Times New Roman"/>
          <w:szCs w:val="24"/>
        </w:rPr>
        <w:t>сканирование баз данных международного надзора, таких как демографическое и медицинское обследование (DHS), кластерное обследование с несколькими показателями (MICS) и Обследование уровня жизни Всемирного банка (LSMS); а также</w:t>
      </w:r>
    </w:p>
    <w:p w:rsidR="00C63B1F" w:rsidRPr="00C63B1F" w:rsidRDefault="00C63B1F" w:rsidP="00C63B1F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C63B1F">
        <w:rPr>
          <w:rFonts w:cs="Times New Roman"/>
          <w:szCs w:val="24"/>
        </w:rPr>
        <w:t xml:space="preserve">выявление и обзор обследований по конкретным странам, которые не являются частью международных систем </w:t>
      </w:r>
      <w:proofErr w:type="spellStart"/>
      <w:r w:rsidRPr="00C63B1F">
        <w:rPr>
          <w:rFonts w:cs="Times New Roman"/>
          <w:szCs w:val="24"/>
        </w:rPr>
        <w:t>эпиднадзора</w:t>
      </w:r>
      <w:proofErr w:type="spellEnd"/>
      <w:r w:rsidRPr="00C63B1F">
        <w:rPr>
          <w:rFonts w:cs="Times New Roman"/>
          <w:szCs w:val="24"/>
        </w:rPr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C63B1F" w:rsidRPr="00C63B1F" w:rsidRDefault="00C63B1F" w:rsidP="00C63B1F">
      <w:pPr>
        <w:rPr>
          <w:rFonts w:cs="Times New Roman"/>
          <w:szCs w:val="24"/>
        </w:rPr>
      </w:pPr>
      <w:r w:rsidRPr="006B3EB9">
        <w:rPr>
          <w:rFonts w:cs="Times New Roman"/>
          <w:szCs w:val="24"/>
        </w:rPr>
        <w:t>Отчеты загружаются с веб-сайтов или отправляются по электронной почте национальными партнерами. ВОЗ делится и обнародует методологии своих оценок в рамках глобального доклада ВОЗ о тенденциях в области курения табак</w:t>
      </w:r>
      <w:r>
        <w:rPr>
          <w:rFonts w:cs="Times New Roman"/>
          <w:szCs w:val="24"/>
        </w:rPr>
        <w:t>а</w:t>
      </w:r>
      <w:r w:rsidRPr="006B3EB9">
        <w:rPr>
          <w:rFonts w:cs="Times New Roman"/>
          <w:szCs w:val="24"/>
        </w:rPr>
        <w:t xml:space="preserve"> в период 2000-2025 годов и в докладе ВОЗ о глобальной табачной эпидемии. Оценки ВОЗ проходят </w:t>
      </w:r>
      <w:proofErr w:type="spellStart"/>
      <w:r w:rsidRPr="006B3EB9">
        <w:rPr>
          <w:rFonts w:cs="Times New Roman"/>
          <w:szCs w:val="24"/>
        </w:rPr>
        <w:t>страновые</w:t>
      </w:r>
      <w:proofErr w:type="spellEnd"/>
      <w:r w:rsidRPr="006B3EB9">
        <w:rPr>
          <w:rFonts w:cs="Times New Roman"/>
          <w:szCs w:val="24"/>
        </w:rPr>
        <w:t xml:space="preserve"> консультации до публикации.</w:t>
      </w:r>
    </w:p>
    <w:p w:rsidR="008A0935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0A229E" w:rsidRPr="008A0935" w:rsidRDefault="008A0935" w:rsidP="008A0935">
      <w:pPr>
        <w:rPr>
          <w:b/>
        </w:rPr>
      </w:pPr>
      <w:r w:rsidRPr="008A0935">
        <w:t>Непрерывный сбор данных.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8A0935" w:rsidRPr="00BD29EC" w:rsidRDefault="008A0935" w:rsidP="008A0935">
      <w:r w:rsidRPr="008A0935">
        <w:t>Выпуск раз в два года через Глобальный отчет ВОЗ о тенденциях в употреблении табака за 2000-2025 гг., Глобальную обсерваторию здравоохранения ВОЗ и Глобальный отчет о ходе осуществления РКБТ ВОЗ.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0C62D2" w:rsidRPr="00A71EC6" w:rsidRDefault="000C62D2" w:rsidP="000C62D2">
      <w:r w:rsidRPr="000C62D2">
        <w:t>Государства-члены ВОЗ, Стороны РКБТ ВОЗ.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0C62D2" w:rsidRPr="00BD29EC" w:rsidRDefault="000C62D2" w:rsidP="000C62D2">
      <w:r w:rsidRPr="000C62D2">
        <w:t>Инициатива ВОЗ по освобождению от таба</w:t>
      </w:r>
      <w:r w:rsidR="005350F5">
        <w:t>чной зависимости</w:t>
      </w:r>
      <w:r w:rsidRPr="000C62D2">
        <w:t>; Секретариат Рамочной конвенции ВОЗ по борьбе против табака и Протокол о ликвидации незаконной торговли табачными изделиями</w:t>
      </w:r>
      <w:r>
        <w:t>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0C62D2" w:rsidP="000C62D2">
      <w:proofErr w:type="gramStart"/>
      <w:r w:rsidRPr="000C62D2">
        <w:t xml:space="preserve">Рамочная конвенция ВОЗ по борьбе против табака (РКБТ ВОЗ) была принята Всемирной ассамблеей здравоохранения 21 мая 2003 г. (Резолюция 56.1) и вступила в силу 27 февраля 2005 г. В 2010 г. Конференция Сторон приняла Решение </w:t>
      </w:r>
      <w:r w:rsidR="005350F5" w:rsidRPr="000C62D2">
        <w:t>РКБТ</w:t>
      </w:r>
      <w:r w:rsidRPr="000C62D2">
        <w:t>/COP4(16) , в котором содержится просьба к Секретариату Конвенции в сотрудничестве с компетентными органами ВОЗ, в частности с Инициативой по освобождению от табачной зависимости</w:t>
      </w:r>
      <w:proofErr w:type="gramEnd"/>
      <w:r w:rsidRPr="000C62D2">
        <w:t>, обеспечить дальнейшую стандартизацию определений и показателей и содействовать регулярному обзору хода осуществления Конвенции.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FC69E1" w:rsidRDefault="00FC69E1" w:rsidP="00FC69E1">
      <w:r w:rsidRPr="00FC69E1">
        <w:t xml:space="preserve">Употребление табака является основной причиной заболеваемости и смертности от неинфекционных заболеваний (НИЗ). Не существует доказанного безопасного уровня употребления табака или воздействия вторичного табачного дыма. Все ежедневные и не ежедневные курильщики табака подвергаются риску различных неблагоприятных исходов для здоровья на протяжении всей жизни, включая НИЗ. Снижение распространенности употребления табака в настоящее время внесет большой вклад в снижение преждевременной смертности </w:t>
      </w:r>
      <w:proofErr w:type="gramStart"/>
      <w:r w:rsidRPr="00FC69E1">
        <w:t>от</w:t>
      </w:r>
      <w:proofErr w:type="gramEnd"/>
      <w:r w:rsidRPr="00FC69E1">
        <w:t xml:space="preserve"> НИЗ (задача 3.4). Плановый и регулярный мониторинг этого показателя необходим для обеспечения точного </w:t>
      </w:r>
      <w:r>
        <w:t>отслеживания</w:t>
      </w:r>
      <w:r w:rsidRPr="00FC69E1">
        <w:t xml:space="preserve"> и оценки воздействия осуществления Рамочной конвенции ВОЗ по борьбе против табака (РКБТ ВОЗ) или политики борьбы против табака в странах, которые еще не являются Сторона</w:t>
      </w:r>
      <w:r>
        <w:t>ми РКБТ ВОЗ, с течением времени</w:t>
      </w:r>
      <w:r w:rsidRPr="00FC69E1">
        <w:t>. Уровни распространенности употребления табака являются надлежащим индикатором выполнения задачи 3.a ЦУР «Активизировать при необходимости осуществление Рамочной конвенции Всемирной организации здравоохранения по борьб</w:t>
      </w:r>
      <w:r>
        <w:t>е против табака во всех странах</w:t>
      </w:r>
      <w:r w:rsidRPr="00FC69E1">
        <w:t>».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F55440" w:rsidRDefault="00F55440" w:rsidP="00F55440">
      <w:r w:rsidRPr="00F55440">
        <w:t>Необработанные данные, собранные в ходе общенациональных репрезентативных обследований населения в странах, используются для расчета сопоставимых оценок этого показателя. Информация субнациональных обследований не используется.</w:t>
      </w:r>
    </w:p>
    <w:p w:rsidR="00F55440" w:rsidRDefault="00F55440" w:rsidP="00F55440">
      <w:r w:rsidRPr="00F55440">
        <w:t xml:space="preserve">В некоторых странах употребление всех видов табака и курение табака могут быть эквивалентны, но во многих странах, где также потребляются другие формы табака, показатели курения будут </w:t>
      </w:r>
      <w:proofErr w:type="gramStart"/>
      <w:r w:rsidRPr="00F55440">
        <w:t>в некоторой степени ниже</w:t>
      </w:r>
      <w:proofErr w:type="gramEnd"/>
      <w:r w:rsidRPr="00F55440">
        <w:t>, чем показатели употребления табака.</w:t>
      </w:r>
    </w:p>
    <w:p w:rsidR="00F55440" w:rsidRDefault="00F55440" w:rsidP="00F55440">
      <w:r w:rsidRPr="00F55440">
        <w:t>Сопоставимость, качество и частота обследований домохозяй</w:t>
      </w:r>
      <w:proofErr w:type="gramStart"/>
      <w:r w:rsidRPr="00F55440">
        <w:t>ств вл</w:t>
      </w:r>
      <w:proofErr w:type="gramEnd"/>
      <w:r w:rsidRPr="00F55440">
        <w:t xml:space="preserve">ияют на точность и качество оценок. Несопоставимость данных может возникнуть в результате использования различных инструментов обследования, методов выборки и анализа, а также определений показателей в государствах-членах. Опросы могут охватывать различные возрастные диапазоны (не всегда старше 15 лет) и повторяться через неравные промежутки времени. Обследования могут включать множество различных табачных изделий или иногда только один продукт, такой как сигареты, в зависимости от восприятия страной того, какие продукты являются важными для мониторинга. Если одновременно не будет вестись </w:t>
      </w:r>
      <w:proofErr w:type="gramStart"/>
      <w:r w:rsidRPr="00F55440">
        <w:t>мониторинг</w:t>
      </w:r>
      <w:proofErr w:type="gramEnd"/>
      <w:r w:rsidRPr="00F55440">
        <w:t xml:space="preserve"> как курительных, так и бездымных продуктов, данные о распространенности употребления табака будут занижены. Страны начали отслеживать использование электронных сигарет и других новых продуктов, что может привести к путанице в определениях употребления табака в странах. Определение текущего использования не всегда может быть ограничено 30 днями до обследования. Кроме того, в опросах людей просят сообщать о своем употреблении табака самостоятельно, что может привести к занижению сведений об употреблении табака.</w:t>
      </w:r>
    </w:p>
    <w:p w:rsidR="00F55440" w:rsidRPr="00BD29EC" w:rsidRDefault="00F55440" w:rsidP="00F55440">
      <w:r w:rsidRPr="00F55440">
        <w:lastRenderedPageBreak/>
        <w:t>В государствах-членах не существует стандартного протокола для опроса людей об их употреблении табака. Вопросы о табаке для обследований ВОЗ (TQS) были приняты во многих обследованиях, что помогает улучшить сопоставимость показателей по странам.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6A14BF" w:rsidRPr="006A14BF" w:rsidRDefault="006A14BF" w:rsidP="006A14BF">
      <w:r w:rsidRPr="006A14BF">
        <w:t xml:space="preserve">Статистическая модель, основанная на байесовской отрицательной биномиальной </w:t>
      </w:r>
      <w:proofErr w:type="spellStart"/>
      <w:r w:rsidRPr="006A14BF">
        <w:t>метарегрессии</w:t>
      </w:r>
      <w:proofErr w:type="spellEnd"/>
      <w:r w:rsidRPr="006A14BF">
        <w:t xml:space="preserve">, используется для моделирования распространенности текущего курения табака для каждой страны отдельно для мужчин и женщин. Полное описание метода доступно в виде обзорной статьи в </w:t>
      </w:r>
      <w:proofErr w:type="spellStart"/>
      <w:r w:rsidRPr="006A14BF">
        <w:t>The</w:t>
      </w:r>
      <w:proofErr w:type="spellEnd"/>
      <w:r w:rsidRPr="006A14BF">
        <w:t xml:space="preserve"> </w:t>
      </w:r>
      <w:proofErr w:type="spellStart"/>
      <w:r w:rsidRPr="006A14BF">
        <w:t>Lancet</w:t>
      </w:r>
      <w:proofErr w:type="spellEnd"/>
      <w:r w:rsidRPr="006A14BF">
        <w:t xml:space="preserve">, том 385, № 9972, стр. 966-976 (2015). После того, как возрастные и половые показатели распространенности из национальных обследований были скомпилированы в набор данных, эта модель </w:t>
      </w:r>
      <w:r>
        <w:t xml:space="preserve">стала </w:t>
      </w:r>
      <w:r w:rsidRPr="006A14BF">
        <w:t>пригодна для расчета оценок тенденций с 2000 по 2030 год. Модель имеет два основных компонента: (a) корректировка недостающих показателей и (b) формирование оценки тенденций с течением времени, а также 95% до</w:t>
      </w:r>
      <w:r>
        <w:t>верительного</w:t>
      </w:r>
      <w:r w:rsidRPr="006A14BF">
        <w:t xml:space="preserve"> интервала вокруг оценки. В зависимости от полноты/комплексност</w:t>
      </w:r>
      <w:r>
        <w:t>и</w:t>
      </w:r>
      <w:r w:rsidRPr="006A14BF">
        <w:t xml:space="preserve"> данных обследований из конкретной страны модель иногда использует данные из других стран для заполнения информационных пробелов. </w:t>
      </w:r>
      <w:r>
        <w:t>Для заполнения</w:t>
      </w:r>
      <w:r w:rsidRPr="006A14BF">
        <w:t xml:space="preserve"> пробел</w:t>
      </w:r>
      <w:r>
        <w:t>ов в данных</w:t>
      </w:r>
      <w:r w:rsidRPr="006A14BF">
        <w:t xml:space="preserve"> информация </w:t>
      </w:r>
      <w:r>
        <w:t xml:space="preserve">была </w:t>
      </w:r>
      <w:r w:rsidRPr="006A14BF">
        <w:t xml:space="preserve">«заимствована» из стран одного и того же </w:t>
      </w:r>
      <w:proofErr w:type="spellStart"/>
      <w:r w:rsidRPr="006A14BF">
        <w:t>субрегиона</w:t>
      </w:r>
      <w:proofErr w:type="spellEnd"/>
      <w:r w:rsidRPr="006A14BF">
        <w:t xml:space="preserve"> ООН. Полученные трендовые линии используются для получения оценок за один год, чтобы можно было сообщить число, даже если страна не проводила опрос в этом году. Чтобы сопоставить результаты между странами, показатели распространенности стандартизированы по возрасту для Стандартного населения ВОЗ.</w:t>
      </w:r>
    </w:p>
    <w:p w:rsidR="006A14BF" w:rsidRDefault="006A14BF" w:rsidP="006A14BF">
      <w:r w:rsidRPr="006A14BF">
        <w:t xml:space="preserve">Оценки для стран с </w:t>
      </w:r>
      <w:r>
        <w:t>нерегулярными обследованиями или, имеющими много</w:t>
      </w:r>
      <w:r w:rsidRPr="006A14BF">
        <w:t xml:space="preserve"> пробелов в данных</w:t>
      </w:r>
      <w:r>
        <w:t>,</w:t>
      </w:r>
      <w:r w:rsidRPr="006A14BF">
        <w:t xml:space="preserve"> будут иметь большие диапазоны неопределенности, и такие результаты следует интерпретировать с осторожностью.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B46B9B" w:rsidRDefault="00B46B9B" w:rsidP="00B46B9B">
      <w:r w:rsidRPr="00B46B9B">
        <w:t xml:space="preserve">Результаты моделирования, описанные в Методе вычислений, сравниваются с входными данными, чтобы обеспечить хорошее соответствие модели. Результаты и исходные данные передаются странам </w:t>
      </w:r>
      <w:proofErr w:type="gramStart"/>
      <w:r w:rsidRPr="00B46B9B">
        <w:t>через координационный центр по борьбе против табака для консультаций со странами</w:t>
      </w:r>
      <w:proofErr w:type="gramEnd"/>
      <w:r w:rsidRPr="00B46B9B">
        <w:t xml:space="preserve"> до публикации в двухгодичных докладах глобального доклада ВОЗ о тенденциях в области употребления табака за 2000-2025 годы и Доклада ВОЗ о</w:t>
      </w:r>
      <w:r>
        <w:t> </w:t>
      </w:r>
      <w:r w:rsidRPr="00B46B9B">
        <w:t>глобальной табачной эпидемии. В ходе консультаций со странами иногда страна предоставляет ВОЗ дополнительные данные для целей моделирования показателя 3.a.1.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A663DD">
        <w:rPr>
          <w:color w:val="auto"/>
          <w:sz w:val="24"/>
          <w:szCs w:val="24"/>
          <w:lang w:val="ru-RU"/>
        </w:rPr>
        <w:t>4.</w:t>
      </w:r>
      <w:r w:rsidRPr="00A663DD">
        <w:rPr>
          <w:color w:val="auto"/>
          <w:sz w:val="24"/>
          <w:szCs w:val="24"/>
        </w:rPr>
        <w:t>e</w:t>
      </w:r>
      <w:r w:rsidRPr="00A663DD">
        <w:rPr>
          <w:color w:val="auto"/>
          <w:sz w:val="24"/>
          <w:szCs w:val="24"/>
          <w:lang w:val="ru-RU"/>
        </w:rPr>
        <w:t xml:space="preserve">. </w:t>
      </w:r>
      <w:r w:rsidR="00694160" w:rsidRPr="00A663DD">
        <w:rPr>
          <w:b/>
          <w:color w:val="auto"/>
          <w:sz w:val="24"/>
          <w:szCs w:val="24"/>
          <w:lang w:val="ru-RU"/>
        </w:rPr>
        <w:t>Корректировки</w:t>
      </w:r>
    </w:p>
    <w:p w:rsidR="00A663DD" w:rsidRDefault="00A663DD" w:rsidP="00A663DD">
      <w:r w:rsidRPr="00A663DD">
        <w:t>За исключением корректировок, сделанных во время моделирования, как описано в методе расчета, никакие другие корректировки не вносятся.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A663DD" w:rsidP="0075371E">
      <w:pPr>
        <w:pStyle w:val="MText"/>
        <w:rPr>
          <w:color w:val="auto"/>
          <w:sz w:val="24"/>
          <w:szCs w:val="24"/>
          <w:lang w:val="ru-RU"/>
        </w:rPr>
      </w:pPr>
      <w:r w:rsidRPr="00A663DD">
        <w:rPr>
          <w:color w:val="auto"/>
          <w:sz w:val="24"/>
          <w:szCs w:val="24"/>
          <w:lang w:val="ru-RU"/>
        </w:rPr>
        <w:t xml:space="preserve">Для стран с менее чем двумя национальными обследованиями, проведенными в разные годы с 1990 г., оценка не рассчитывается, поскольку невозможно определить тенденцию. </w:t>
      </w:r>
      <w:r w:rsidRPr="00A663DD">
        <w:rPr>
          <w:color w:val="auto"/>
          <w:sz w:val="24"/>
          <w:szCs w:val="24"/>
          <w:lang w:val="ru-RU"/>
        </w:rPr>
        <w:lastRenderedPageBreak/>
        <w:t>Для стран с данными двух или более национальных обследований пробелы в данных, если таковые имеются, заполняются, как описано в методе расчета.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A663DD" w:rsidP="00CC31D8">
      <w:r w:rsidRPr="00A663DD">
        <w:t>Страны, по которым расчет невозможен, включаются в региональные и глобальные средние значения, исходя из предположения, что их показатели распространенности среди мужчин и женщин равны средним показателям для м</w:t>
      </w:r>
      <w:r>
        <w:t xml:space="preserve">ужчин и женщин в </w:t>
      </w:r>
      <w:proofErr w:type="spellStart"/>
      <w:r>
        <w:t>субрегионе</w:t>
      </w:r>
      <w:proofErr w:type="spellEnd"/>
      <w:r>
        <w:t xml:space="preserve"> ООН</w:t>
      </w:r>
      <w:r w:rsidRPr="00A663DD">
        <w:t xml:space="preserve">, </w:t>
      </w:r>
      <w:proofErr w:type="gramStart"/>
      <w:r w:rsidRPr="00A663DD">
        <w:t>в</w:t>
      </w:r>
      <w:proofErr w:type="gramEnd"/>
      <w:r w:rsidRPr="00A663DD">
        <w:t xml:space="preserve"> котором они расположены. Если было опрошено менее 50% населения </w:t>
      </w:r>
      <w:proofErr w:type="spellStart"/>
      <w:r w:rsidRPr="00A663DD">
        <w:t>субрегиона</w:t>
      </w:r>
      <w:proofErr w:type="spellEnd"/>
      <w:r w:rsidRPr="00A663DD">
        <w:t xml:space="preserve"> ООН, </w:t>
      </w:r>
      <w:proofErr w:type="spellStart"/>
      <w:r w:rsidRPr="00A663DD">
        <w:t>субрегионы</w:t>
      </w:r>
      <w:proofErr w:type="spellEnd"/>
      <w:r w:rsidRPr="00A663DD">
        <w:t xml:space="preserve"> ООН группируются с </w:t>
      </w:r>
      <w:proofErr w:type="gramStart"/>
      <w:r w:rsidRPr="00A663DD">
        <w:t>соседними</w:t>
      </w:r>
      <w:proofErr w:type="gramEnd"/>
      <w:r w:rsidRPr="00A663DD">
        <w:t xml:space="preserve"> </w:t>
      </w:r>
      <w:proofErr w:type="spellStart"/>
      <w:r w:rsidRPr="00A663DD">
        <w:t>субрегионами</w:t>
      </w:r>
      <w:proofErr w:type="spellEnd"/>
      <w:r w:rsidRPr="00A663DD">
        <w:t xml:space="preserve"> до тех пор, пока не менее 50% сгруппированного населения не внесут данные в средние показатели по региону.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Default="00CC31D8" w:rsidP="0075371E">
      <w:pPr>
        <w:pStyle w:val="MText"/>
        <w:rPr>
          <w:color w:val="auto"/>
          <w:sz w:val="24"/>
          <w:szCs w:val="24"/>
          <w:lang w:val="ru-RU"/>
        </w:rPr>
      </w:pPr>
      <w:r w:rsidRPr="00CC31D8">
        <w:rPr>
          <w:color w:val="auto"/>
          <w:sz w:val="24"/>
          <w:szCs w:val="24"/>
          <w:lang w:val="ru-RU"/>
        </w:rPr>
        <w:t xml:space="preserve">Средние показатели распространенности для регионов рассчитываются путем взвешивания населения </w:t>
      </w:r>
      <w:proofErr w:type="gramStart"/>
      <w:r w:rsidRPr="00CC31D8">
        <w:rPr>
          <w:color w:val="auto"/>
          <w:sz w:val="24"/>
          <w:szCs w:val="24"/>
          <w:lang w:val="ru-RU"/>
        </w:rPr>
        <w:t>по возрастным показателям распространенности в странах с последующей стандартизацией по возрасту средних показателей по возрасту</w:t>
      </w:r>
      <w:proofErr w:type="gramEnd"/>
      <w:r w:rsidRPr="00CC31D8">
        <w:rPr>
          <w:color w:val="auto"/>
          <w:sz w:val="24"/>
          <w:szCs w:val="24"/>
          <w:lang w:val="ru-RU"/>
        </w:rPr>
        <w:t xml:space="preserve"> в регионе.</w:t>
      </w:r>
    </w:p>
    <w:p w:rsidR="00CC31D8" w:rsidRPr="00BD29EC" w:rsidRDefault="00CC31D8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D2759A" w:rsidRPr="00BD29EC" w:rsidRDefault="00D2759A" w:rsidP="008F68B3">
      <w:r w:rsidRPr="00D2759A">
        <w:t>Страны используют различные протоколы о</w:t>
      </w:r>
      <w:r w:rsidR="008F68B3">
        <w:t>бследований</w:t>
      </w:r>
      <w:r w:rsidRPr="00D2759A">
        <w:t xml:space="preserve"> населения для мониторинга употребления табака на национальном уровне. </w:t>
      </w:r>
      <w:proofErr w:type="gramStart"/>
      <w:r w:rsidRPr="00D2759A">
        <w:t xml:space="preserve">Примеры протоколов, поддерживаемых на международном уровне, включают вопросы о табаке для </w:t>
      </w:r>
      <w:r w:rsidR="008F68B3">
        <w:t>обследований</w:t>
      </w:r>
      <w:r w:rsidR="008F68B3" w:rsidRPr="008F68B3">
        <w:t xml:space="preserve"> </w:t>
      </w:r>
      <w:r w:rsidR="008F68B3">
        <w:t xml:space="preserve">(https://www.gtssacademy.org/survey-tools/tqs/); Глобальное обследование употребления табака среди взрослых (https://www.gtssacademy.org/survey-tools/gats/); опрос ВОЗ STEPS (https://www.who.int/teams/noncommunicable-diseases/surveillance/systems-tools/steps); </w:t>
      </w:r>
      <w:r w:rsidR="008F68B3" w:rsidRPr="008F68B3">
        <w:t xml:space="preserve">Обзор состояния здоровья в мир </w:t>
      </w:r>
      <w:r w:rsidR="008F68B3">
        <w:t>(https://www.who.int/data/data-collection-tools/world-health-survey-plus);</w:t>
      </w:r>
      <w:proofErr w:type="gramEnd"/>
      <w:r w:rsidR="008F68B3">
        <w:t xml:space="preserve"> Кластерное обследование по многим показателям (https://mics.unicef.org/tools); и Медико-демографическое обследование (https://www.dhsprogram.com/Methodology/index.cfm). </w:t>
      </w:r>
      <w:r w:rsidR="008F68B3" w:rsidRPr="008F68B3">
        <w:t>Выборка для национальной репрезентативности является прерогативой национальных статистических управлений. Данные обследований, представляемые Сторонами РКБТ ВОЗ раз в два года в Секретариат Конвенции через Инструмент отчетности РКБТ ВОЗ (https://fctc.who.int/whofctc/reporting/reporting-instrument), передаются ВОЗ. Дополнительные данные ВОЗ получает при контактах с координаторами по табаку в министерствах здравоохранения или путем поиска в открытом доступе.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8F68B3" w:rsidRPr="00BD29EC" w:rsidRDefault="008F68B3" w:rsidP="008F68B3">
      <w:r w:rsidRPr="008F68B3">
        <w:t>Согласование статистических методов и публикаций через Отдел данных, аналитики и</w:t>
      </w:r>
      <w:r w:rsidR="00CC0095">
        <w:t> </w:t>
      </w:r>
      <w:r w:rsidRPr="008F68B3">
        <w:t>предоставления ВОЗ для оказания воздействия. Соблюдение руководящих принципов СБОРА данных (http://gather-statement.org /) требуется для оформления. Данные, оценки и метаданные публикуются через Глобальную обсерваторию здравоохранения.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630C80" w:rsidRPr="00040034" w:rsidRDefault="00630C80" w:rsidP="00630C80">
      <w:r w:rsidRPr="00630C80">
        <w:t>Данные о</w:t>
      </w:r>
      <w:r>
        <w:t>бследования</w:t>
      </w:r>
      <w:r w:rsidRPr="00630C80">
        <w:t xml:space="preserve">, представленные государствами-членами ВОЗ и Сторонами РКБТ ВОЗ, сверяются с опубликованными отчетами и на предмет внутренней согласованности. Результаты моделирования вместе с исходными данными доводятся до сведения </w:t>
      </w:r>
      <w:r w:rsidRPr="00630C80">
        <w:lastRenderedPageBreak/>
        <w:t xml:space="preserve">экспертов по </w:t>
      </w:r>
      <w:proofErr w:type="spellStart"/>
      <w:r w:rsidRPr="00630C80">
        <w:t>эпиднадзору</w:t>
      </w:r>
      <w:proofErr w:type="spellEnd"/>
      <w:r w:rsidRPr="00630C80">
        <w:t xml:space="preserve"> и политике в отношении табака в регионах ВОЗ, а затем доводятся до сведения координаторов по табаку в министерствах здравоохранения. Соответствующий сотрудничающий центр ВОЗ также рассматривает результаты перед публикацией.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630C80" w:rsidRPr="00BD29EC" w:rsidRDefault="00630C80" w:rsidP="0075371E">
      <w:pPr>
        <w:pStyle w:val="MText"/>
        <w:rPr>
          <w:color w:val="auto"/>
          <w:sz w:val="24"/>
          <w:szCs w:val="24"/>
          <w:lang w:val="ru-RU"/>
        </w:rPr>
      </w:pPr>
      <w:r w:rsidRPr="00630C80">
        <w:rPr>
          <w:color w:val="auto"/>
          <w:sz w:val="24"/>
          <w:szCs w:val="24"/>
          <w:lang w:val="ru-RU"/>
        </w:rPr>
        <w:t>Доступность зависит от графика публикации результатов национального репрезентативного обследования населения в каждой стране. ВОЗ рассчитывает оценки каждые два года.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630C80" w:rsidRPr="00BD29EC" w:rsidRDefault="00630C80" w:rsidP="0075371E">
      <w:pPr>
        <w:pStyle w:val="MText"/>
        <w:rPr>
          <w:color w:val="auto"/>
          <w:sz w:val="24"/>
          <w:szCs w:val="24"/>
          <w:lang w:val="ru-RU"/>
        </w:rPr>
      </w:pPr>
      <w:r w:rsidRPr="00630C80">
        <w:rPr>
          <w:color w:val="auto"/>
          <w:sz w:val="24"/>
          <w:szCs w:val="24"/>
          <w:lang w:val="ru-RU"/>
        </w:rPr>
        <w:t>Показатель рассчитан для всех стран с 2000 по текущий год. Если текущий год позже года самого последнего национального обследования, прогнозы составляются в соответствии с описанным выше методом расчета.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630C80" w:rsidRPr="00BD29EC" w:rsidRDefault="00630C80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По полу.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630C80" w:rsidRPr="00630C80" w:rsidRDefault="00630C80" w:rsidP="00630C80">
      <w:pPr>
        <w:rPr>
          <w:lang w:eastAsia="en-GB"/>
        </w:rPr>
      </w:pPr>
      <w:r w:rsidRPr="00630C80">
        <w:rPr>
          <w:lang w:eastAsia="en-GB"/>
        </w:rPr>
        <w:t>Источники расхождений:</w:t>
      </w:r>
    </w:p>
    <w:p w:rsidR="00630C80" w:rsidRDefault="00630C80" w:rsidP="00630C80">
      <w:pPr>
        <w:rPr>
          <w:lang w:eastAsia="en-GB"/>
        </w:rPr>
      </w:pPr>
      <w:r w:rsidRPr="00630C80">
        <w:rPr>
          <w:lang w:eastAsia="en-GB"/>
        </w:rPr>
        <w:t>Оценки ВОЗ отличаются от национальных оценок тем, что они (i) стандартизированы по возрасту для улучшения международной сопоставимости и (</w:t>
      </w:r>
      <w:proofErr w:type="spellStart"/>
      <w:r w:rsidRPr="00630C80">
        <w:rPr>
          <w:lang w:eastAsia="en-GB"/>
        </w:rPr>
        <w:t>ii</w:t>
      </w:r>
      <w:proofErr w:type="spellEnd"/>
      <w:r w:rsidRPr="00630C80">
        <w:rPr>
          <w:lang w:eastAsia="en-GB"/>
        </w:rPr>
        <w:t xml:space="preserve">) рассчитываются с использованием единого стандартного метода для всех стран. Нечастые </w:t>
      </w:r>
      <w:r>
        <w:rPr>
          <w:lang w:eastAsia="en-GB"/>
        </w:rPr>
        <w:t>обследования</w:t>
      </w:r>
      <w:r w:rsidRPr="00630C80">
        <w:rPr>
          <w:lang w:eastAsia="en-GB"/>
        </w:rPr>
        <w:t xml:space="preserve"> или недоступность последних о</w:t>
      </w:r>
      <w:r>
        <w:rPr>
          <w:lang w:eastAsia="en-GB"/>
        </w:rPr>
        <w:t>бследований</w:t>
      </w:r>
      <w:r w:rsidRPr="00630C80">
        <w:rPr>
          <w:lang w:eastAsia="en-GB"/>
        </w:rPr>
        <w:t xml:space="preserve"> приводят к большему использованию моделирования. Поскольку набор данных по каждой стране со временем улучшается с добавлением новых обследований, недавние оценки могут показаться несовместимыми с более ранними оценками. Оценки ВОЗ перед публикацией проходят консультации со страной.</w:t>
      </w:r>
    </w:p>
    <w:p w:rsidR="00040034" w:rsidRDefault="00040034" w:rsidP="00630C80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630C80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630C80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630C80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630C80" w:rsidRDefault="00630C80" w:rsidP="00630C80">
      <w:r w:rsidRPr="00630C80">
        <w:rPr>
          <w:lang w:val="en-US"/>
        </w:rPr>
        <w:t xml:space="preserve">URL: http://www.who.int/gho/en/ http://apps.who.int/fctc/implementation/database/ </w:t>
      </w:r>
    </w:p>
    <w:p w:rsidR="00630C80" w:rsidRDefault="00630C80" w:rsidP="00630C80">
      <w:pPr>
        <w:rPr>
          <w:lang w:val="en-US"/>
        </w:rPr>
      </w:pPr>
      <w:r>
        <w:t>Заметки</w:t>
      </w:r>
      <w:r>
        <w:rPr>
          <w:lang w:val="en-US"/>
        </w:rPr>
        <w:t xml:space="preserve">: </w:t>
      </w:r>
    </w:p>
    <w:p w:rsidR="00630C80" w:rsidRPr="00630C80" w:rsidRDefault="00630C80" w:rsidP="00630C80">
      <w:pPr>
        <w:rPr>
          <w:rFonts w:eastAsia="Times New Roman" w:cs="Times New Roman"/>
          <w:b/>
          <w:szCs w:val="24"/>
          <w:lang w:eastAsia="en-GB"/>
        </w:rPr>
      </w:pPr>
      <w:r w:rsidRPr="00630C80">
        <w:t xml:space="preserve">Список стран по регионам ООН см. в публикации </w:t>
      </w:r>
      <w:r w:rsidRPr="00630C80">
        <w:rPr>
          <w:lang w:val="en-US"/>
        </w:rPr>
        <w:t>World</w:t>
      </w:r>
      <w:r w:rsidRPr="00630C80">
        <w:t xml:space="preserve"> </w:t>
      </w:r>
      <w:r w:rsidRPr="00630C80">
        <w:rPr>
          <w:lang w:val="en-US"/>
        </w:rPr>
        <w:t>Population</w:t>
      </w:r>
      <w:r w:rsidRPr="00630C80">
        <w:t xml:space="preserve"> </w:t>
      </w:r>
      <w:r w:rsidRPr="00630C80">
        <w:rPr>
          <w:lang w:val="en-US"/>
        </w:rPr>
        <w:t>Prospects</w:t>
      </w:r>
      <w:r w:rsidRPr="00630C80">
        <w:t>, опубликованной Департаментом ООН по экономическим и социальным вопросам. Для целей анализа употребления табака были внесены следующие поправки: (</w:t>
      </w:r>
      <w:proofErr w:type="spellStart"/>
      <w:r w:rsidRPr="00630C80">
        <w:rPr>
          <w:lang w:val="en-US"/>
        </w:rPr>
        <w:t>i</w:t>
      </w:r>
      <w:proofErr w:type="spellEnd"/>
      <w:r w:rsidRPr="00630C80">
        <w:t xml:space="preserve">) </w:t>
      </w:r>
      <w:proofErr w:type="spellStart"/>
      <w:r w:rsidRPr="00630C80">
        <w:t>субрегион</w:t>
      </w:r>
      <w:proofErr w:type="spellEnd"/>
      <w:r w:rsidRPr="00630C80">
        <w:t xml:space="preserve"> Восточной Африки был разделен на два региона: острова Восточной Африки и остальная часть Восточной Африки; (</w:t>
      </w:r>
      <w:r w:rsidRPr="00630C80">
        <w:rPr>
          <w:lang w:val="en-US"/>
        </w:rPr>
        <w:t>ii</w:t>
      </w:r>
      <w:r w:rsidRPr="00630C80">
        <w:t>) Армения, Азербайджан, Эстония, Грузия, Казахстан, Кыргызстан, Латвия, Литва, Таджикистан, Узбекистан и Туркменистан были отнесены к Восточной Европе, (</w:t>
      </w:r>
      <w:r w:rsidRPr="00630C80">
        <w:rPr>
          <w:lang w:val="en-US"/>
        </w:rPr>
        <w:t>iii</w:t>
      </w:r>
      <w:r w:rsidRPr="00630C80">
        <w:t>); Кипр, Израиль и Турция были отнесены к Южной Европе, а (</w:t>
      </w:r>
      <w:r w:rsidRPr="00630C80">
        <w:rPr>
          <w:lang w:val="en-US"/>
        </w:rPr>
        <w:t>iv</w:t>
      </w:r>
      <w:r w:rsidRPr="00630C80">
        <w:t xml:space="preserve">) </w:t>
      </w:r>
      <w:proofErr w:type="spellStart"/>
      <w:r w:rsidRPr="00630C80">
        <w:t>субрегионы</w:t>
      </w:r>
      <w:proofErr w:type="spellEnd"/>
      <w:r w:rsidRPr="00630C80">
        <w:t xml:space="preserve"> Меланезии, Микронезии и Полинезии были объединены в один субрегион.</w:t>
      </w:r>
      <w:bookmarkStart w:id="5" w:name="_GoBack"/>
      <w:bookmarkEnd w:id="5"/>
    </w:p>
    <w:sectPr w:rsidR="00630C80" w:rsidRPr="00630C8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F5" w:rsidRDefault="000C5EF5" w:rsidP="00F73DBC">
      <w:pPr>
        <w:spacing w:after="0" w:line="240" w:lineRule="auto"/>
      </w:pPr>
      <w:r>
        <w:separator/>
      </w:r>
    </w:p>
  </w:endnote>
  <w:endnote w:type="continuationSeparator" w:id="0">
    <w:p w:rsidR="000C5EF5" w:rsidRDefault="000C5EF5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F5" w:rsidRDefault="000C5EF5" w:rsidP="00F73DBC">
      <w:pPr>
        <w:spacing w:after="0" w:line="240" w:lineRule="auto"/>
      </w:pPr>
      <w:r>
        <w:separator/>
      </w:r>
    </w:p>
  </w:footnote>
  <w:footnote w:type="continuationSeparator" w:id="0">
    <w:p w:rsidR="000C5EF5" w:rsidRDefault="000C5EF5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5F2C0B">
      <w:t>февраль</w:t>
    </w:r>
    <w:r w:rsidR="00781DE7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404CD"/>
    <w:multiLevelType w:val="hybridMultilevel"/>
    <w:tmpl w:val="374E2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54D95"/>
    <w:multiLevelType w:val="hybridMultilevel"/>
    <w:tmpl w:val="0EA6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0C5EF5"/>
    <w:rsid w:val="000C62D2"/>
    <w:rsid w:val="00116248"/>
    <w:rsid w:val="001470A2"/>
    <w:rsid w:val="00165896"/>
    <w:rsid w:val="001A163A"/>
    <w:rsid w:val="001E2FC9"/>
    <w:rsid w:val="00254CBA"/>
    <w:rsid w:val="00291FA0"/>
    <w:rsid w:val="002E122C"/>
    <w:rsid w:val="002E15F9"/>
    <w:rsid w:val="002F63E5"/>
    <w:rsid w:val="002F73D4"/>
    <w:rsid w:val="00303D71"/>
    <w:rsid w:val="003143BC"/>
    <w:rsid w:val="00333B34"/>
    <w:rsid w:val="003746BC"/>
    <w:rsid w:val="003859BD"/>
    <w:rsid w:val="003D58DC"/>
    <w:rsid w:val="00407E4E"/>
    <w:rsid w:val="004143B4"/>
    <w:rsid w:val="00421928"/>
    <w:rsid w:val="004D6DB6"/>
    <w:rsid w:val="004E087E"/>
    <w:rsid w:val="005350F5"/>
    <w:rsid w:val="005E47BD"/>
    <w:rsid w:val="005F2C0B"/>
    <w:rsid w:val="00630C80"/>
    <w:rsid w:val="006424CD"/>
    <w:rsid w:val="006704C2"/>
    <w:rsid w:val="006902DB"/>
    <w:rsid w:val="00694160"/>
    <w:rsid w:val="006A14BF"/>
    <w:rsid w:val="006B260E"/>
    <w:rsid w:val="006B3939"/>
    <w:rsid w:val="006D7049"/>
    <w:rsid w:val="00702333"/>
    <w:rsid w:val="00705161"/>
    <w:rsid w:val="0075371E"/>
    <w:rsid w:val="00780F08"/>
    <w:rsid w:val="00781DE7"/>
    <w:rsid w:val="007B0CFD"/>
    <w:rsid w:val="007C27E0"/>
    <w:rsid w:val="007D1185"/>
    <w:rsid w:val="007F06DF"/>
    <w:rsid w:val="008326D2"/>
    <w:rsid w:val="00836165"/>
    <w:rsid w:val="00836F3E"/>
    <w:rsid w:val="00853C09"/>
    <w:rsid w:val="008A0935"/>
    <w:rsid w:val="008F68B3"/>
    <w:rsid w:val="00931791"/>
    <w:rsid w:val="009508D1"/>
    <w:rsid w:val="00957A62"/>
    <w:rsid w:val="00980F79"/>
    <w:rsid w:val="00982FE8"/>
    <w:rsid w:val="009C064B"/>
    <w:rsid w:val="00A53D4B"/>
    <w:rsid w:val="00A618FC"/>
    <w:rsid w:val="00A663DD"/>
    <w:rsid w:val="00A71EC6"/>
    <w:rsid w:val="00A82CD3"/>
    <w:rsid w:val="00A91FDE"/>
    <w:rsid w:val="00AC1A97"/>
    <w:rsid w:val="00B0378B"/>
    <w:rsid w:val="00B04183"/>
    <w:rsid w:val="00B46B9B"/>
    <w:rsid w:val="00B72F77"/>
    <w:rsid w:val="00BD29EC"/>
    <w:rsid w:val="00BE2C5D"/>
    <w:rsid w:val="00BE415C"/>
    <w:rsid w:val="00BE78E6"/>
    <w:rsid w:val="00C47A4A"/>
    <w:rsid w:val="00C63B1F"/>
    <w:rsid w:val="00C8596F"/>
    <w:rsid w:val="00CA1CB1"/>
    <w:rsid w:val="00CC0095"/>
    <w:rsid w:val="00CC31D8"/>
    <w:rsid w:val="00D05466"/>
    <w:rsid w:val="00D2619D"/>
    <w:rsid w:val="00D2759A"/>
    <w:rsid w:val="00DA19D7"/>
    <w:rsid w:val="00E123F7"/>
    <w:rsid w:val="00E21B43"/>
    <w:rsid w:val="00E27922"/>
    <w:rsid w:val="00E33CA8"/>
    <w:rsid w:val="00E90BD4"/>
    <w:rsid w:val="00EB362A"/>
    <w:rsid w:val="00EB389E"/>
    <w:rsid w:val="00EE0900"/>
    <w:rsid w:val="00EF5D0C"/>
    <w:rsid w:val="00F55440"/>
    <w:rsid w:val="00F6371F"/>
    <w:rsid w:val="00F73DBC"/>
    <w:rsid w:val="00F84FF1"/>
    <w:rsid w:val="00F92D6F"/>
    <w:rsid w:val="00FB66D9"/>
    <w:rsid w:val="00FC69E1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0C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0C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3296-D2E4-4999-B8D8-BDAA83D3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26</cp:revision>
  <dcterms:created xsi:type="dcterms:W3CDTF">2022-02-21T10:55:00Z</dcterms:created>
  <dcterms:modified xsi:type="dcterms:W3CDTF">2022-02-22T06:41:00Z</dcterms:modified>
</cp:coreProperties>
</file>