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B19AE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B19AE" w:rsidRPr="004B19AE">
        <w:rPr>
          <w:rFonts w:eastAsia="Arial Unicode MS" w:cs="Times New Roman"/>
          <w:szCs w:val="24"/>
          <w:bdr w:val="nil"/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4B19AE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Pr="004B19AE">
        <w:rPr>
          <w:rFonts w:cs="Times New Roman"/>
          <w:szCs w:val="24"/>
        </w:rPr>
        <w:t>К 2030 году обеспечить, чтобы все девочки и мальчики завершали получение бесплатного, равноправного и качественного начального и среднего образования, позволяющего добиться востребованных и эффективных результатов.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proofErr w:type="gramStart"/>
      <w:r w:rsidRPr="00BD29EC">
        <w:rPr>
          <w:rFonts w:cs="Times New Roman"/>
          <w:szCs w:val="24"/>
        </w:rPr>
        <w:t xml:space="preserve">Показатель </w:t>
      </w:r>
      <w:r w:rsidR="004B19AE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4B19AE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4B19AE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 </w:t>
      </w:r>
      <w:r w:rsidR="004B19AE" w:rsidRPr="004B19AE">
        <w:rPr>
          <w:rFonts w:cs="Times New Roman"/>
          <w:szCs w:val="24"/>
        </w:rPr>
        <w:t xml:space="preserve">Доля детей и молодежи a) во 2-м/ 3-м классе, b) выпускников начальной школы и c) выпускников средней школы, достигших, по меньшей мере, минимального уровня i) грамотности и </w:t>
      </w:r>
      <w:proofErr w:type="spellStart"/>
      <w:r w:rsidR="004B19AE" w:rsidRPr="004B19AE">
        <w:rPr>
          <w:rFonts w:cs="Times New Roman"/>
          <w:szCs w:val="24"/>
        </w:rPr>
        <w:t>ii</w:t>
      </w:r>
      <w:proofErr w:type="spellEnd"/>
      <w:r w:rsidR="004B19AE" w:rsidRPr="004B19AE">
        <w:rPr>
          <w:rFonts w:cs="Times New Roman"/>
          <w:szCs w:val="24"/>
        </w:rPr>
        <w:t>) навыков счета, в разбивке по полу</w:t>
      </w:r>
      <w:r w:rsidR="004B19AE">
        <w:rPr>
          <w:rFonts w:cs="Times New Roman"/>
          <w:szCs w:val="24"/>
        </w:rPr>
        <w:t>.</w:t>
      </w:r>
      <w:proofErr w:type="gramEnd"/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856087" w:rsidRPr="00BD29EC" w:rsidRDefault="00856087" w:rsidP="00856087">
      <w:pPr>
        <w:rPr>
          <w:bdr w:val="nil"/>
          <w:lang w:eastAsia="ru-RU"/>
        </w:rPr>
      </w:pPr>
      <w:r>
        <w:rPr>
          <w:bdr w:val="nil"/>
          <w:lang w:eastAsia="ru-RU"/>
        </w:rPr>
        <w:t>01.07.2021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301EEE" w:rsidRPr="00DA19D7" w:rsidRDefault="00301EEE" w:rsidP="00301EEE">
      <w:pPr>
        <w:rPr>
          <w:bdr w:val="nil"/>
          <w:lang w:eastAsia="ru-RU"/>
        </w:rPr>
      </w:pPr>
      <w:r w:rsidRPr="00301EEE">
        <w:rPr>
          <w:bdr w:val="nil"/>
          <w:lang w:eastAsia="ru-RU"/>
        </w:rPr>
        <w:t>Индексы паритета для этого показателя представлены в показателе 4.5.1 ЦУР.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92804" w:rsidRPr="00092804" w:rsidRDefault="00092804" w:rsidP="000928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092804">
        <w:rPr>
          <w:rFonts w:cs="Times New Roman"/>
          <w:szCs w:val="24"/>
        </w:rPr>
        <w:t>Статистический институт ЮНЕСКО (</w:t>
      </w:r>
      <w:r w:rsidR="00FC7675">
        <w:rPr>
          <w:rFonts w:cs="Times New Roman"/>
          <w:szCs w:val="24"/>
        </w:rPr>
        <w:t>СИЮ</w:t>
      </w:r>
      <w:r w:rsidRPr="00092804">
        <w:rPr>
          <w:rFonts w:cs="Times New Roman"/>
          <w:szCs w:val="24"/>
        </w:rPr>
        <w:t xml:space="preserve"> ЮНЕСКО) 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92804" w:rsidRPr="00092804" w:rsidRDefault="00092804" w:rsidP="00092804">
      <w:r w:rsidRPr="00092804">
        <w:t>Статистический институт ЮНЕСКО (</w:t>
      </w:r>
      <w:r w:rsidR="00FC7675">
        <w:t>СИЮ</w:t>
      </w:r>
      <w:r w:rsidRPr="00092804">
        <w:t xml:space="preserve"> ЮНЕСКО) 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5163CC" w:rsidRDefault="005163CC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5163CC">
        <w:rPr>
          <w:color w:val="000000" w:themeColor="text1"/>
          <w:sz w:val="24"/>
          <w:szCs w:val="24"/>
          <w:lang w:val="ru-RU"/>
        </w:rPr>
        <w:t>Процент детей и молодых людей, достигших хотя бы минимального уровня владения навыками (i) чтения и (</w:t>
      </w:r>
      <w:proofErr w:type="spellStart"/>
      <w:r w:rsidRPr="005163CC">
        <w:rPr>
          <w:color w:val="000000" w:themeColor="text1"/>
          <w:sz w:val="24"/>
          <w:szCs w:val="24"/>
          <w:lang w:val="ru-RU"/>
        </w:rPr>
        <w:t>ii</w:t>
      </w:r>
      <w:proofErr w:type="spellEnd"/>
      <w:r w:rsidRPr="005163CC">
        <w:rPr>
          <w:color w:val="000000" w:themeColor="text1"/>
          <w:sz w:val="24"/>
          <w:szCs w:val="24"/>
          <w:lang w:val="ru-RU"/>
        </w:rPr>
        <w:t>) математики во время начального образования (2 или 3 класс), в конце начального образования и в конце неполного среднего образования. Минимальный уровень владения будет измеряться по новым шкалам, которые в настоящее время разрабатываются.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072197" w:rsidRDefault="0007219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072197">
        <w:rPr>
          <w:color w:val="000000" w:themeColor="text1"/>
          <w:sz w:val="24"/>
          <w:szCs w:val="24"/>
          <w:lang w:val="ru-RU"/>
        </w:rPr>
        <w:t xml:space="preserve">Минимальный уровень владения (MPL) — это эталон базовых знаний в предметной области (математика, чтение и т. д.), измеряемый с помощью оценок обучения. В сентябре 2018 г. было достигнуто соглашение по устному определению глобального минимального эталонного уровня владения для каждой из областей и доменов показателя 4.1.1, как </w:t>
      </w:r>
      <w:r w:rsidRPr="00072197">
        <w:rPr>
          <w:color w:val="000000" w:themeColor="text1"/>
          <w:sz w:val="24"/>
          <w:szCs w:val="24"/>
          <w:lang w:val="ru-RU"/>
        </w:rPr>
        <w:lastRenderedPageBreak/>
        <w:t xml:space="preserve">описано в документе </w:t>
      </w:r>
      <w:hyperlink r:id="rId9" w:history="1">
        <w:r w:rsidRPr="00072197">
          <w:rPr>
            <w:rStyle w:val="ac"/>
            <w:sz w:val="24"/>
            <w:szCs w:val="24"/>
            <w:lang w:val="ru-RU"/>
          </w:rPr>
          <w:t>«Минимальные уровни владения (MPL): результаты совещания по достижению ко</w:t>
        </w:r>
        <w:r w:rsidRPr="00072197">
          <w:rPr>
            <w:rStyle w:val="ac"/>
            <w:sz w:val="24"/>
            <w:szCs w:val="24"/>
            <w:lang w:val="ru-RU"/>
          </w:rPr>
          <w:t>н</w:t>
        </w:r>
        <w:r w:rsidRPr="00072197">
          <w:rPr>
            <w:rStyle w:val="ac"/>
            <w:sz w:val="24"/>
            <w:szCs w:val="24"/>
            <w:lang w:val="ru-RU"/>
          </w:rPr>
          <w:t>сенсу</w:t>
        </w:r>
        <w:r w:rsidRPr="00072197">
          <w:rPr>
            <w:rStyle w:val="ac"/>
            <w:sz w:val="24"/>
            <w:szCs w:val="24"/>
            <w:lang w:val="ru-RU"/>
          </w:rPr>
          <w:t>с</w:t>
        </w:r>
        <w:r w:rsidRPr="00072197">
          <w:rPr>
            <w:rStyle w:val="ac"/>
            <w:sz w:val="24"/>
            <w:szCs w:val="24"/>
            <w:lang w:val="ru-RU"/>
          </w:rPr>
          <w:t>а».</w:t>
        </w:r>
      </w:hyperlink>
    </w:p>
    <w:p w:rsidR="00310647" w:rsidRDefault="00310647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310647" w:rsidRPr="00310647" w:rsidRDefault="005D4056" w:rsidP="00310647">
      <w:pPr>
        <w:pStyle w:val="MText"/>
        <w:rPr>
          <w:i/>
          <w:color w:val="000000" w:themeColor="text1"/>
          <w:sz w:val="24"/>
          <w:szCs w:val="24"/>
          <w:lang w:val="ru-RU"/>
        </w:rPr>
      </w:pPr>
      <w:r>
        <w:rPr>
          <w:i/>
          <w:color w:val="000000" w:themeColor="text1"/>
          <w:sz w:val="24"/>
          <w:szCs w:val="24"/>
          <w:lang w:val="ru-RU"/>
        </w:rPr>
        <w:t>Минимальные уровни владения</w:t>
      </w:r>
      <w:r w:rsidR="00310647" w:rsidRPr="00310647">
        <w:rPr>
          <w:i/>
          <w:color w:val="000000" w:themeColor="text1"/>
          <w:sz w:val="24"/>
          <w:szCs w:val="24"/>
          <w:lang w:val="ru-RU"/>
        </w:rPr>
        <w:t>, определяемые каждой оценкой обучения</w:t>
      </w:r>
    </w:p>
    <w:p w:rsidR="00C468BC" w:rsidRDefault="00310647" w:rsidP="00310647">
      <w:pPr>
        <w:pStyle w:val="MText"/>
        <w:rPr>
          <w:color w:val="000000" w:themeColor="text1"/>
          <w:sz w:val="24"/>
          <w:szCs w:val="24"/>
          <w:lang w:val="ru-RU"/>
        </w:rPr>
      </w:pPr>
      <w:r w:rsidRPr="00310647">
        <w:rPr>
          <w:color w:val="000000" w:themeColor="text1"/>
          <w:sz w:val="24"/>
          <w:szCs w:val="24"/>
          <w:lang w:val="ru-RU"/>
        </w:rPr>
        <w:t>Чтобы обеспечить сопоставимость между оценками обучения, было установлено словесное определение MPL для каждой области и уровней между международными оценками (CNAS) путем проведения анализа дескрип</w:t>
      </w:r>
      <w:r>
        <w:rPr>
          <w:color w:val="000000" w:themeColor="text1"/>
          <w:sz w:val="24"/>
          <w:szCs w:val="24"/>
          <w:lang w:val="ru-RU"/>
        </w:rPr>
        <w:t>торов уровня успеваемости (PLD)</w:t>
      </w:r>
      <w:r>
        <w:rPr>
          <w:rStyle w:val="a6"/>
          <w:color w:val="000000" w:themeColor="text1"/>
          <w:sz w:val="24"/>
          <w:szCs w:val="24"/>
          <w:lang w:val="ru-RU"/>
        </w:rPr>
        <w:footnoteReference w:id="1"/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310647">
        <w:rPr>
          <w:color w:val="000000" w:themeColor="text1"/>
          <w:sz w:val="24"/>
          <w:szCs w:val="24"/>
          <w:lang w:val="ru-RU"/>
        </w:rPr>
        <w:t>межнациональных, региональных и общественных тестов по чтению и математике. Анализ был проведен и завершен ИСУ, и консенсус среди экспертов по предложенной методологии был признан адекватным и прагматичным.</w:t>
      </w:r>
    </w:p>
    <w:p w:rsidR="00310647" w:rsidRDefault="00310647" w:rsidP="0031064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C468BC" w:rsidRDefault="00C468BC" w:rsidP="00C468BC">
      <w:pPr>
        <w:pStyle w:val="MText"/>
        <w:jc w:val="center"/>
        <w:rPr>
          <w:b/>
          <w:color w:val="000000" w:themeColor="text1"/>
          <w:sz w:val="24"/>
          <w:szCs w:val="24"/>
          <w:lang w:val="ru-RU"/>
        </w:rPr>
      </w:pPr>
      <w:r w:rsidRPr="00C468BC">
        <w:rPr>
          <w:b/>
          <w:color w:val="000000" w:themeColor="text1"/>
          <w:sz w:val="24"/>
          <w:szCs w:val="24"/>
          <w:lang w:val="ru-RU"/>
        </w:rPr>
        <w:t>Таблица 1. Минимальные уровни квалификации, определенные каждой оценкой обучения</w:t>
      </w:r>
    </w:p>
    <w:p w:rsidR="00292832" w:rsidRPr="00C468BC" w:rsidRDefault="00292832" w:rsidP="00C468BC">
      <w:pPr>
        <w:pStyle w:val="MText"/>
        <w:jc w:val="center"/>
        <w:rPr>
          <w:b/>
          <w:color w:val="000000" w:themeColor="text1"/>
          <w:sz w:val="24"/>
          <w:szCs w:val="24"/>
          <w:lang w:val="ru-RU"/>
        </w:rPr>
      </w:pP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670"/>
      </w:tblGrid>
      <w:tr w:rsidR="00292832" w:rsidRPr="00292832" w:rsidTr="00640D31">
        <w:trPr>
          <w:trHeight w:val="395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2832" w:rsidRPr="00292832" w:rsidRDefault="00292832" w:rsidP="00640D31">
            <w:pPr>
              <w:spacing w:line="256" w:lineRule="auto"/>
              <w:ind w:right="5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Чтение</w:t>
            </w:r>
          </w:p>
        </w:tc>
      </w:tr>
      <w:tr w:rsidR="00292832" w:rsidRPr="00292832" w:rsidTr="00640D31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2832" w:rsidRPr="00292832" w:rsidRDefault="00292832" w:rsidP="00640D3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2832" w:rsidRPr="00292832" w:rsidRDefault="00292832" w:rsidP="00640D31">
            <w:pPr>
              <w:spacing w:line="256" w:lineRule="auto"/>
              <w:ind w:right="51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Описание</w:t>
            </w:r>
          </w:p>
        </w:tc>
      </w:tr>
      <w:tr w:rsidR="00292832" w:rsidRPr="00292832" w:rsidTr="00640D31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ind w:right="5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класс</w:t>
            </w:r>
            <w:r w:rsidRPr="00292832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292832">
            <w:pPr>
              <w:spacing w:line="256" w:lineRule="auto"/>
              <w:rPr>
                <w:sz w:val="21"/>
                <w:szCs w:val="21"/>
              </w:rPr>
            </w:pPr>
            <w:r w:rsidRPr="00292832">
              <w:rPr>
                <w:sz w:val="21"/>
                <w:szCs w:val="21"/>
              </w:rPr>
              <w:t xml:space="preserve">Они читают и понимают большинство написанных слов, особенно знакомых, и извлекают </w:t>
            </w:r>
            <w:r>
              <w:rPr>
                <w:sz w:val="21"/>
                <w:szCs w:val="21"/>
              </w:rPr>
              <w:t>очевидную</w:t>
            </w:r>
            <w:r w:rsidRPr="00292832">
              <w:rPr>
                <w:sz w:val="21"/>
                <w:szCs w:val="21"/>
              </w:rPr>
              <w:t xml:space="preserve"> информацию из предложений.</w:t>
            </w:r>
          </w:p>
        </w:tc>
      </w:tr>
      <w:tr w:rsidR="00292832" w:rsidRPr="00292832" w:rsidTr="00640D31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ind w:right="5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292832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Учащиеся </w:t>
            </w:r>
            <w:r w:rsidRPr="00292832">
              <w:rPr>
                <w:sz w:val="21"/>
                <w:szCs w:val="21"/>
              </w:rPr>
              <w:t xml:space="preserve">читают вслух написанные слова точно и бегло. Они понимают общий смысл предложений и коротких текстов.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Учащиеся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определяют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тему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текстов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292832" w:rsidRPr="00292832" w:rsidTr="00640D31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292832">
            <w:pPr>
              <w:spacing w:line="256" w:lineRule="auto"/>
              <w:ind w:right="51"/>
              <w:rPr>
                <w:b/>
                <w:sz w:val="21"/>
                <w:szCs w:val="21"/>
              </w:rPr>
            </w:pPr>
            <w:r w:rsidRPr="00292832">
              <w:rPr>
                <w:b/>
                <w:sz w:val="21"/>
                <w:szCs w:val="21"/>
              </w:rPr>
              <w:t xml:space="preserve">4 </w:t>
            </w:r>
            <w:r>
              <w:rPr>
                <w:b/>
                <w:sz w:val="21"/>
                <w:szCs w:val="21"/>
              </w:rPr>
              <w:t>и</w:t>
            </w:r>
            <w:r w:rsidRPr="00292832">
              <w:rPr>
                <w:b/>
                <w:sz w:val="21"/>
                <w:szCs w:val="21"/>
              </w:rPr>
              <w:t xml:space="preserve"> 6</w:t>
            </w:r>
            <w:r>
              <w:rPr>
                <w:b/>
                <w:sz w:val="21"/>
                <w:szCs w:val="21"/>
              </w:rPr>
              <w:t xml:space="preserve"> классы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Учащиеся</w:t>
            </w:r>
            <w:r w:rsidRPr="00292832">
              <w:rPr>
                <w:sz w:val="21"/>
                <w:szCs w:val="21"/>
              </w:rPr>
              <w:t xml:space="preserve"> интерпретируют и дают некоторые пояснения относительно основных и второстепенных идей в различных типах текстов. Они устанавливают связи между основными идеями текста и своим личным опытом, а также общими знаниями.</w:t>
            </w:r>
          </w:p>
        </w:tc>
      </w:tr>
      <w:tr w:rsidR="00292832" w:rsidRPr="00292832" w:rsidTr="00640D31">
        <w:trPr>
          <w:trHeight w:val="2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ind w:right="5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8 и 9 классы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rPr>
                <w:sz w:val="21"/>
                <w:szCs w:val="21"/>
              </w:rPr>
            </w:pPr>
            <w:r w:rsidRPr="00292832">
              <w:rPr>
                <w:sz w:val="21"/>
                <w:szCs w:val="21"/>
              </w:rPr>
              <w:t xml:space="preserve">Учащиеся устанавливают связи между основными идеями различных типов текстов и намерениями автора.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Они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размышляют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и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делают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выводы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на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основе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92832">
              <w:rPr>
                <w:sz w:val="21"/>
                <w:szCs w:val="21"/>
                <w:lang w:val="en-US"/>
              </w:rPr>
              <w:t>текста</w:t>
            </w:r>
            <w:proofErr w:type="spellEnd"/>
            <w:r w:rsidRPr="00292832">
              <w:rPr>
                <w:sz w:val="21"/>
                <w:szCs w:val="21"/>
                <w:lang w:val="en-US"/>
              </w:rPr>
              <w:t>.</w:t>
            </w:r>
          </w:p>
        </w:tc>
      </w:tr>
    </w:tbl>
    <w:p w:rsidR="00292832" w:rsidRPr="00292832" w:rsidRDefault="00292832" w:rsidP="002928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</w:p>
    <w:tbl>
      <w:tblPr>
        <w:tblW w:w="7515" w:type="dxa"/>
        <w:jc w:val="center"/>
        <w:tblLayout w:type="fixed"/>
        <w:tblLook w:val="0400" w:firstRow="0" w:lastRow="0" w:firstColumn="0" w:lastColumn="0" w:noHBand="0" w:noVBand="1"/>
      </w:tblPr>
      <w:tblGrid>
        <w:gridCol w:w="1838"/>
        <w:gridCol w:w="5677"/>
      </w:tblGrid>
      <w:tr w:rsidR="00292832" w:rsidRPr="00292832" w:rsidTr="00640D31">
        <w:trPr>
          <w:trHeight w:val="500"/>
          <w:jc w:val="center"/>
        </w:trPr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2832" w:rsidRPr="00292832" w:rsidRDefault="00292832" w:rsidP="00292832">
            <w:pPr>
              <w:spacing w:line="256" w:lineRule="auto"/>
              <w:ind w:right="5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Математика</w:t>
            </w:r>
          </w:p>
        </w:tc>
      </w:tr>
      <w:tr w:rsidR="00292832" w:rsidRPr="00292832" w:rsidTr="00640D31">
        <w:trPr>
          <w:trHeight w:val="5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2832" w:rsidRPr="00292832" w:rsidRDefault="00292832" w:rsidP="00640D31">
            <w:pPr>
              <w:spacing w:line="25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Уровень образования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92832" w:rsidRPr="00292832" w:rsidRDefault="00292832" w:rsidP="00640D31">
            <w:pPr>
              <w:spacing w:line="256" w:lineRule="auto"/>
              <w:ind w:right="52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Описание</w:t>
            </w:r>
          </w:p>
        </w:tc>
      </w:tr>
      <w:tr w:rsidR="00292832" w:rsidRPr="002E4C20" w:rsidTr="00640D31">
        <w:trPr>
          <w:trHeight w:val="5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2-3 классы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E4C20" w:rsidRDefault="002E4C20" w:rsidP="00640D31">
            <w:pPr>
              <w:spacing w:line="256" w:lineRule="auto"/>
              <w:ind w:right="52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Учащиеся</w:t>
            </w:r>
            <w:r w:rsidRPr="002E4C20">
              <w:rPr>
                <w:sz w:val="21"/>
                <w:szCs w:val="21"/>
              </w:rPr>
              <w:t xml:space="preserve"> демонстрируют навыки в восприятии чисел и вычислениях, распознавании форм и пространственной ориентации.</w:t>
            </w:r>
          </w:p>
        </w:tc>
      </w:tr>
      <w:tr w:rsidR="00292832" w:rsidRPr="002E4C20" w:rsidTr="00640D31">
        <w:trPr>
          <w:trHeight w:val="5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4-6 классы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E4C20" w:rsidRDefault="002E4C20" w:rsidP="00640D31">
            <w:pPr>
              <w:spacing w:line="256" w:lineRule="auto"/>
              <w:ind w:right="52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Учащиеся</w:t>
            </w:r>
            <w:r w:rsidRPr="002E4C20">
              <w:rPr>
                <w:sz w:val="21"/>
                <w:szCs w:val="21"/>
              </w:rPr>
              <w:t xml:space="preserve"> демонстрируют навыки восприятия чисел и вычислений, базовых измерений, чтения, интерпретации и </w:t>
            </w:r>
            <w:r w:rsidRPr="002E4C20">
              <w:rPr>
                <w:sz w:val="21"/>
                <w:szCs w:val="21"/>
              </w:rPr>
              <w:lastRenderedPageBreak/>
              <w:t>построения графиков, пространственной ориентации и числовых моделей.</w:t>
            </w:r>
          </w:p>
        </w:tc>
      </w:tr>
      <w:tr w:rsidR="00292832" w:rsidRPr="002E4C20" w:rsidTr="00640D31">
        <w:trPr>
          <w:trHeight w:val="50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92832" w:rsidRDefault="00292832" w:rsidP="00640D31">
            <w:pPr>
              <w:spacing w:line="25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 и 9 классы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32" w:rsidRPr="002E4C20" w:rsidRDefault="002E4C20" w:rsidP="00640D31">
            <w:pPr>
              <w:spacing w:line="256" w:lineRule="auto"/>
              <w:ind w:right="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Учащиеся</w:t>
            </w:r>
            <w:r w:rsidRPr="002E4C20">
              <w:rPr>
                <w:sz w:val="21"/>
                <w:szCs w:val="21"/>
              </w:rPr>
              <w:t xml:space="preserve"> демонстрируют навыки в области вычислений, прикладных задач, сопоставления таблиц и графиков, а также использования алгебраических представлений.</w:t>
            </w:r>
          </w:p>
        </w:tc>
      </w:tr>
    </w:tbl>
    <w:p w:rsidR="00C468BC" w:rsidRPr="002E4C20" w:rsidRDefault="00C468BC" w:rsidP="00C468BC">
      <w:pPr>
        <w:pStyle w:val="MText"/>
        <w:jc w:val="center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FC7675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FC7675">
        <w:rPr>
          <w:rFonts w:cs="Times New Roman"/>
          <w:szCs w:val="24"/>
        </w:rPr>
        <w:t>Пропорция. Этот показатель выражается как доля детей и/или молодых людей на соответствующей ступени образования в данном году, достигших или превысивших заранее определенный уровень знаний по данному предмету.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FC7675" w:rsidP="0075371E">
      <w:pPr>
        <w:pStyle w:val="MText"/>
        <w:rPr>
          <w:color w:val="auto"/>
          <w:sz w:val="24"/>
          <w:szCs w:val="24"/>
          <w:lang w:val="ru-RU"/>
        </w:rPr>
      </w:pPr>
      <w:r w:rsidRPr="00FC7675">
        <w:rPr>
          <w:color w:val="auto"/>
          <w:sz w:val="24"/>
          <w:szCs w:val="24"/>
          <w:lang w:val="ru-RU"/>
        </w:rPr>
        <w:t>Этот показатель выражает минимальный уровень владения (MPL), который является эталоном базовых знаний в предметной области (математика, чтение и т. д.), измеряемым с помощью оценок обучения. В сентябре 2018 г. было достигнуто соглашение по устному определению глобального минимального э</w:t>
      </w:r>
      <w:r w:rsidR="005D4056">
        <w:rPr>
          <w:color w:val="auto"/>
          <w:sz w:val="24"/>
          <w:szCs w:val="24"/>
          <w:lang w:val="ru-RU"/>
        </w:rPr>
        <w:t>талонного уровня владения</w:t>
      </w:r>
      <w:r w:rsidRPr="00FC7675">
        <w:rPr>
          <w:color w:val="auto"/>
          <w:sz w:val="24"/>
          <w:szCs w:val="24"/>
          <w:lang w:val="ru-RU"/>
        </w:rPr>
        <w:t xml:space="preserve"> для каждой из областей и доменов показателя 4.1.1, как описано в документе </w:t>
      </w:r>
      <w:hyperlink r:id="rId10" w:history="1">
        <w:r w:rsidRPr="00FC7675">
          <w:rPr>
            <w:rStyle w:val="ac"/>
            <w:sz w:val="24"/>
            <w:szCs w:val="24"/>
            <w:lang w:val="ru-RU"/>
          </w:rPr>
          <w:t>«Минимальные уровни владения (MPL): результаты совещания по достижению консенсуса».</w:t>
        </w:r>
      </w:hyperlink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C7675" w:rsidRDefault="00FC7675" w:rsidP="00FC7675">
      <w:r w:rsidRPr="00FC7675">
        <w:t>Тип источников данных: оценки обучения в школах и среди населения.</w:t>
      </w:r>
    </w:p>
    <w:p w:rsidR="00FC7675" w:rsidRPr="00FD31CB" w:rsidRDefault="00FC7675" w:rsidP="00FC7675">
      <w:pPr>
        <w:shd w:val="clear" w:color="auto" w:fill="FFFFFF"/>
        <w:spacing w:after="0"/>
        <w:rPr>
          <w:color w:val="4A4A4A"/>
          <w:sz w:val="21"/>
          <w:highlight w:val="yellow"/>
        </w:rPr>
      </w:pPr>
    </w:p>
    <w:p w:rsidR="00FC7675" w:rsidRPr="00FC7675" w:rsidRDefault="00FC7675" w:rsidP="00FC76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cs="Times New Roman"/>
          <w:b/>
          <w:szCs w:val="24"/>
          <w:lang w:val="en-US"/>
        </w:rPr>
      </w:pPr>
      <w:proofErr w:type="spellStart"/>
      <w:proofErr w:type="gramStart"/>
      <w:r w:rsidRPr="00FC7675">
        <w:rPr>
          <w:rFonts w:cs="Times New Roman"/>
          <w:b/>
          <w:szCs w:val="24"/>
          <w:lang w:val="en-US"/>
        </w:rPr>
        <w:t>Таблица</w:t>
      </w:r>
      <w:proofErr w:type="spellEnd"/>
      <w:r w:rsidRPr="00FC7675">
        <w:rPr>
          <w:rFonts w:cs="Times New Roman"/>
          <w:b/>
          <w:szCs w:val="24"/>
          <w:lang w:val="en-US"/>
        </w:rPr>
        <w:t xml:space="preserve"> 2.</w:t>
      </w:r>
      <w:proofErr w:type="gramEnd"/>
      <w:r w:rsidRPr="00FC7675">
        <w:rPr>
          <w:rFonts w:cs="Times New Roman"/>
          <w:b/>
          <w:szCs w:val="24"/>
          <w:lang w:val="en-US"/>
        </w:rPr>
        <w:t xml:space="preserve"> </w:t>
      </w:r>
      <w:proofErr w:type="spellStart"/>
      <w:proofErr w:type="gramStart"/>
      <w:r w:rsidRPr="00FC7675">
        <w:rPr>
          <w:rFonts w:cs="Times New Roman"/>
          <w:b/>
          <w:szCs w:val="24"/>
          <w:lang w:val="en-US"/>
        </w:rPr>
        <w:t>Как</w:t>
      </w:r>
      <w:proofErr w:type="spellEnd"/>
      <w:r w:rsidRPr="00FC7675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FC7675">
        <w:rPr>
          <w:rFonts w:cs="Times New Roman"/>
          <w:b/>
          <w:szCs w:val="24"/>
          <w:lang w:val="en-US"/>
        </w:rPr>
        <w:t>структурирована</w:t>
      </w:r>
      <w:proofErr w:type="spellEnd"/>
      <w:r w:rsidRPr="00FC7675">
        <w:rPr>
          <w:rFonts w:cs="Times New Roman"/>
          <w:b/>
          <w:szCs w:val="24"/>
          <w:lang w:val="en-US"/>
        </w:rPr>
        <w:t xml:space="preserve"> </w:t>
      </w:r>
      <w:proofErr w:type="spellStart"/>
      <w:r w:rsidRPr="00FC7675">
        <w:rPr>
          <w:rFonts w:cs="Times New Roman"/>
          <w:b/>
          <w:szCs w:val="24"/>
          <w:lang w:val="en-US"/>
        </w:rPr>
        <w:t>отчетность</w:t>
      </w:r>
      <w:proofErr w:type="spellEnd"/>
      <w:r w:rsidRPr="00FC7675">
        <w:rPr>
          <w:rFonts w:cs="Times New Roman"/>
          <w:b/>
          <w:szCs w:val="24"/>
          <w:lang w:val="en-US"/>
        </w:rPr>
        <w:t>?</w:t>
      </w:r>
      <w:proofErr w:type="gramEnd"/>
    </w:p>
    <w:tbl>
      <w:tblPr>
        <w:tblW w:w="9043" w:type="dxa"/>
        <w:jc w:val="center"/>
        <w:tblInd w:w="-27" w:type="dxa"/>
        <w:tblLayout w:type="fixed"/>
        <w:tblLook w:val="0400" w:firstRow="0" w:lastRow="0" w:firstColumn="0" w:lastColumn="0" w:noHBand="0" w:noVBand="1"/>
      </w:tblPr>
      <w:tblGrid>
        <w:gridCol w:w="1194"/>
        <w:gridCol w:w="1376"/>
        <w:gridCol w:w="999"/>
        <w:gridCol w:w="1700"/>
        <w:gridCol w:w="3774"/>
      </w:tblGrid>
      <w:tr w:rsidR="00FC7675" w:rsidRPr="00FC7675" w:rsidTr="00FC7675">
        <w:trPr>
          <w:trHeight w:val="300"/>
          <w:jc w:val="center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C7675">
              <w:rPr>
                <w:rFonts w:cs="Times New Roman"/>
                <w:szCs w:val="24"/>
                <w:lang w:val="en-US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 школе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C7675">
              <w:rPr>
                <w:rFonts w:cs="Times New Roman"/>
                <w:b/>
                <w:szCs w:val="24"/>
              </w:rPr>
              <w:t>Обследования домохозяйств</w:t>
            </w:r>
          </w:p>
        </w:tc>
        <w:tc>
          <w:tcPr>
            <w:tcW w:w="3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Оценка</w:t>
            </w: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b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Межнациональный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Национальный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b/>
                <w:szCs w:val="24"/>
              </w:rPr>
            </w:pPr>
          </w:p>
        </w:tc>
        <w:tc>
          <w:tcPr>
            <w:tcW w:w="3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b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FC7675">
              <w:rPr>
                <w:rFonts w:cs="Times New Roman"/>
                <w:b/>
                <w:sz w:val="22"/>
                <w:szCs w:val="24"/>
              </w:rPr>
              <w:t>2 или 3 классы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LLECE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MICS6</w:t>
            </w: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2/3 плюс один год, если начальная школа длится более 4 лет в соответствии с уровнем МСКО страны, за исключением 4 класса </w:t>
            </w:r>
            <w:r w:rsidRPr="00FC7675">
              <w:rPr>
                <w:rFonts w:cs="Times New Roman"/>
                <w:sz w:val="22"/>
                <w:szCs w:val="24"/>
                <w:lang w:val="en-US"/>
              </w:rPr>
              <w:t>TIMSS</w:t>
            </w:r>
            <w:r w:rsidRPr="00FC7675">
              <w:rPr>
                <w:rFonts w:cs="Times New Roman"/>
                <w:sz w:val="22"/>
                <w:szCs w:val="24"/>
              </w:rPr>
              <w:t>/</w:t>
            </w:r>
            <w:r w:rsidRPr="00FC7675">
              <w:rPr>
                <w:rFonts w:cs="Times New Roman"/>
                <w:sz w:val="22"/>
                <w:szCs w:val="24"/>
                <w:lang w:val="en-US"/>
              </w:rPr>
              <w:t>PIRLS</w:t>
            </w:r>
            <w:r>
              <w:rPr>
                <w:rFonts w:cs="Times New Roman"/>
                <w:sz w:val="22"/>
                <w:szCs w:val="24"/>
              </w:rPr>
              <w:t>, которые </w:t>
            </w:r>
            <w:r w:rsidRPr="00FC7675">
              <w:rPr>
                <w:rFonts w:cs="Times New Roman"/>
                <w:sz w:val="22"/>
                <w:szCs w:val="24"/>
              </w:rPr>
              <w:t>привязываются к концу начальной школы, когда начальная школа длится шесть или менее лет.</w:t>
            </w: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PASEC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EGRA</w:t>
            </w: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TIMSS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EGMA</w:t>
            </w: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7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PIRLS 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675" w:rsidRPr="00FC7675" w:rsidRDefault="00937995" w:rsidP="00937995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Сеть </w:t>
            </w:r>
            <w:r w:rsidR="00FC7675">
              <w:rPr>
                <w:rFonts w:cs="Times New Roman"/>
                <w:sz w:val="22"/>
                <w:szCs w:val="24"/>
              </w:rPr>
              <w:t xml:space="preserve">PAL </w:t>
            </w:r>
            <w:r>
              <w:rPr>
                <w:rFonts w:cs="Times New Roman"/>
                <w:sz w:val="22"/>
                <w:szCs w:val="24"/>
              </w:rPr>
              <w:t>(</w:t>
            </w:r>
            <w:r>
              <w:rPr>
                <w:rFonts w:cs="Times New Roman"/>
                <w:sz w:val="22"/>
                <w:szCs w:val="24"/>
              </w:rPr>
              <w:t>PAL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  <w:lang w:val="en-US"/>
              </w:rPr>
              <w:t>Network)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Конец начальной школы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LLECE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Да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Default="00937995" w:rsidP="00937995">
            <w:pPr>
              <w:spacing w:after="0" w:line="240" w:lineRule="auto"/>
              <w:rPr>
                <w:rFonts w:cs="Times New Roman"/>
                <w:sz w:val="22"/>
                <w:szCs w:val="24"/>
                <w:lang w:val="en-US"/>
              </w:rPr>
            </w:pPr>
            <w:r>
              <w:rPr>
                <w:rFonts w:cs="Times New Roman"/>
                <w:sz w:val="22"/>
                <w:szCs w:val="24"/>
              </w:rPr>
              <w:t xml:space="preserve">Сеть </w:t>
            </w:r>
            <w:r w:rsidR="00FC7675" w:rsidRPr="00FC7675">
              <w:rPr>
                <w:rFonts w:cs="Times New Roman"/>
                <w:sz w:val="22"/>
                <w:szCs w:val="24"/>
              </w:rPr>
              <w:t xml:space="preserve">PAL </w:t>
            </w:r>
            <w:r>
              <w:rPr>
                <w:rFonts w:cs="Times New Roman"/>
                <w:sz w:val="22"/>
                <w:szCs w:val="24"/>
              </w:rPr>
              <w:t xml:space="preserve">(PAL </w:t>
            </w:r>
            <w:r>
              <w:rPr>
                <w:rFonts w:cs="Times New Roman"/>
                <w:sz w:val="22"/>
                <w:szCs w:val="24"/>
                <w:lang w:val="en-US"/>
              </w:rPr>
              <w:t>Network)</w:t>
            </w:r>
          </w:p>
          <w:p w:rsidR="00937995" w:rsidRPr="00FC7675" w:rsidRDefault="00937995" w:rsidP="00937995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плюс или минус один год последнего года обучения в начальной школе в соответствии с уровнем МСКО страны, за исключением 4-го класса </w:t>
            </w:r>
            <w:r w:rsidRPr="00FC7675">
              <w:rPr>
                <w:rFonts w:cs="Times New Roman"/>
                <w:sz w:val="22"/>
                <w:szCs w:val="24"/>
                <w:lang w:val="en-US"/>
              </w:rPr>
              <w:t>TIMSS</w:t>
            </w:r>
            <w:r w:rsidRPr="00FC7675">
              <w:rPr>
                <w:rFonts w:cs="Times New Roman"/>
                <w:sz w:val="22"/>
                <w:szCs w:val="24"/>
              </w:rPr>
              <w:t>/</w:t>
            </w:r>
            <w:r w:rsidRPr="00FC7675">
              <w:rPr>
                <w:rFonts w:cs="Times New Roman"/>
                <w:sz w:val="22"/>
                <w:szCs w:val="24"/>
                <w:lang w:val="en-US"/>
              </w:rPr>
              <w:t>PIRLS</w:t>
            </w:r>
            <w:r w:rsidRPr="00FC7675">
              <w:rPr>
                <w:rFonts w:cs="Times New Roman"/>
                <w:sz w:val="22"/>
                <w:szCs w:val="24"/>
              </w:rPr>
              <w:t>, которые сопоставляются с окончанием начальной школы, если начальная школа длится шесть или менее лет.</w:t>
            </w: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PASEC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TIMSS 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PIRLS 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PILNA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SEAMEO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125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SACMEQ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FC7675">
              <w:rPr>
                <w:rFonts w:cs="Times New Roman"/>
                <w:b/>
                <w:sz w:val="22"/>
                <w:szCs w:val="24"/>
              </w:rPr>
              <w:t xml:space="preserve">Конец младших классов средней </w:t>
            </w:r>
            <w:r w:rsidRPr="00FC7675">
              <w:rPr>
                <w:rFonts w:cs="Times New Roman"/>
                <w:b/>
                <w:sz w:val="22"/>
                <w:szCs w:val="24"/>
              </w:rPr>
              <w:lastRenderedPageBreak/>
              <w:t>школы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lastRenderedPageBreak/>
              <w:t>PISA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Да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hyperlink r:id="rId11">
              <w:proofErr w:type="spellStart"/>
              <w:r w:rsidRPr="00FC7675">
                <w:rPr>
                  <w:rFonts w:cs="Times New Roman"/>
                  <w:sz w:val="22"/>
                  <w:szCs w:val="24"/>
                  <w:u w:val="single"/>
                </w:rPr>
                <w:t>Young</w:t>
              </w:r>
              <w:proofErr w:type="spellEnd"/>
              <w:r w:rsidRPr="00FC7675">
                <w:rPr>
                  <w:rFonts w:cs="Times New Roman"/>
                  <w:sz w:val="22"/>
                  <w:szCs w:val="24"/>
                  <w:u w:val="single"/>
                </w:rPr>
                <w:t xml:space="preserve"> </w:t>
              </w:r>
              <w:proofErr w:type="spellStart"/>
              <w:r w:rsidRPr="00FC7675">
                <w:rPr>
                  <w:rFonts w:cs="Times New Roman"/>
                  <w:sz w:val="22"/>
                  <w:szCs w:val="24"/>
                  <w:u w:val="single"/>
                </w:rPr>
                <w:t>Lives</w:t>
              </w:r>
              <w:proofErr w:type="spellEnd"/>
            </w:hyperlink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плюс два или минус один за последний год неполной средней школы в соответствии с уровнем МСКО страны</w:t>
            </w: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PISA-D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365"/>
          <w:jc w:val="center"/>
        </w:trPr>
        <w:tc>
          <w:tcPr>
            <w:tcW w:w="1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TIMSS 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sz w:val="22"/>
                <w:szCs w:val="24"/>
              </w:rPr>
            </w:pPr>
          </w:p>
        </w:tc>
      </w:tr>
      <w:tr w:rsidR="00FC7675" w:rsidRPr="00FC7675" w:rsidTr="00FC7675">
        <w:trPr>
          <w:trHeight w:val="1020"/>
          <w:jc w:val="center"/>
        </w:trPr>
        <w:tc>
          <w:tcPr>
            <w:tcW w:w="2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FC7675">
              <w:rPr>
                <w:rFonts w:cs="Times New Roman"/>
                <w:b/>
                <w:sz w:val="22"/>
                <w:szCs w:val="24"/>
              </w:rPr>
              <w:lastRenderedPageBreak/>
              <w:t>Определение минимального уровня до выпуска 2018 г.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Те, которые определены каждой оценкой по точке измерения и области</w:t>
            </w:r>
          </w:p>
        </w:tc>
      </w:tr>
      <w:tr w:rsidR="00FC7675" w:rsidRPr="00FC7675" w:rsidTr="00FC7675">
        <w:trPr>
          <w:trHeight w:val="1020"/>
          <w:jc w:val="center"/>
        </w:trPr>
        <w:tc>
          <w:tcPr>
            <w:tcW w:w="2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FC7675">
              <w:rPr>
                <w:rFonts w:cs="Times New Roman"/>
                <w:b/>
                <w:sz w:val="22"/>
                <w:szCs w:val="24"/>
              </w:rPr>
              <w:t>Определение минимального уровня с 2019 года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В соответствии с согласованием, принятым Глобальным альянсом по мониторингу обучения (</w:t>
            </w:r>
            <w:r w:rsidRPr="00FC7675">
              <w:rPr>
                <w:rFonts w:cs="Times New Roman"/>
                <w:sz w:val="22"/>
                <w:szCs w:val="24"/>
                <w:lang w:val="en-US"/>
              </w:rPr>
              <w:t>GAML</w:t>
            </w:r>
            <w:r w:rsidRPr="00FC7675">
              <w:rPr>
                <w:rFonts w:cs="Times New Roman"/>
                <w:sz w:val="22"/>
                <w:szCs w:val="24"/>
              </w:rPr>
              <w:t>) и Группой технического сотрудничества (</w:t>
            </w:r>
            <w:r w:rsidRPr="00FC7675">
              <w:rPr>
                <w:rFonts w:cs="Times New Roman"/>
                <w:sz w:val="22"/>
                <w:szCs w:val="24"/>
                <w:lang w:val="en-US"/>
              </w:rPr>
              <w:t>TCG</w:t>
            </w:r>
            <w:r w:rsidRPr="00FC7675">
              <w:rPr>
                <w:rFonts w:cs="Times New Roman"/>
                <w:sz w:val="22"/>
                <w:szCs w:val="24"/>
              </w:rPr>
              <w:t>)</w:t>
            </w:r>
          </w:p>
        </w:tc>
      </w:tr>
      <w:tr w:rsidR="00FC7675" w:rsidRPr="00FC7675" w:rsidTr="00FC7675">
        <w:trPr>
          <w:trHeight w:val="1020"/>
          <w:jc w:val="center"/>
        </w:trPr>
        <w:tc>
          <w:tcPr>
            <w:tcW w:w="2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r w:rsidRPr="00FC7675">
              <w:rPr>
                <w:rFonts w:cs="Times New Roman"/>
                <w:b/>
                <w:sz w:val="22"/>
                <w:szCs w:val="24"/>
              </w:rPr>
              <w:t>Оценка за окончание начальной и неполной средней школы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>В соответствии с уровнями МСКО в каждой стране</w:t>
            </w:r>
          </w:p>
        </w:tc>
      </w:tr>
      <w:tr w:rsidR="00FC7675" w:rsidRPr="00FC7675" w:rsidTr="00FC7675">
        <w:trPr>
          <w:trHeight w:val="300"/>
          <w:jc w:val="center"/>
        </w:trPr>
        <w:tc>
          <w:tcPr>
            <w:tcW w:w="25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b/>
                <w:sz w:val="22"/>
                <w:szCs w:val="24"/>
              </w:rPr>
            </w:pPr>
            <w:proofErr w:type="spellStart"/>
            <w:r>
              <w:rPr>
                <w:rFonts w:cs="Times New Roman"/>
                <w:b/>
                <w:sz w:val="22"/>
                <w:szCs w:val="24"/>
              </w:rPr>
              <w:t>Валидация</w:t>
            </w:r>
            <w:proofErr w:type="spellEnd"/>
            <w:r w:rsidRPr="00FC7675">
              <w:rPr>
                <w:rFonts w:cs="Times New Roman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4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675" w:rsidRPr="00FC7675" w:rsidRDefault="00FC7675" w:rsidP="00640D31">
            <w:pPr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FC7675">
              <w:rPr>
                <w:rFonts w:cs="Times New Roman"/>
                <w:sz w:val="22"/>
                <w:szCs w:val="24"/>
              </w:rPr>
              <w:t xml:space="preserve">Отправлено из </w:t>
            </w:r>
            <w:proofErr w:type="gramStart"/>
            <w:r w:rsidRPr="00FC7675">
              <w:rPr>
                <w:rFonts w:cs="Times New Roman"/>
                <w:sz w:val="22"/>
                <w:szCs w:val="24"/>
              </w:rPr>
              <w:t>СИЮ</w:t>
            </w:r>
            <w:proofErr w:type="gramEnd"/>
            <w:r w:rsidRPr="00FC7675">
              <w:rPr>
                <w:rFonts w:cs="Times New Roman"/>
                <w:sz w:val="22"/>
                <w:szCs w:val="24"/>
              </w:rPr>
              <w:t xml:space="preserve"> для утверждения странами</w:t>
            </w:r>
          </w:p>
        </w:tc>
      </w:tr>
    </w:tbl>
    <w:p w:rsidR="00FC7675" w:rsidRPr="00FC7675" w:rsidRDefault="00FC7675" w:rsidP="00FC7675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5D7654" w:rsidRPr="00BD29EC" w:rsidRDefault="005D7654" w:rsidP="005D7654">
      <w:r>
        <w:t>СИЮ</w:t>
      </w:r>
      <w:r w:rsidRPr="005D7654">
        <w:t xml:space="preserve"> собирает информацию от поставщиков источников данных на международном уровне и от стран на национальном уровне.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80434" w:rsidRPr="00BD29EC" w:rsidRDefault="00A80434" w:rsidP="00A80434">
      <w:r w:rsidRPr="00A80434">
        <w:t>Сбор данных продолжается в течение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C1968" w:rsidRPr="00BD29EC" w:rsidRDefault="009C1968" w:rsidP="009C1968">
      <w:r w:rsidRPr="009C1968">
        <w:t>Февраль/март и сентябрь каждый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37995" w:rsidRPr="00937995" w:rsidRDefault="00937995" w:rsidP="00937995">
      <w:pPr>
        <w:shd w:val="clear" w:color="auto" w:fill="FFFFFF"/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Оценки на основе данных их школ</w:t>
      </w:r>
    </w:p>
    <w:p w:rsidR="00937995" w:rsidRPr="00937995" w:rsidRDefault="00937995" w:rsidP="00937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 w:rsidRPr="00937995">
        <w:rPr>
          <w:sz w:val="21"/>
          <w:szCs w:val="21"/>
          <w:u w:val="single"/>
        </w:rPr>
        <w:t xml:space="preserve">Международные крупномасштабные оценки </w:t>
      </w:r>
      <w:r w:rsidRPr="00937995">
        <w:rPr>
          <w:sz w:val="21"/>
          <w:szCs w:val="21"/>
        </w:rPr>
        <w:t xml:space="preserve">представляются в </w:t>
      </w:r>
      <w:proofErr w:type="gramStart"/>
      <w:r w:rsidRPr="00937995">
        <w:rPr>
          <w:sz w:val="21"/>
          <w:szCs w:val="21"/>
        </w:rPr>
        <w:t>СИЮ</w:t>
      </w:r>
      <w:proofErr w:type="gramEnd"/>
      <w:r w:rsidRPr="00937995">
        <w:rPr>
          <w:sz w:val="21"/>
          <w:szCs w:val="21"/>
        </w:rPr>
        <w:t xml:space="preserve"> международными организациями (</w:t>
      </w:r>
      <w:r>
        <w:rPr>
          <w:sz w:val="21"/>
          <w:szCs w:val="21"/>
          <w:lang w:val="en-US"/>
        </w:rPr>
        <w:t>LIKE</w:t>
      </w:r>
      <w:r w:rsidRPr="00937995">
        <w:rPr>
          <w:sz w:val="21"/>
          <w:szCs w:val="21"/>
        </w:rPr>
        <w:t xml:space="preserve">, </w:t>
      </w:r>
      <w:r w:rsidRPr="00937995">
        <w:rPr>
          <w:sz w:val="21"/>
          <w:szCs w:val="21"/>
          <w:lang w:val="en-US"/>
        </w:rPr>
        <w:t>PASEC</w:t>
      </w:r>
      <w:r w:rsidRPr="00937995">
        <w:rPr>
          <w:sz w:val="21"/>
          <w:szCs w:val="21"/>
        </w:rPr>
        <w:t xml:space="preserve">, </w:t>
      </w:r>
      <w:r w:rsidRPr="00937995">
        <w:rPr>
          <w:sz w:val="21"/>
          <w:szCs w:val="21"/>
          <w:lang w:val="en-US"/>
        </w:rPr>
        <w:t>TIMSS</w:t>
      </w:r>
      <w:r w:rsidRPr="00937995">
        <w:rPr>
          <w:sz w:val="21"/>
          <w:szCs w:val="21"/>
        </w:rPr>
        <w:t xml:space="preserve"> и </w:t>
      </w:r>
      <w:r w:rsidRPr="00937995">
        <w:rPr>
          <w:sz w:val="21"/>
          <w:szCs w:val="21"/>
          <w:lang w:val="en-US"/>
        </w:rPr>
        <w:t>PIRLS</w:t>
      </w:r>
      <w:r w:rsidRPr="00937995">
        <w:rPr>
          <w:sz w:val="21"/>
          <w:szCs w:val="21"/>
        </w:rPr>
        <w:t>). Как правило, Межнациональная крупномасштабная оценка, будь то региональная или международная, определяет различные уровни эффективности, а также сообщает о среднем значении и стандартном отклонении. Они также выбирают один уровень в качестве точки отсечения, которая определяет, какие дети / молод</w:t>
      </w:r>
      <w:r>
        <w:rPr>
          <w:sz w:val="21"/>
          <w:szCs w:val="21"/>
        </w:rPr>
        <w:t>ые люди</w:t>
      </w:r>
      <w:r w:rsidRPr="00937995">
        <w:rPr>
          <w:sz w:val="21"/>
          <w:szCs w:val="21"/>
        </w:rPr>
        <w:t xml:space="preserve"> находятся ниже или выше уровня.</w:t>
      </w:r>
    </w:p>
    <w:p w:rsidR="00937995" w:rsidRPr="00937995" w:rsidRDefault="00937995" w:rsidP="00937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</w:pPr>
      <w:r>
        <w:rPr>
          <w:sz w:val="21"/>
          <w:szCs w:val="21"/>
          <w:u w:val="single"/>
        </w:rPr>
        <w:t>Региональные оценки</w:t>
      </w:r>
      <w:r w:rsidRPr="00937995">
        <w:rPr>
          <w:sz w:val="21"/>
          <w:szCs w:val="21"/>
        </w:rPr>
        <w:t xml:space="preserve">: </w:t>
      </w:r>
      <w:r w:rsidRPr="00937995">
        <w:rPr>
          <w:sz w:val="21"/>
          <w:szCs w:val="21"/>
          <w:lang w:val="en-US"/>
        </w:rPr>
        <w:t>PASEC</w:t>
      </w:r>
      <w:r w:rsidRPr="00937995">
        <w:rPr>
          <w:sz w:val="21"/>
          <w:szCs w:val="21"/>
        </w:rPr>
        <w:t xml:space="preserve">, </w:t>
      </w:r>
      <w:r w:rsidRPr="00937995">
        <w:rPr>
          <w:sz w:val="21"/>
          <w:szCs w:val="21"/>
          <w:lang w:val="en-US"/>
        </w:rPr>
        <w:t>SACMEQ</w:t>
      </w:r>
      <w:r w:rsidRPr="00937995">
        <w:rPr>
          <w:sz w:val="21"/>
          <w:szCs w:val="21"/>
        </w:rPr>
        <w:t xml:space="preserve">, </w:t>
      </w:r>
      <w:r w:rsidRPr="00937995">
        <w:rPr>
          <w:sz w:val="21"/>
          <w:szCs w:val="21"/>
          <w:lang w:val="en-US"/>
        </w:rPr>
        <w:t>ERCE</w:t>
      </w:r>
      <w:r w:rsidRPr="00937995">
        <w:rPr>
          <w:sz w:val="21"/>
          <w:szCs w:val="21"/>
        </w:rPr>
        <w:t xml:space="preserve">, </w:t>
      </w:r>
      <w:r w:rsidRPr="00937995">
        <w:rPr>
          <w:sz w:val="21"/>
          <w:szCs w:val="21"/>
          <w:lang w:val="en-US"/>
        </w:rPr>
        <w:t>PILNA</w:t>
      </w:r>
      <w:r w:rsidRPr="00937995">
        <w:rPr>
          <w:sz w:val="21"/>
          <w:szCs w:val="21"/>
        </w:rPr>
        <w:t xml:space="preserve">, </w:t>
      </w:r>
      <w:r w:rsidRPr="00937995">
        <w:rPr>
          <w:sz w:val="21"/>
          <w:szCs w:val="21"/>
          <w:lang w:val="en-US"/>
        </w:rPr>
        <w:t>SEAMEO</w:t>
      </w:r>
      <w:r w:rsidRPr="00937995">
        <w:rPr>
          <w:sz w:val="21"/>
          <w:szCs w:val="21"/>
        </w:rPr>
        <w:t>.</w:t>
      </w:r>
    </w:p>
    <w:p w:rsidR="00937995" w:rsidRPr="00937995" w:rsidRDefault="00937995" w:rsidP="00937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lang w:val="en-US"/>
        </w:rPr>
      </w:pPr>
      <w:r w:rsidRPr="00937995">
        <w:rPr>
          <w:sz w:val="21"/>
          <w:szCs w:val="21"/>
          <w:u w:val="single"/>
        </w:rPr>
        <w:t>Национальные крупномасштабные оценки</w:t>
      </w:r>
      <w:r>
        <w:rPr>
          <w:sz w:val="21"/>
          <w:szCs w:val="21"/>
        </w:rPr>
        <w:t xml:space="preserve"> </w:t>
      </w:r>
      <w:r w:rsidRPr="00937995">
        <w:rPr>
          <w:sz w:val="21"/>
          <w:szCs w:val="21"/>
        </w:rPr>
        <w:t xml:space="preserve">на основе выборки или переписи. Страны должны сообщать о доле учащихся по уровню компетенции для каждой области, указывая также минимальный уровень квалификации, когда он определяется национальной оценкой. </w:t>
      </w:r>
      <w:r w:rsidRPr="00937995">
        <w:rPr>
          <w:sz w:val="21"/>
          <w:szCs w:val="21"/>
          <w:lang w:val="en-US"/>
        </w:rPr>
        <w:t xml:space="preserve">EGRA и EGMA </w:t>
      </w:r>
      <w:proofErr w:type="spellStart"/>
      <w:r w:rsidRPr="00937995">
        <w:rPr>
          <w:sz w:val="21"/>
          <w:szCs w:val="21"/>
          <w:lang w:val="en-US"/>
        </w:rPr>
        <w:t>по</w:t>
      </w:r>
      <w:proofErr w:type="spellEnd"/>
      <w:r w:rsidRPr="00937995">
        <w:rPr>
          <w:sz w:val="21"/>
          <w:szCs w:val="21"/>
          <w:lang w:val="en-US"/>
        </w:rPr>
        <w:t xml:space="preserve"> </w:t>
      </w:r>
      <w:proofErr w:type="spellStart"/>
      <w:r w:rsidRPr="00937995">
        <w:rPr>
          <w:sz w:val="21"/>
          <w:szCs w:val="21"/>
          <w:lang w:val="en-US"/>
        </w:rPr>
        <w:t>данным</w:t>
      </w:r>
      <w:proofErr w:type="spellEnd"/>
      <w:r w:rsidRPr="00937995">
        <w:rPr>
          <w:sz w:val="21"/>
          <w:szCs w:val="21"/>
          <w:lang w:val="en-US"/>
        </w:rPr>
        <w:t xml:space="preserve"> USAID </w:t>
      </w:r>
      <w:proofErr w:type="spellStart"/>
      <w:r w:rsidRPr="00937995">
        <w:rPr>
          <w:sz w:val="21"/>
          <w:szCs w:val="21"/>
          <w:lang w:val="en-US"/>
        </w:rPr>
        <w:t>или</w:t>
      </w:r>
      <w:proofErr w:type="spellEnd"/>
      <w:r w:rsidRPr="00937995">
        <w:rPr>
          <w:sz w:val="21"/>
          <w:szCs w:val="21"/>
          <w:lang w:val="en-US"/>
        </w:rPr>
        <w:t xml:space="preserve"> </w:t>
      </w:r>
      <w:proofErr w:type="spellStart"/>
      <w:r w:rsidRPr="00937995">
        <w:rPr>
          <w:sz w:val="21"/>
          <w:szCs w:val="21"/>
          <w:lang w:val="en-US"/>
        </w:rPr>
        <w:t>отдельных</w:t>
      </w:r>
      <w:proofErr w:type="spellEnd"/>
      <w:r w:rsidRPr="00937995">
        <w:rPr>
          <w:sz w:val="21"/>
          <w:szCs w:val="21"/>
          <w:lang w:val="en-US"/>
        </w:rPr>
        <w:t xml:space="preserve"> </w:t>
      </w:r>
      <w:proofErr w:type="spellStart"/>
      <w:r w:rsidRPr="00937995">
        <w:rPr>
          <w:sz w:val="21"/>
          <w:szCs w:val="21"/>
          <w:lang w:val="en-US"/>
        </w:rPr>
        <w:t>стран</w:t>
      </w:r>
      <w:proofErr w:type="spellEnd"/>
      <w:r w:rsidRPr="00937995">
        <w:rPr>
          <w:sz w:val="21"/>
          <w:szCs w:val="21"/>
          <w:lang w:val="en-US"/>
        </w:rPr>
        <w:t>.</w:t>
      </w:r>
    </w:p>
    <w:p w:rsidR="00937995" w:rsidRPr="00937995" w:rsidRDefault="00937995" w:rsidP="009379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sz w:val="21"/>
          <w:szCs w:val="21"/>
          <w:lang w:val="en-US"/>
        </w:rPr>
      </w:pPr>
    </w:p>
    <w:p w:rsidR="00937995" w:rsidRPr="00937995" w:rsidRDefault="00937995" w:rsidP="00937995">
      <w:pPr>
        <w:shd w:val="clear" w:color="auto" w:fill="FFFFFF"/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Обследования домашних хозяйств</w:t>
      </w:r>
    </w:p>
    <w:p w:rsidR="00937995" w:rsidRPr="00937995" w:rsidRDefault="00937995" w:rsidP="00937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sz w:val="21"/>
          <w:szCs w:val="21"/>
        </w:rPr>
      </w:pPr>
      <w:r w:rsidRPr="00937995">
        <w:rPr>
          <w:sz w:val="21"/>
          <w:szCs w:val="21"/>
          <w:lang w:val="en-US"/>
        </w:rPr>
        <w:t>MICS</w:t>
      </w:r>
      <w:r w:rsidRPr="00937995">
        <w:rPr>
          <w:sz w:val="21"/>
          <w:szCs w:val="21"/>
        </w:rPr>
        <w:t xml:space="preserve">6: </w:t>
      </w:r>
      <w:r>
        <w:rPr>
          <w:sz w:val="21"/>
          <w:szCs w:val="21"/>
        </w:rPr>
        <w:t>ЮНИСЕФ сообщает данные СИЮ.</w:t>
      </w:r>
    </w:p>
    <w:p w:rsidR="00937995" w:rsidRPr="00937995" w:rsidRDefault="00937995" w:rsidP="009379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sz w:val="21"/>
          <w:szCs w:val="21"/>
          <w:lang w:val="en-US"/>
        </w:rPr>
      </w:pPr>
      <w:r>
        <w:rPr>
          <w:sz w:val="21"/>
          <w:szCs w:val="21"/>
        </w:rPr>
        <w:t>Сеть</w:t>
      </w:r>
      <w:r w:rsidRPr="00937995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Pal </w:t>
      </w:r>
      <w:r w:rsidRPr="00937995">
        <w:rPr>
          <w:rFonts w:cs="Times New Roman"/>
          <w:sz w:val="22"/>
          <w:szCs w:val="24"/>
          <w:lang w:val="en-US"/>
        </w:rPr>
        <w:t xml:space="preserve">(PAL </w:t>
      </w:r>
      <w:r>
        <w:rPr>
          <w:rFonts w:cs="Times New Roman"/>
          <w:sz w:val="22"/>
          <w:szCs w:val="24"/>
          <w:lang w:val="en-US"/>
        </w:rPr>
        <w:t>Network)</w:t>
      </w:r>
      <w:r w:rsidRPr="00937995">
        <w:rPr>
          <w:sz w:val="21"/>
          <w:szCs w:val="21"/>
          <w:lang w:val="en-US"/>
        </w:rPr>
        <w:t xml:space="preserve">: </w:t>
      </w:r>
      <w:r w:rsidRPr="00937995">
        <w:rPr>
          <w:rFonts w:cs="Times New Roman"/>
          <w:sz w:val="22"/>
          <w:szCs w:val="24"/>
          <w:lang w:val="en-US"/>
        </w:rPr>
        <w:t xml:space="preserve">PAL </w:t>
      </w:r>
      <w:r>
        <w:rPr>
          <w:rFonts w:cs="Times New Roman"/>
          <w:sz w:val="22"/>
          <w:szCs w:val="24"/>
          <w:lang w:val="en-US"/>
        </w:rPr>
        <w:t xml:space="preserve">Network </w:t>
      </w:r>
      <w:r>
        <w:rPr>
          <w:rFonts w:cs="Times New Roman"/>
          <w:sz w:val="22"/>
          <w:szCs w:val="24"/>
        </w:rPr>
        <w:t>сообщает</w:t>
      </w:r>
      <w:r w:rsidRPr="00937995">
        <w:rPr>
          <w:rFonts w:cs="Times New Roman"/>
          <w:sz w:val="22"/>
          <w:szCs w:val="24"/>
          <w:lang w:val="en-US"/>
        </w:rPr>
        <w:t xml:space="preserve"> </w:t>
      </w:r>
      <w:r>
        <w:rPr>
          <w:rFonts w:cs="Times New Roman"/>
          <w:sz w:val="22"/>
          <w:szCs w:val="24"/>
        </w:rPr>
        <w:t>данные</w:t>
      </w:r>
      <w:r w:rsidRPr="00937995">
        <w:rPr>
          <w:rFonts w:cs="Times New Roman"/>
          <w:sz w:val="22"/>
          <w:szCs w:val="24"/>
          <w:lang w:val="en-US"/>
        </w:rPr>
        <w:t xml:space="preserve"> </w:t>
      </w:r>
      <w:r>
        <w:rPr>
          <w:rFonts w:cs="Times New Roman"/>
          <w:sz w:val="22"/>
          <w:szCs w:val="24"/>
        </w:rPr>
        <w:t>СИЮ</w:t>
      </w:r>
      <w:r w:rsidRPr="00937995">
        <w:rPr>
          <w:rFonts w:cs="Times New Roman"/>
          <w:sz w:val="22"/>
          <w:szCs w:val="24"/>
          <w:lang w:val="en-US"/>
        </w:rPr>
        <w:t>.</w:t>
      </w:r>
    </w:p>
    <w:p w:rsidR="00937995" w:rsidRDefault="00937995" w:rsidP="000F6166"/>
    <w:p w:rsidR="000F6166" w:rsidRPr="000F6166" w:rsidRDefault="000F6166" w:rsidP="000F6166"/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0F6166" w:rsidRPr="00BD29EC" w:rsidRDefault="000F6166" w:rsidP="000F6166">
      <w:r w:rsidRPr="000F6166">
        <w:lastRenderedPageBreak/>
        <w:t>Статистический институт ЮНЕСКО (СИЮ)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D861A1" w:rsidRPr="00D861A1" w:rsidRDefault="00D861A1" w:rsidP="00D861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861A1">
        <w:rPr>
          <w:rFonts w:cs="Times New Roman"/>
          <w:szCs w:val="24"/>
        </w:rPr>
        <w:t>Статистический институт ЮНЕСКО (СИЮ) является статистическим подразделением Организации Объединенных Наций по вопросам образования, науки и культуры (ЮНЕСКО). Институт производит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развития.</w:t>
      </w:r>
    </w:p>
    <w:p w:rsidR="00D861A1" w:rsidRPr="00D861A1" w:rsidRDefault="00D861A1" w:rsidP="00D861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80F79" w:rsidRPr="00D861A1" w:rsidRDefault="00D861A1" w:rsidP="00D861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i/>
          <w:szCs w:val="24"/>
        </w:rPr>
      </w:pPr>
      <w:hyperlink r:id="rId12" w:history="1">
        <w:r w:rsidRPr="00D861A1">
          <w:rPr>
            <w:rStyle w:val="ac"/>
            <w:rFonts w:cs="Times New Roman"/>
            <w:szCs w:val="24"/>
          </w:rPr>
          <w:t>В Рамочной программе действий «Образование-2030»</w:t>
        </w:r>
        <w:r w:rsidRPr="00D861A1">
          <w:rPr>
            <w:rStyle w:val="ac"/>
            <w:rFonts w:cs="Times New Roman"/>
            <w:i/>
            <w:szCs w:val="24"/>
          </w:rPr>
          <w:t xml:space="preserve"> </w:t>
        </w:r>
        <w:r w:rsidRPr="00D861A1">
          <w:rPr>
            <w:rStyle w:val="ac"/>
            <w:rFonts w:cs="Times New Roman"/>
            <w:szCs w:val="24"/>
          </w:rPr>
          <w:t>100</w:t>
        </w:r>
      </w:hyperlink>
      <w:r w:rsidRPr="00D861A1">
        <w:rPr>
          <w:rFonts w:cs="Times New Roman"/>
          <w:i/>
          <w:szCs w:val="24"/>
        </w:rPr>
        <w:t xml:space="preserve"> четко указано, что: «Признавая важность гармонизации мониторинга и отчетности, СИЮ останется официальным источником данных об образовании, сопоставимых на международном уровне.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D861A1">
        <w:rPr>
          <w:rFonts w:cs="Times New Roman"/>
          <w:i/>
          <w:szCs w:val="24"/>
        </w:rPr>
        <w:t>для</w:t>
      </w:r>
      <w:proofErr w:type="gramEnd"/>
      <w:r w:rsidRPr="00D861A1">
        <w:rPr>
          <w:rFonts w:cs="Times New Roman"/>
          <w:i/>
          <w:szCs w:val="24"/>
        </w:rPr>
        <w:t xml:space="preserve"> более </w:t>
      </w:r>
      <w:proofErr w:type="gramStart"/>
      <w:r w:rsidRPr="00D861A1">
        <w:rPr>
          <w:rFonts w:cs="Times New Roman"/>
          <w:i/>
          <w:szCs w:val="24"/>
        </w:rPr>
        <w:t>чем</w:t>
      </w:r>
      <w:proofErr w:type="gramEnd"/>
      <w:r w:rsidRPr="00D861A1">
        <w:rPr>
          <w:rFonts w:cs="Times New Roman"/>
          <w:i/>
          <w:szCs w:val="24"/>
        </w:rPr>
        <w:t xml:space="preserve"> 200 стран и территорий. Помимо сбора данных, СИЮ будет работать с партнерами над разработкой новых показателей, статистических подходов и инструментов мониторинга для более эффективной оценки прогресса в выполнении задач, связанных с мандатом ЮНЕСКО, работая в координации с SC SDG-</w:t>
      </w:r>
      <w:proofErr w:type="spellStart"/>
      <w:r w:rsidRPr="00D861A1">
        <w:rPr>
          <w:rFonts w:cs="Times New Roman"/>
          <w:i/>
          <w:szCs w:val="24"/>
        </w:rPr>
        <w:t>Education</w:t>
      </w:r>
      <w:proofErr w:type="spellEnd"/>
      <w:r w:rsidRPr="00D861A1">
        <w:rPr>
          <w:rFonts w:cs="Times New Roman"/>
          <w:i/>
          <w:szCs w:val="24"/>
        </w:rPr>
        <w:t xml:space="preserve"> 2030».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861A1" w:rsidRPr="00D861A1" w:rsidRDefault="00D861A1" w:rsidP="00D861A1">
      <w:pPr>
        <w:pStyle w:val="MText"/>
        <w:rPr>
          <w:color w:val="auto"/>
          <w:sz w:val="24"/>
          <w:szCs w:val="24"/>
          <w:lang w:val="ru-RU"/>
        </w:rPr>
      </w:pPr>
      <w:r w:rsidRPr="00D861A1">
        <w:rPr>
          <w:color w:val="auto"/>
          <w:sz w:val="24"/>
          <w:szCs w:val="24"/>
          <w:lang w:val="ru-RU"/>
        </w:rPr>
        <w:t>Этот показатель предназначен для измерения процентной доли детей и молодых людей, достигших минимальных результатов обучения чтению и математике во время или по окончании соответствующих этапов образования.</w:t>
      </w:r>
    </w:p>
    <w:p w:rsidR="002E15F9" w:rsidRPr="00BD29EC" w:rsidRDefault="00D861A1" w:rsidP="00D861A1">
      <w:pPr>
        <w:pStyle w:val="MText"/>
        <w:rPr>
          <w:color w:val="auto"/>
          <w:sz w:val="24"/>
          <w:szCs w:val="24"/>
          <w:lang w:val="ru-RU"/>
        </w:rPr>
      </w:pPr>
      <w:r w:rsidRPr="00D861A1">
        <w:rPr>
          <w:color w:val="auto"/>
          <w:sz w:val="24"/>
          <w:szCs w:val="24"/>
          <w:lang w:val="ru-RU"/>
        </w:rPr>
        <w:t>Чем выше цифра, тем выше доля детей и/или молодых людей, достигших хотя бы минимального уровня знаний в соответствующей области (чтение или математика) с ограничениями, указанными в разделе «</w:t>
      </w:r>
      <w:r>
        <w:rPr>
          <w:color w:val="auto"/>
          <w:sz w:val="24"/>
          <w:szCs w:val="24"/>
          <w:lang w:val="ru-RU"/>
        </w:rPr>
        <w:t>Комментарии</w:t>
      </w:r>
      <w:r w:rsidRPr="00D861A1">
        <w:rPr>
          <w:color w:val="auto"/>
          <w:sz w:val="24"/>
          <w:szCs w:val="24"/>
          <w:lang w:val="ru-RU"/>
        </w:rPr>
        <w:t xml:space="preserve"> и ограничения».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861A1" w:rsidRDefault="00D861A1" w:rsidP="00D861A1">
      <w:r w:rsidRPr="00D861A1">
        <w:t xml:space="preserve">Результаты обучения в результате межнациональной оценки обучения напрямую сопоставимы для всех стран, которые участвовали в одних и тех же межнациональных оценках обучения. Однако эти результаты несопоставимы с различными межнациональными оценками обучения или с национальными оценками обучения. Уровень сопоставимости результатов обучения в разных оценках может </w:t>
      </w:r>
      <w:proofErr w:type="gramStart"/>
      <w:r w:rsidRPr="00D861A1">
        <w:t>быть</w:t>
      </w:r>
      <w:proofErr w:type="gramEnd"/>
      <w:r w:rsidRPr="00D861A1">
        <w:t xml:space="preserve"> достигнут за счет использования различных методологий, каждая из которых имеет различные стандартные ошибки. </w:t>
      </w:r>
      <w:proofErr w:type="gramStart"/>
      <w:r w:rsidRPr="00D861A1">
        <w:t>СИЮ</w:t>
      </w:r>
      <w:proofErr w:type="gramEnd"/>
      <w:r w:rsidRPr="00D861A1">
        <w:t xml:space="preserve"> внедрил механизм сопоставимости на основе консенсуса в отношении определения навыков и содержания. Связь через словесное определение. Сопоставимость результатов обучения с течением времени сопряжена с дополнительными сложностями, которые требуют, в идеале, заранее разработать и внедрить набор сопоставимых элементов в качестве ориентиров. В настоящее время ведутся методологические разработки для обеспечения сопоставимости результатов оценок с течением времени.</w:t>
      </w:r>
    </w:p>
    <w:p w:rsidR="002E15F9" w:rsidRPr="009D7082" w:rsidRDefault="002E15F9" w:rsidP="0075371E">
      <w:pPr>
        <w:pStyle w:val="MHeader2"/>
        <w:rPr>
          <w:color w:val="auto"/>
          <w:sz w:val="24"/>
          <w:szCs w:val="24"/>
          <w:lang w:val="en-US"/>
        </w:rPr>
      </w:pPr>
      <w:proofErr w:type="gramStart"/>
      <w:r w:rsidRPr="009D7082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c</w:t>
      </w:r>
      <w:proofErr w:type="gramEnd"/>
      <w:r w:rsidRPr="009D7082">
        <w:rPr>
          <w:color w:val="auto"/>
          <w:sz w:val="24"/>
          <w:szCs w:val="24"/>
          <w:lang w:val="en-US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</w:t>
      </w:r>
      <w:r w:rsidR="00CA1CB1" w:rsidRPr="009D7082">
        <w:rPr>
          <w:b/>
          <w:color w:val="auto"/>
          <w:sz w:val="24"/>
          <w:szCs w:val="24"/>
          <w:lang w:val="en-US"/>
        </w:rPr>
        <w:t xml:space="preserve"> </w:t>
      </w:r>
      <w:r w:rsidR="00CA1CB1" w:rsidRPr="00A71EC6">
        <w:rPr>
          <w:b/>
          <w:color w:val="auto"/>
          <w:sz w:val="24"/>
          <w:szCs w:val="24"/>
          <w:lang w:val="ru-RU"/>
        </w:rPr>
        <w:t>расчета</w:t>
      </w:r>
      <w:r w:rsidR="00CA1CB1" w:rsidRPr="009D7082">
        <w:rPr>
          <w:color w:val="auto"/>
          <w:sz w:val="24"/>
          <w:szCs w:val="24"/>
          <w:lang w:val="en-US"/>
        </w:rPr>
        <w:t xml:space="preserve"> </w:t>
      </w:r>
    </w:p>
    <w:p w:rsidR="009D7082" w:rsidRDefault="009D7082" w:rsidP="009D7082">
      <w:pPr>
        <w:rPr>
          <w:rFonts w:cs="Times New Roman"/>
          <w:szCs w:val="24"/>
        </w:rPr>
      </w:pPr>
      <w:r w:rsidRPr="009D7082">
        <w:rPr>
          <w:rFonts w:cs="Times New Roman"/>
          <w:szCs w:val="24"/>
        </w:rPr>
        <w:lastRenderedPageBreak/>
        <w:t xml:space="preserve">Количество детей и/или молодых людей на соответствующей ступени образования </w:t>
      </w:r>
      <w:r w:rsidRPr="009D7082">
        <w:rPr>
          <w:rFonts w:cs="Times New Roman"/>
          <w:szCs w:val="24"/>
          <w:lang w:val="en-US"/>
        </w:rPr>
        <w:t>n</w:t>
      </w:r>
      <w:r w:rsidRPr="009D7082">
        <w:rPr>
          <w:rFonts w:cs="Times New Roman"/>
          <w:szCs w:val="24"/>
        </w:rPr>
        <w:t xml:space="preserve"> в году </w:t>
      </w:r>
      <w:r w:rsidRPr="009D7082">
        <w:rPr>
          <w:rFonts w:cs="Times New Roman"/>
          <w:szCs w:val="24"/>
          <w:lang w:val="en-US"/>
        </w:rPr>
        <w:t>t</w:t>
      </w:r>
      <w:r w:rsidRPr="009D7082">
        <w:rPr>
          <w:rFonts w:cs="Times New Roman"/>
          <w:szCs w:val="24"/>
        </w:rPr>
        <w:t xml:space="preserve">, достигших или превысивших заранее установленный уровень владения предметом </w:t>
      </w:r>
      <w:r w:rsidRPr="009D7082">
        <w:rPr>
          <w:rFonts w:cs="Times New Roman"/>
          <w:szCs w:val="24"/>
          <w:lang w:val="en-US"/>
        </w:rPr>
        <w:t>s</w:t>
      </w:r>
      <w:r w:rsidRPr="009D7082">
        <w:rPr>
          <w:rFonts w:cs="Times New Roman"/>
          <w:szCs w:val="24"/>
        </w:rPr>
        <w:t xml:space="preserve">, выраженное в процентах от количества детей и/или молодых людей на ступени образования </w:t>
      </w:r>
      <w:r w:rsidRPr="009D7082">
        <w:rPr>
          <w:rFonts w:cs="Times New Roman"/>
          <w:szCs w:val="24"/>
          <w:lang w:val="en-US"/>
        </w:rPr>
        <w:t>n</w:t>
      </w:r>
      <w:r w:rsidRPr="009D7082">
        <w:rPr>
          <w:rFonts w:cs="Times New Roman"/>
          <w:szCs w:val="24"/>
        </w:rPr>
        <w:t xml:space="preserve">, в году </w:t>
      </w:r>
      <w:r w:rsidRPr="009D7082">
        <w:rPr>
          <w:rFonts w:cs="Times New Roman"/>
          <w:szCs w:val="24"/>
          <w:lang w:val="en-US"/>
        </w:rPr>
        <w:t>t</w:t>
      </w:r>
      <w:r w:rsidRPr="009D7082">
        <w:rPr>
          <w:rFonts w:cs="Times New Roman"/>
          <w:szCs w:val="24"/>
        </w:rPr>
        <w:t xml:space="preserve">, на любом уровне знаний по предмету </w:t>
      </w:r>
      <w:r w:rsidRPr="009D7082">
        <w:rPr>
          <w:rFonts w:cs="Times New Roman"/>
          <w:szCs w:val="24"/>
          <w:lang w:val="en-US"/>
        </w:rPr>
        <w:t>s</w:t>
      </w:r>
      <w:r w:rsidRPr="009D7082">
        <w:rPr>
          <w:rFonts w:cs="Times New Roman"/>
          <w:szCs w:val="24"/>
        </w:rPr>
        <w:t>.</w:t>
      </w:r>
    </w:p>
    <w:p w:rsidR="009D7082" w:rsidRPr="009D7082" w:rsidRDefault="009D7082" w:rsidP="009D7082">
      <w:pPr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MPL t,n,s=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Cs w:val="24"/>
                </w:rPr>
                <m:t>MP t,n,s</m:t>
              </m:r>
            </m:num>
            <m:den>
              <m:r>
                <w:rPr>
                  <w:rFonts w:ascii="Cambria Math" w:hAnsi="Cambria Math" w:cs="Times New Roman"/>
                  <w:szCs w:val="24"/>
                </w:rPr>
                <m:t>P t,n</m:t>
              </m:r>
            </m:den>
          </m:f>
        </m:oMath>
      </m:oMathPara>
    </w:p>
    <w:p w:rsidR="009D7082" w:rsidRPr="009D7082" w:rsidRDefault="009D7082" w:rsidP="009D7082">
      <w:pPr>
        <w:spacing w:after="0"/>
        <w:rPr>
          <w:rFonts w:cs="Times New Roman"/>
          <w:szCs w:val="24"/>
        </w:rPr>
      </w:pPr>
      <w:bookmarkStart w:id="5" w:name="_heading=h.30j0zll" w:colFirst="0" w:colLast="0"/>
      <w:bookmarkEnd w:id="5"/>
      <w:r>
        <w:rPr>
          <w:rFonts w:cs="Times New Roman"/>
          <w:szCs w:val="24"/>
        </w:rPr>
        <w:t>где</w:t>
      </w:r>
      <w:r w:rsidRPr="009D7082">
        <w:rPr>
          <w:rFonts w:cs="Times New Roman"/>
          <w:szCs w:val="24"/>
        </w:rPr>
        <w:t xml:space="preserve">: </w:t>
      </w:r>
    </w:p>
    <w:p w:rsidR="009D7082" w:rsidRPr="009D7082" w:rsidRDefault="009D7082" w:rsidP="009D7082">
      <w:pPr>
        <w:spacing w:after="0"/>
        <w:rPr>
          <w:rFonts w:cs="Times New Roman"/>
          <w:szCs w:val="24"/>
        </w:rPr>
      </w:pPr>
      <w:proofErr w:type="spellStart"/>
      <w:r w:rsidRPr="009D7082">
        <w:rPr>
          <w:rFonts w:cs="Times New Roman"/>
          <w:szCs w:val="24"/>
          <w:lang w:val="en-US"/>
        </w:rPr>
        <w:t>MPt</w:t>
      </w:r>
      <w:proofErr w:type="spellEnd"/>
      <w:proofErr w:type="gramStart"/>
      <w:r w:rsidRPr="009D7082">
        <w:rPr>
          <w:rFonts w:cs="Times New Roman"/>
          <w:szCs w:val="24"/>
        </w:rPr>
        <w:t>,</w:t>
      </w:r>
      <w:r w:rsidRPr="009D7082">
        <w:rPr>
          <w:rFonts w:cs="Times New Roman"/>
          <w:szCs w:val="24"/>
          <w:lang w:val="en-US"/>
        </w:rPr>
        <w:t>n</w:t>
      </w:r>
      <w:r w:rsidRPr="009D7082">
        <w:rPr>
          <w:rFonts w:cs="Times New Roman"/>
          <w:szCs w:val="24"/>
        </w:rPr>
        <w:t>,</w:t>
      </w:r>
      <w:r w:rsidRPr="009D7082">
        <w:rPr>
          <w:rFonts w:cs="Times New Roman"/>
          <w:szCs w:val="24"/>
          <w:lang w:val="en-US"/>
        </w:rPr>
        <w:t>s</w:t>
      </w:r>
      <w:proofErr w:type="gramEnd"/>
      <w:r w:rsidRPr="009D7082">
        <w:rPr>
          <w:rFonts w:cs="Times New Roman"/>
          <w:szCs w:val="24"/>
        </w:rPr>
        <w:t xml:space="preserve"> = </w:t>
      </w:r>
      <w:r w:rsidRPr="009D7082">
        <w:rPr>
          <w:rFonts w:cs="Times New Roman"/>
          <w:szCs w:val="24"/>
        </w:rPr>
        <w:t>количество детей и молод</w:t>
      </w:r>
      <w:r>
        <w:rPr>
          <w:rFonts w:cs="Times New Roman"/>
          <w:szCs w:val="24"/>
        </w:rPr>
        <w:t>ых людей</w:t>
      </w:r>
      <w:r w:rsidRPr="009D7082">
        <w:rPr>
          <w:rFonts w:cs="Times New Roman"/>
          <w:szCs w:val="24"/>
        </w:rPr>
        <w:t xml:space="preserve"> на ступени образования </w:t>
      </w:r>
      <w:r w:rsidRPr="009D7082">
        <w:rPr>
          <w:rFonts w:cs="Times New Roman"/>
          <w:szCs w:val="24"/>
          <w:lang w:val="en-US"/>
        </w:rPr>
        <w:t>n</w:t>
      </w:r>
      <w:r w:rsidRPr="009D7082">
        <w:rPr>
          <w:rFonts w:cs="Times New Roman"/>
          <w:szCs w:val="24"/>
        </w:rPr>
        <w:t xml:space="preserve"> в год </w:t>
      </w:r>
      <w:r w:rsidRPr="009D7082">
        <w:rPr>
          <w:rFonts w:cs="Times New Roman"/>
          <w:szCs w:val="24"/>
          <w:lang w:val="en-US"/>
        </w:rPr>
        <w:t>t</w:t>
      </w:r>
      <w:r w:rsidRPr="009D7082">
        <w:rPr>
          <w:rFonts w:cs="Times New Roman"/>
          <w:szCs w:val="24"/>
        </w:rPr>
        <w:t xml:space="preserve">, достигших или превысивших минимальный уровень знаний по предмету </w:t>
      </w:r>
      <w:r w:rsidRPr="009D7082">
        <w:rPr>
          <w:rFonts w:cs="Times New Roman"/>
          <w:szCs w:val="24"/>
          <w:lang w:val="en-US"/>
        </w:rPr>
        <w:t>s</w:t>
      </w:r>
      <w:r w:rsidRPr="009D7082">
        <w:rPr>
          <w:rFonts w:cs="Times New Roman"/>
          <w:szCs w:val="24"/>
        </w:rPr>
        <w:t>.</w:t>
      </w:r>
    </w:p>
    <w:p w:rsidR="009D7082" w:rsidRPr="009D7082" w:rsidRDefault="009D7082" w:rsidP="009D7082">
      <w:pPr>
        <w:spacing w:after="0"/>
        <w:rPr>
          <w:rFonts w:cs="Times New Roman"/>
          <w:szCs w:val="24"/>
        </w:rPr>
      </w:pPr>
      <w:proofErr w:type="spellStart"/>
      <w:r w:rsidRPr="009D7082">
        <w:rPr>
          <w:rFonts w:cs="Times New Roman"/>
          <w:szCs w:val="24"/>
          <w:lang w:val="en-US"/>
        </w:rPr>
        <w:t>MPt</w:t>
      </w:r>
      <w:proofErr w:type="spellEnd"/>
      <w:proofErr w:type="gramStart"/>
      <w:r w:rsidRPr="009D7082">
        <w:rPr>
          <w:rFonts w:cs="Times New Roman"/>
          <w:szCs w:val="24"/>
        </w:rPr>
        <w:t>,</w:t>
      </w:r>
      <w:r w:rsidRPr="009D7082">
        <w:rPr>
          <w:rFonts w:cs="Times New Roman"/>
          <w:szCs w:val="24"/>
          <w:lang w:val="en-US"/>
        </w:rPr>
        <w:t>n</w:t>
      </w:r>
      <w:proofErr w:type="gramEnd"/>
      <w:r w:rsidRPr="009D7082">
        <w:rPr>
          <w:rFonts w:cs="Times New Roman"/>
          <w:szCs w:val="24"/>
        </w:rPr>
        <w:t xml:space="preserve"> = </w:t>
      </w:r>
      <w:r w:rsidRPr="009D7082">
        <w:rPr>
          <w:rFonts w:cs="Times New Roman"/>
          <w:szCs w:val="24"/>
        </w:rPr>
        <w:t xml:space="preserve">общее количество детей и молодежи на ступени образования </w:t>
      </w:r>
      <w:r w:rsidRPr="009D7082">
        <w:rPr>
          <w:rFonts w:cs="Times New Roman"/>
          <w:szCs w:val="24"/>
          <w:lang w:val="en-US"/>
        </w:rPr>
        <w:t>n</w:t>
      </w:r>
      <w:r w:rsidRPr="009D7082">
        <w:rPr>
          <w:rFonts w:cs="Times New Roman"/>
          <w:szCs w:val="24"/>
        </w:rPr>
        <w:t xml:space="preserve"> в год</w:t>
      </w:r>
      <w:r>
        <w:rPr>
          <w:rFonts w:cs="Times New Roman"/>
          <w:szCs w:val="24"/>
        </w:rPr>
        <w:t>у</w:t>
      </w:r>
      <w:r w:rsidRPr="009D7082">
        <w:rPr>
          <w:rFonts w:cs="Times New Roman"/>
          <w:szCs w:val="24"/>
        </w:rPr>
        <w:t xml:space="preserve"> </w:t>
      </w:r>
      <w:r w:rsidRPr="009D7082">
        <w:rPr>
          <w:rFonts w:cs="Times New Roman"/>
          <w:szCs w:val="24"/>
          <w:lang w:val="en-US"/>
        </w:rPr>
        <w:t>t</w:t>
      </w:r>
      <w:r w:rsidRPr="009D7082">
        <w:rPr>
          <w:rFonts w:cs="Times New Roman"/>
          <w:szCs w:val="24"/>
        </w:rPr>
        <w:t>.</w:t>
      </w:r>
    </w:p>
    <w:p w:rsidR="009D7082" w:rsidRPr="009D7082" w:rsidRDefault="009D7082" w:rsidP="009D7082">
      <w:pPr>
        <w:spacing w:after="0"/>
        <w:rPr>
          <w:rFonts w:cs="Times New Roman"/>
          <w:szCs w:val="24"/>
          <w:lang w:val="en-US"/>
        </w:rPr>
      </w:pPr>
      <w:r w:rsidRPr="009D7082">
        <w:rPr>
          <w:rFonts w:cs="Times New Roman"/>
          <w:szCs w:val="24"/>
          <w:lang w:val="en-US"/>
        </w:rPr>
        <w:t>n</w:t>
      </w:r>
      <w:r w:rsidRPr="009D7082">
        <w:rPr>
          <w:rFonts w:cs="Times New Roman"/>
          <w:szCs w:val="24"/>
          <w:lang w:val="en-US"/>
        </w:rPr>
        <w:tab/>
        <w:t xml:space="preserve">= </w:t>
      </w:r>
      <w:proofErr w:type="spellStart"/>
      <w:r w:rsidRPr="009D7082">
        <w:rPr>
          <w:rFonts w:cs="Times New Roman"/>
          <w:szCs w:val="24"/>
          <w:lang w:val="en-US"/>
        </w:rPr>
        <w:t>оцениваемый</w:t>
      </w:r>
      <w:proofErr w:type="spellEnd"/>
      <w:r w:rsidRPr="009D7082">
        <w:rPr>
          <w:rFonts w:cs="Times New Roman"/>
          <w:szCs w:val="24"/>
          <w:lang w:val="en-US"/>
        </w:rPr>
        <w:t xml:space="preserve"> </w:t>
      </w:r>
      <w:proofErr w:type="spellStart"/>
      <w:r w:rsidRPr="009D7082">
        <w:rPr>
          <w:rFonts w:cs="Times New Roman"/>
          <w:szCs w:val="24"/>
          <w:lang w:val="en-US"/>
        </w:rPr>
        <w:t>этап</w:t>
      </w:r>
      <w:proofErr w:type="spellEnd"/>
      <w:r w:rsidRPr="009D7082">
        <w:rPr>
          <w:rFonts w:cs="Times New Roman"/>
          <w:szCs w:val="24"/>
          <w:lang w:val="en-US"/>
        </w:rPr>
        <w:t xml:space="preserve"> обучения.</w:t>
      </w:r>
    </w:p>
    <w:p w:rsidR="009D7082" w:rsidRPr="009D7082" w:rsidRDefault="009D7082" w:rsidP="009D7082">
      <w:pPr>
        <w:spacing w:after="0"/>
        <w:rPr>
          <w:rFonts w:cs="Times New Roman"/>
          <w:szCs w:val="24"/>
        </w:rPr>
      </w:pPr>
      <w:r w:rsidRPr="009D7082">
        <w:rPr>
          <w:rFonts w:cs="Times New Roman"/>
          <w:szCs w:val="24"/>
          <w:lang w:val="en-US"/>
        </w:rPr>
        <w:t>s</w:t>
      </w:r>
      <w:r w:rsidRPr="009D7082">
        <w:rPr>
          <w:rFonts w:cs="Times New Roman"/>
          <w:szCs w:val="24"/>
        </w:rPr>
        <w:tab/>
        <w:t xml:space="preserve">= </w:t>
      </w:r>
      <w:r w:rsidRPr="009D7082">
        <w:rPr>
          <w:rFonts w:cs="Times New Roman"/>
          <w:szCs w:val="24"/>
        </w:rPr>
        <w:t>оцениваемый предмет (чтение или математика).</w:t>
      </w:r>
    </w:p>
    <w:p w:rsidR="009D7082" w:rsidRPr="009D7082" w:rsidRDefault="009D7082" w:rsidP="009D7082">
      <w:pPr>
        <w:spacing w:after="0"/>
        <w:rPr>
          <w:rFonts w:cs="Times New Roman"/>
          <w:szCs w:val="24"/>
        </w:rPr>
      </w:pPr>
    </w:p>
    <w:p w:rsidR="004348E8" w:rsidRPr="004348E8" w:rsidRDefault="004348E8" w:rsidP="004348E8">
      <w:pPr>
        <w:spacing w:after="0"/>
        <w:rPr>
          <w:rFonts w:cs="Times New Roman"/>
          <w:b/>
          <w:szCs w:val="24"/>
        </w:rPr>
      </w:pPr>
      <w:r w:rsidRPr="004348E8">
        <w:rPr>
          <w:rFonts w:cs="Times New Roman"/>
          <w:b/>
          <w:szCs w:val="24"/>
        </w:rPr>
        <w:t>Согласование различных источников данных</w:t>
      </w:r>
    </w:p>
    <w:p w:rsidR="004348E8" w:rsidRDefault="004348E8" w:rsidP="004348E8">
      <w:r w:rsidRPr="004348E8">
        <w:t>Для решения проблем, связанных с ограниченными возможностями некоторых стран по проведению межнациональных, регион</w:t>
      </w:r>
      <w:r>
        <w:t xml:space="preserve">альных и национальных оценок, </w:t>
      </w:r>
      <w:proofErr w:type="gramStart"/>
      <w:r>
        <w:t>СИ</w:t>
      </w:r>
      <w:r w:rsidRPr="004348E8">
        <w:t>Ю</w:t>
      </w:r>
      <w:proofErr w:type="gramEnd"/>
      <w:r w:rsidRPr="004348E8">
        <w:t xml:space="preserve"> и его партнеры приняли меры. </w:t>
      </w:r>
      <w:r w:rsidRPr="004348E8">
        <w:t xml:space="preserve">Стратегии используются в соответствии с их уровнем точности и в соответствии с </w:t>
      </w:r>
      <w:hyperlink r:id="rId13" w:history="1">
        <w:r w:rsidRPr="004348E8">
          <w:rPr>
            <w:rStyle w:val="ac"/>
          </w:rPr>
          <w:t>протоколом отчетности</w:t>
        </w:r>
      </w:hyperlink>
      <w:r w:rsidRPr="004348E8">
        <w:t>, который включает национальные оценки при определенных обстоятельствах.</w:t>
      </w:r>
    </w:p>
    <w:p w:rsidR="00C36C02" w:rsidRPr="00C36C02" w:rsidRDefault="009D7082" w:rsidP="00C36C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cs="Times New Roman"/>
          <w:b/>
          <w:szCs w:val="24"/>
          <w:lang w:val="en-US"/>
        </w:rPr>
      </w:pPr>
      <w:sdt>
        <w:sdtPr>
          <w:rPr>
            <w:rFonts w:cs="Times New Roman"/>
            <w:szCs w:val="24"/>
          </w:rPr>
          <w:tag w:val="goog_rdk_72"/>
          <w:id w:val="-27881737"/>
        </w:sdtPr>
        <w:sdtContent>
          <w:sdt>
            <w:sdtPr>
              <w:rPr>
                <w:rFonts w:cs="Times New Roman"/>
                <w:szCs w:val="24"/>
              </w:rPr>
              <w:tag w:val="goog_rdk_71"/>
              <w:id w:val="373737418"/>
            </w:sdtPr>
            <w:sdtContent/>
          </w:sdt>
        </w:sdtContent>
      </w:sdt>
      <w:r w:rsidR="00C36C02" w:rsidRPr="00C36C02">
        <w:rPr>
          <w:rFonts w:cs="Times New Roman"/>
          <w:b/>
          <w:szCs w:val="24"/>
        </w:rPr>
        <w:t>Статус</w:t>
      </w:r>
      <w:r w:rsidR="00C36C02" w:rsidRPr="00C36C02">
        <w:rPr>
          <w:rFonts w:cs="Times New Roman"/>
          <w:b/>
          <w:szCs w:val="24"/>
          <w:lang w:val="en-US"/>
        </w:rPr>
        <w:t xml:space="preserve"> </w:t>
      </w:r>
      <w:r w:rsidR="00C36C02" w:rsidRPr="00C36C02">
        <w:rPr>
          <w:rFonts w:cs="Times New Roman"/>
          <w:b/>
          <w:szCs w:val="24"/>
        </w:rPr>
        <w:t>завершения</w:t>
      </w:r>
      <w:r w:rsidR="00C36C02" w:rsidRPr="00C36C02">
        <w:rPr>
          <w:rFonts w:cs="Times New Roman"/>
          <w:b/>
          <w:szCs w:val="24"/>
          <w:lang w:val="en-US"/>
        </w:rPr>
        <w:t xml:space="preserve"> </w:t>
      </w:r>
    </w:p>
    <w:p w:rsidR="009D7082" w:rsidRPr="009D7082" w:rsidRDefault="002E6A09" w:rsidP="00C36C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cs="Times New Roman"/>
          <w:szCs w:val="24"/>
        </w:rPr>
      </w:pPr>
      <w:r w:rsidRPr="002E6A09">
        <w:rPr>
          <w:rFonts w:cs="Times New Roman"/>
          <w:szCs w:val="24"/>
        </w:rPr>
        <w:t>Сочетание показателей завершения с результатами обучения улучшает наше понимание прогресса в достижении Задачи 4.1. Почти вся информация об обучении относится к школе и не учитывает завершение уровня. Включение завершения в глобальный список предлагает отчет в соответствии со статусом завершения. Наибольшие различия между ЦУР 4.1.1 об обучении до завершения и разбивкой по завершению обнаруживаются в регионах или странах с более низкими показателями завершения и зачисления, поскольку скорректированный показатель (или количество детей, заканчивающих и обучающихся) основан на показателе завершенных с поправкой на каче</w:t>
      </w:r>
      <w:r>
        <w:rPr>
          <w:rFonts w:cs="Times New Roman"/>
          <w:szCs w:val="24"/>
        </w:rPr>
        <w:t>ство</w:t>
      </w:r>
      <w:r w:rsidRPr="002E6A09">
        <w:rPr>
          <w:rFonts w:cs="Times New Roman"/>
          <w:szCs w:val="24"/>
        </w:rPr>
        <w:t xml:space="preserve">. </w:t>
      </w:r>
      <w:proofErr w:type="gramStart"/>
      <w:r w:rsidRPr="002E6A09">
        <w:rPr>
          <w:rFonts w:cs="Times New Roman"/>
          <w:szCs w:val="24"/>
        </w:rPr>
        <w:t>Это также объясняет, почему самые большие различия возникают на младших классах средней школы.</w:t>
      </w:r>
      <w:proofErr w:type="gramEnd"/>
      <w:r w:rsidRPr="002E6A09">
        <w:rPr>
          <w:rFonts w:cs="Times New Roman"/>
          <w:szCs w:val="24"/>
        </w:rPr>
        <w:t xml:space="preserve"> Во всем мире 47% учащихся младших классов средней школы достигают минимального уровня навыков чтения в соответствии с первоначальным показателем ЦУР 4.1.1, но значение скорректированного показателя упадет до 34% подростков, </w:t>
      </w:r>
      <w:r w:rsidR="003243A1">
        <w:rPr>
          <w:rFonts w:cs="Times New Roman"/>
          <w:szCs w:val="24"/>
        </w:rPr>
        <w:t>окончивших младшие классы средней школы</w:t>
      </w:r>
      <w:r w:rsidRPr="002E6A09">
        <w:rPr>
          <w:rFonts w:cs="Times New Roman"/>
          <w:szCs w:val="24"/>
        </w:rPr>
        <w:t xml:space="preserve"> и достигших минимального уровня владения математикой.</w:t>
      </w:r>
      <w:r>
        <w:rPr>
          <w:rFonts w:cs="Times New Roman"/>
          <w:szCs w:val="24"/>
        </w:rPr>
        <w:t xml:space="preserve"> </w:t>
      </w:r>
      <w:r w:rsidR="00C36C02">
        <w:rPr>
          <w:rFonts w:cs="Times New Roman"/>
          <w:szCs w:val="24"/>
        </w:rPr>
        <w:t>Ссылки</w:t>
      </w:r>
      <w:r w:rsidR="009D7082" w:rsidRPr="009D7082">
        <w:rPr>
          <w:rFonts w:cs="Times New Roman"/>
          <w:szCs w:val="24"/>
        </w:rPr>
        <w:t xml:space="preserve"> </w:t>
      </w:r>
      <w:hyperlink r:id="rId14" w:history="1">
        <w:r w:rsidR="00C36C02" w:rsidRPr="00C36C02">
          <w:rPr>
            <w:rStyle w:val="ac"/>
            <w:rFonts w:cs="Times New Roman"/>
            <w:szCs w:val="24"/>
          </w:rPr>
          <w:t>здесь</w:t>
        </w:r>
      </w:hyperlink>
      <w:r w:rsidR="00C36C02" w:rsidRPr="00C36C02">
        <w:rPr>
          <w:rStyle w:val="ac"/>
          <w:rFonts w:cs="Times New Roman"/>
          <w:color w:val="auto"/>
          <w:szCs w:val="24"/>
          <w:u w:val="none"/>
        </w:rPr>
        <w:t>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5D4056" w:rsidRDefault="005D4056" w:rsidP="005D4056">
      <w:r w:rsidRPr="005D4056">
        <w:t>Контроль качества обеспечивается созданием экспертной комиссии для обсуждения любых проблем/разногласий по реализации. Экспертная комиссия состоит из экспертов по обучению, представляющих регионы.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5D4056" w:rsidRDefault="005D4056" w:rsidP="005D4056">
      <w:r w:rsidRPr="005D4056">
        <w:t>Согласно текущим измерениям, большинство оценок обучения используют разные методологии для установлен</w:t>
      </w:r>
      <w:r>
        <w:t>ия минимального уровня владения</w:t>
      </w:r>
      <w:r w:rsidRPr="005D4056">
        <w:t xml:space="preserve">. </w:t>
      </w:r>
      <w:proofErr w:type="gramStart"/>
      <w:r w:rsidRPr="005D4056">
        <w:t>СИЮ</w:t>
      </w:r>
      <w:proofErr w:type="gramEnd"/>
      <w:r w:rsidRPr="005D4056">
        <w:t xml:space="preserve"> и GAM устанавливают руководящие п</w:t>
      </w:r>
      <w:r>
        <w:t>ринципы стандартизации для выбор</w:t>
      </w:r>
      <w:r w:rsidRPr="005D4056">
        <w:t xml:space="preserve">а минимальных </w:t>
      </w:r>
      <w:r w:rsidRPr="005D4056">
        <w:lastRenderedPageBreak/>
        <w:t>пороговых значений на основе рамок каждой программы оценки. Наиболее важным решением является выбор в каждой оценке уровня международной отчетности, соответствующего международному определению MPL. В случае некоторой программы оценки это означает выбор уровня, отличного от того, который программа оценки использовала для представления результатов.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5D4056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Пропущенные значения не вменяются. 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5D4056" w:rsidP="005D4056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Пропущенные значения не вменяются.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914EE6" w:rsidP="00914EE6">
      <w:r>
        <w:t xml:space="preserve">Пока </w:t>
      </w:r>
      <w:r w:rsidRPr="00914EE6">
        <w:t>не применимо. Данные сообщаются только на национальном уровне. Средневзвешенная численность населения по регионам будет представлена в 2020 году.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93E6F" w:rsidRPr="00593E6F" w:rsidRDefault="00593E6F" w:rsidP="00593E6F">
      <w:proofErr w:type="gramStart"/>
      <w:r w:rsidRPr="00593E6F">
        <w:t>СИЮ</w:t>
      </w:r>
      <w:proofErr w:type="gramEnd"/>
      <w:r w:rsidRPr="00593E6F">
        <w:t xml:space="preserve"> разработал руководство для стран в отношении содержания, процедур и отчетности в Глобальном альянсе по мониторингу обучающего </w:t>
      </w:r>
      <w:hyperlink r:id="rId15" w:history="1">
        <w:proofErr w:type="spellStart"/>
        <w:r w:rsidRPr="00593E6F">
          <w:rPr>
            <w:rStyle w:val="ac"/>
          </w:rPr>
          <w:t>микросайта</w:t>
        </w:r>
        <w:proofErr w:type="spellEnd"/>
      </w:hyperlink>
      <w:r w:rsidRPr="00593E6F">
        <w:t>.</w:t>
      </w:r>
    </w:p>
    <w:p w:rsidR="00593E6F" w:rsidRPr="00BD29EC" w:rsidRDefault="00593E6F" w:rsidP="00593E6F">
      <w:r w:rsidRPr="00593E6F">
        <w:t xml:space="preserve">Что касается выбора источников данных, </w:t>
      </w:r>
      <w:hyperlink r:id="rId16" w:history="1">
        <w:r w:rsidRPr="00593E6F">
          <w:rPr>
            <w:rStyle w:val="ac"/>
          </w:rPr>
          <w:t>Протокол отчетности по глобальному показателю ЦУР 4.1.1</w:t>
        </w:r>
      </w:hyperlink>
      <w:r w:rsidRPr="00593E6F">
        <w:t xml:space="preserve"> служит руководством для стран при выборе программы оценки.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AA1217" w:rsidRPr="00BD29EC" w:rsidRDefault="00AA1217" w:rsidP="00AA1217">
      <w:r w:rsidRPr="00AA1217">
        <w:t>СИЮ поддерживает глобальную базу данных по оценке обучения в базовом образовании. В целях прозрачности включение точки данных в базу данных осуществляется в соответствии с протоколом и проверяется техническими координаторами СИЮ для обеспечения согласованности и общего качества данных на основе объективных критериев, чтобы гарантировать, что только самая свежая и надежная информация включены в базу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E4CC2" w:rsidRPr="00040034" w:rsidRDefault="008E4CC2" w:rsidP="008E4CC2">
      <w:r w:rsidRPr="008E4CC2">
        <w:t>Информация, полученная межнациональными и национальными программами оценки, описана в их руководствах.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8E4CC2" w:rsidRPr="00BD29EC" w:rsidRDefault="008E4CC2" w:rsidP="008E4CC2">
      <w:r w:rsidRPr="008E4CC2">
        <w:t xml:space="preserve">Критериями обеспечения качества и стандартизации данных являются: источники данных должны включать соответствующую документацию; значения данных должны быть репрезентативными на уровне населения страны и в противном случае должны быть включены в сноску; значения данных основаны на достаточно большой выборке; структура оценки обучения охватывает минимальный набор содержания в глобальной структуре содержания, а уровни квалификации приведены в соответствие с минимальным уровнем владения (MPL), как определено в глобальной структуре квалификации; и </w:t>
      </w:r>
      <w:r w:rsidRPr="008E4CC2">
        <w:lastRenderedPageBreak/>
        <w:t>данные правдоподобны и основаны на тенденциях и соответствии с ранее опубликованными или заявленными оценками для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F20A52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20A52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F20A52" w:rsidRPr="00BD29EC" w:rsidRDefault="00F20A52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Д</w:t>
      </w:r>
      <w:r w:rsidRPr="00F20A52">
        <w:rPr>
          <w:color w:val="auto"/>
          <w:sz w:val="24"/>
          <w:szCs w:val="24"/>
          <w:lang w:val="ru-RU"/>
        </w:rPr>
        <w:t>анные доступны на национальном уровне.</w:t>
      </w:r>
    </w:p>
    <w:p w:rsidR="0075371E" w:rsidRPr="00F20A52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20A52">
        <w:rPr>
          <w:b/>
          <w:color w:val="auto"/>
          <w:sz w:val="24"/>
          <w:szCs w:val="24"/>
          <w:lang w:val="ru-RU"/>
        </w:rPr>
        <w:t>Временные ряды:</w:t>
      </w:r>
    </w:p>
    <w:p w:rsidR="00F20A52" w:rsidRPr="00BD29EC" w:rsidRDefault="00F20A52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Данные доступны с 2000 года. </w:t>
      </w:r>
    </w:p>
    <w:p w:rsidR="0075371E" w:rsidRPr="00F20A52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F20A52">
        <w:rPr>
          <w:b/>
          <w:color w:val="auto"/>
          <w:sz w:val="24"/>
          <w:szCs w:val="24"/>
          <w:lang w:val="ru-RU"/>
        </w:rPr>
        <w:t>Разбивка:</w:t>
      </w:r>
    </w:p>
    <w:p w:rsidR="00F20A52" w:rsidRPr="00BD29EC" w:rsidRDefault="00F20A52" w:rsidP="0075371E">
      <w:pPr>
        <w:pStyle w:val="MText"/>
        <w:rPr>
          <w:color w:val="auto"/>
          <w:sz w:val="24"/>
          <w:szCs w:val="24"/>
          <w:lang w:val="ru-RU"/>
        </w:rPr>
      </w:pPr>
      <w:r w:rsidRPr="00F20A52">
        <w:rPr>
          <w:color w:val="auto"/>
          <w:sz w:val="24"/>
          <w:szCs w:val="24"/>
          <w:lang w:val="ru-RU"/>
        </w:rPr>
        <w:t xml:space="preserve">Показатель публикуется в разбивке по полу и статусу завершения (Глобальный показатель 4.1.2). Другие разбивки, такие как местоположение, социально-экономический статус, статус иммигранта, этническая принадлежность </w:t>
      </w:r>
      <w:r>
        <w:rPr>
          <w:color w:val="auto"/>
          <w:sz w:val="24"/>
          <w:szCs w:val="24"/>
          <w:lang w:val="ru-RU"/>
        </w:rPr>
        <w:t>и язык</w:t>
      </w:r>
      <w:r w:rsidRPr="00F20A52">
        <w:rPr>
          <w:color w:val="auto"/>
          <w:sz w:val="24"/>
          <w:szCs w:val="24"/>
          <w:lang w:val="ru-RU"/>
        </w:rPr>
        <w:t xml:space="preserve"> теста</w:t>
      </w:r>
      <w:r>
        <w:rPr>
          <w:color w:val="auto"/>
          <w:sz w:val="24"/>
          <w:szCs w:val="24"/>
          <w:lang w:val="ru-RU"/>
        </w:rPr>
        <w:t>, проведенного дома</w:t>
      </w:r>
      <w:r w:rsidRPr="00F20A52">
        <w:rPr>
          <w:color w:val="auto"/>
          <w:sz w:val="24"/>
          <w:szCs w:val="24"/>
          <w:lang w:val="ru-RU"/>
        </w:rPr>
        <w:t xml:space="preserve">, основаны на данных, полученных международными организациями, проводящими оценку перекрестного обучения, подробно описанную в </w:t>
      </w:r>
      <w:hyperlink r:id="rId17" w:history="1">
        <w:r w:rsidRPr="007B733D">
          <w:rPr>
            <w:rStyle w:val="ac"/>
            <w:sz w:val="24"/>
            <w:szCs w:val="24"/>
            <w:lang w:val="ru-RU"/>
          </w:rPr>
          <w:t>расширенном документе метаданных</w:t>
        </w:r>
      </w:hyperlink>
      <w:bookmarkStart w:id="6" w:name="_GoBack"/>
      <w:bookmarkEnd w:id="6"/>
      <w:r w:rsidRPr="00F20A52">
        <w:rPr>
          <w:color w:val="auto"/>
          <w:sz w:val="24"/>
          <w:szCs w:val="24"/>
          <w:lang w:val="ru-RU"/>
        </w:rPr>
        <w:t xml:space="preserve"> и подтвержденную странами.  Показатели паритета оцениваются в отчетности по показателю 4.5.1.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20A52" w:rsidRPr="00F20A52" w:rsidRDefault="00F20A52" w:rsidP="00F20A52">
      <w:r w:rsidRPr="00F20A52">
        <w:t>Источники расхождений:</w:t>
      </w:r>
    </w:p>
    <w:p w:rsidR="002E15F9" w:rsidRDefault="00F20A52" w:rsidP="00F20A52">
      <w:r>
        <w:t>Пока</w:t>
      </w:r>
      <w:r w:rsidRPr="00F20A52">
        <w:t xml:space="preserve"> не применимо. Данные сообщаются только на национальном уровне.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20A52" w:rsidRPr="00F20A52" w:rsidRDefault="00F20A52" w:rsidP="00F20A52">
      <w:r>
        <w:t>Минимальные уровни владения</w:t>
      </w:r>
    </w:p>
    <w:p w:rsidR="00F20A52" w:rsidRPr="00F20A52" w:rsidRDefault="00F20A52" w:rsidP="00F20A52">
      <w:pPr>
        <w:rPr>
          <w:lang w:val="en-US"/>
        </w:rPr>
      </w:pPr>
      <w:hyperlink r:id="rId18">
        <w:r w:rsidRPr="00F20A52">
          <w:rPr>
            <w:color w:val="0000FF"/>
            <w:u w:val="single"/>
            <w:lang w:val="en-US"/>
          </w:rPr>
          <w:t>http://gaml.uis.unesco.org/wp-content/uploads/sites/2/2019/07/MPLs_revised_doc_20190506_v2.pdf</w:t>
        </w:r>
      </w:hyperlink>
    </w:p>
    <w:p w:rsidR="00F20A52" w:rsidRDefault="00F20A52" w:rsidP="00F20A52">
      <w:r w:rsidRPr="00F20A52">
        <w:t>Затраты и преимущества различных подходов к измерению учебных навыков учащихся (показатель ЦУР 4.1.1)</w:t>
      </w:r>
    </w:p>
    <w:p w:rsidR="00F20A52" w:rsidRPr="00F20A52" w:rsidRDefault="00F20A52" w:rsidP="00F20A52">
      <w:hyperlink r:id="rId19">
        <w:r w:rsidRPr="00F20A52">
          <w:rPr>
            <w:color w:val="0000FF"/>
            <w:u w:val="single"/>
            <w:lang w:val="en-US"/>
          </w:rPr>
          <w:t>http</w:t>
        </w:r>
        <w:r w:rsidRPr="00F20A52">
          <w:rPr>
            <w:color w:val="0000FF"/>
            <w:u w:val="single"/>
          </w:rPr>
          <w:t>://</w:t>
        </w:r>
        <w:proofErr w:type="spellStart"/>
        <w:r w:rsidRPr="00F20A52">
          <w:rPr>
            <w:color w:val="0000FF"/>
            <w:u w:val="single"/>
            <w:lang w:val="en-US"/>
          </w:rPr>
          <w:t>uis</w:t>
        </w:r>
        <w:proofErr w:type="spellEnd"/>
        <w:r w:rsidRPr="00F20A52">
          <w:rPr>
            <w:color w:val="0000FF"/>
            <w:u w:val="single"/>
          </w:rPr>
          <w:t>.</w:t>
        </w:r>
        <w:proofErr w:type="spellStart"/>
        <w:r w:rsidRPr="00F20A52">
          <w:rPr>
            <w:color w:val="0000FF"/>
            <w:u w:val="single"/>
            <w:lang w:val="en-US"/>
          </w:rPr>
          <w:t>unesco</w:t>
        </w:r>
        <w:proofErr w:type="spellEnd"/>
        <w:r w:rsidRPr="00F20A52">
          <w:rPr>
            <w:color w:val="0000FF"/>
            <w:u w:val="single"/>
          </w:rPr>
          <w:t>.</w:t>
        </w:r>
        <w:r w:rsidRPr="00F20A52">
          <w:rPr>
            <w:color w:val="0000FF"/>
            <w:u w:val="single"/>
            <w:lang w:val="en-US"/>
          </w:rPr>
          <w:t>org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sites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default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files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documents</w:t>
        </w:r>
        <w:r w:rsidRPr="00F20A52">
          <w:rPr>
            <w:color w:val="0000FF"/>
            <w:u w:val="single"/>
          </w:rPr>
          <w:t>/</w:t>
        </w:r>
        <w:proofErr w:type="spellStart"/>
        <w:r w:rsidRPr="00F20A52">
          <w:rPr>
            <w:color w:val="0000FF"/>
            <w:u w:val="single"/>
            <w:lang w:val="en-US"/>
          </w:rPr>
          <w:t>ip</w:t>
        </w:r>
        <w:proofErr w:type="spellEnd"/>
        <w:r w:rsidRPr="00F20A52">
          <w:rPr>
            <w:color w:val="0000FF"/>
            <w:u w:val="single"/>
          </w:rPr>
          <w:t>53-</w:t>
        </w:r>
        <w:r w:rsidRPr="00F20A52">
          <w:rPr>
            <w:color w:val="0000FF"/>
            <w:u w:val="single"/>
            <w:lang w:val="en-US"/>
          </w:rPr>
          <w:t>costs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benefits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approaches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measuring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proficiency</w:t>
        </w:r>
        <w:r w:rsidRPr="00F20A52">
          <w:rPr>
            <w:color w:val="0000FF"/>
            <w:u w:val="single"/>
          </w:rPr>
          <w:t>-2019-</w:t>
        </w:r>
        <w:proofErr w:type="spellStart"/>
        <w:r w:rsidRPr="00F20A52">
          <w:rPr>
            <w:color w:val="0000FF"/>
            <w:u w:val="single"/>
            <w:lang w:val="en-US"/>
          </w:rPr>
          <w:t>en</w:t>
        </w:r>
        <w:proofErr w:type="spellEnd"/>
        <w:r w:rsidRPr="00F20A52">
          <w:rPr>
            <w:color w:val="0000FF"/>
            <w:u w:val="single"/>
          </w:rPr>
          <w:t>.</w:t>
        </w:r>
        <w:r w:rsidRPr="00F20A52">
          <w:rPr>
            <w:color w:val="0000FF"/>
            <w:u w:val="single"/>
            <w:lang w:val="en-US"/>
          </w:rPr>
          <w:t>pdf</w:t>
        </w:r>
      </w:hyperlink>
    </w:p>
    <w:p w:rsidR="00F20A52" w:rsidRDefault="00F20A52" w:rsidP="00F20A52">
      <w:r w:rsidRPr="00F20A52">
        <w:t>Протокол отчетности по глобальному показателю ЦУР 4.1.1</w:t>
      </w:r>
    </w:p>
    <w:p w:rsidR="00F20A52" w:rsidRPr="00F20A52" w:rsidRDefault="00F20A52" w:rsidP="00F20A52">
      <w:hyperlink r:id="rId20">
        <w:r w:rsidRPr="00F20A52">
          <w:rPr>
            <w:color w:val="0000FF"/>
            <w:u w:val="single"/>
            <w:lang w:val="en-US"/>
          </w:rPr>
          <w:t>http</w:t>
        </w:r>
        <w:r w:rsidRPr="00F20A52">
          <w:rPr>
            <w:color w:val="0000FF"/>
            <w:u w:val="single"/>
          </w:rPr>
          <w:t>://</w:t>
        </w:r>
        <w:proofErr w:type="spellStart"/>
        <w:r w:rsidRPr="00F20A52">
          <w:rPr>
            <w:color w:val="0000FF"/>
            <w:u w:val="single"/>
            <w:lang w:val="en-US"/>
          </w:rPr>
          <w:t>gaml</w:t>
        </w:r>
        <w:proofErr w:type="spellEnd"/>
        <w:r w:rsidRPr="00F20A52">
          <w:rPr>
            <w:color w:val="0000FF"/>
            <w:u w:val="single"/>
          </w:rPr>
          <w:t>.</w:t>
        </w:r>
        <w:proofErr w:type="spellStart"/>
        <w:r w:rsidRPr="00F20A52">
          <w:rPr>
            <w:color w:val="0000FF"/>
            <w:u w:val="single"/>
            <w:lang w:val="en-US"/>
          </w:rPr>
          <w:t>uis</w:t>
        </w:r>
        <w:proofErr w:type="spellEnd"/>
        <w:r w:rsidRPr="00F20A52">
          <w:rPr>
            <w:color w:val="0000FF"/>
            <w:u w:val="single"/>
          </w:rPr>
          <w:t>.</w:t>
        </w:r>
        <w:proofErr w:type="spellStart"/>
        <w:r w:rsidRPr="00F20A52">
          <w:rPr>
            <w:color w:val="0000FF"/>
            <w:u w:val="single"/>
            <w:lang w:val="en-US"/>
          </w:rPr>
          <w:t>unesco</w:t>
        </w:r>
        <w:proofErr w:type="spellEnd"/>
        <w:r w:rsidRPr="00F20A52">
          <w:rPr>
            <w:color w:val="0000FF"/>
            <w:u w:val="single"/>
          </w:rPr>
          <w:t>.</w:t>
        </w:r>
        <w:r w:rsidRPr="00F20A52">
          <w:rPr>
            <w:color w:val="0000FF"/>
            <w:u w:val="single"/>
            <w:lang w:val="en-US"/>
          </w:rPr>
          <w:t>org</w:t>
        </w:r>
        <w:r w:rsidRPr="00F20A52">
          <w:rPr>
            <w:color w:val="0000FF"/>
            <w:u w:val="single"/>
          </w:rPr>
          <w:t>/</w:t>
        </w:r>
        <w:proofErr w:type="spellStart"/>
        <w:r w:rsidRPr="00F20A52">
          <w:rPr>
            <w:color w:val="0000FF"/>
            <w:u w:val="single"/>
            <w:lang w:val="en-US"/>
          </w:rPr>
          <w:t>wp</w:t>
        </w:r>
        <w:proofErr w:type="spellEnd"/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content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uploads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sites</w:t>
        </w:r>
        <w:r w:rsidRPr="00F20A52">
          <w:rPr>
            <w:color w:val="0000FF"/>
            <w:u w:val="single"/>
          </w:rPr>
          <w:t>/2/2019/05/</w:t>
        </w:r>
        <w:r w:rsidRPr="00F20A52">
          <w:rPr>
            <w:color w:val="0000FF"/>
            <w:u w:val="single"/>
            <w:lang w:val="en-US"/>
          </w:rPr>
          <w:t>GAML</w:t>
        </w:r>
        <w:r w:rsidRPr="00F20A52">
          <w:rPr>
            <w:color w:val="0000FF"/>
            <w:u w:val="single"/>
          </w:rPr>
          <w:t>6-</w:t>
        </w:r>
        <w:r w:rsidRPr="00F20A52">
          <w:rPr>
            <w:color w:val="0000FF"/>
            <w:u w:val="single"/>
            <w:lang w:val="en-US"/>
          </w:rPr>
          <w:t>WD</w:t>
        </w:r>
        <w:r w:rsidRPr="00F20A52">
          <w:rPr>
            <w:color w:val="0000FF"/>
            <w:u w:val="single"/>
          </w:rPr>
          <w:t>-2-</w:t>
        </w:r>
        <w:r w:rsidRPr="00F20A52">
          <w:rPr>
            <w:color w:val="0000FF"/>
            <w:u w:val="single"/>
            <w:lang w:val="en-US"/>
          </w:rPr>
          <w:t>Protocol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for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reporting</w:t>
        </w:r>
        <w:r w:rsidRPr="00F20A52">
          <w:rPr>
            <w:color w:val="0000FF"/>
            <w:u w:val="single"/>
          </w:rPr>
          <w:t>-4.1.1_</w:t>
        </w:r>
        <w:r w:rsidRPr="00F20A52">
          <w:rPr>
            <w:color w:val="0000FF"/>
            <w:u w:val="single"/>
            <w:lang w:val="en-US"/>
          </w:rPr>
          <w:t>v</w:t>
        </w:r>
        <w:r w:rsidRPr="00F20A52">
          <w:rPr>
            <w:color w:val="0000FF"/>
            <w:u w:val="single"/>
          </w:rPr>
          <w:t>1.</w:t>
        </w:r>
        <w:r w:rsidRPr="00F20A52">
          <w:rPr>
            <w:color w:val="0000FF"/>
            <w:u w:val="single"/>
            <w:lang w:val="en-US"/>
          </w:rPr>
          <w:t>pdf</w:t>
        </w:r>
      </w:hyperlink>
    </w:p>
    <w:p w:rsidR="00F20A52" w:rsidRDefault="00F20A52" w:rsidP="00F20A52">
      <w:r w:rsidRPr="00F20A52">
        <w:t>Глобальная система навыков чтения и математики - 2-6 классы</w:t>
      </w:r>
    </w:p>
    <w:p w:rsidR="00F20A52" w:rsidRPr="00F20A52" w:rsidRDefault="00F20A52" w:rsidP="00F20A52">
      <w:hyperlink r:id="rId21">
        <w:r w:rsidRPr="00F20A52">
          <w:rPr>
            <w:color w:val="0000FF"/>
            <w:u w:val="single"/>
            <w:lang w:val="en-US"/>
          </w:rPr>
          <w:t>http</w:t>
        </w:r>
        <w:r w:rsidRPr="00F20A52">
          <w:rPr>
            <w:color w:val="0000FF"/>
            <w:u w:val="single"/>
          </w:rPr>
          <w:t>://</w:t>
        </w:r>
        <w:proofErr w:type="spellStart"/>
        <w:r w:rsidRPr="00F20A52">
          <w:rPr>
            <w:color w:val="0000FF"/>
            <w:u w:val="single"/>
            <w:lang w:val="en-US"/>
          </w:rPr>
          <w:t>gaml</w:t>
        </w:r>
        <w:proofErr w:type="spellEnd"/>
        <w:r w:rsidRPr="00F20A52">
          <w:rPr>
            <w:color w:val="0000FF"/>
            <w:u w:val="single"/>
          </w:rPr>
          <w:t>.</w:t>
        </w:r>
        <w:proofErr w:type="spellStart"/>
        <w:r w:rsidRPr="00F20A52">
          <w:rPr>
            <w:color w:val="0000FF"/>
            <w:u w:val="single"/>
            <w:lang w:val="en-US"/>
          </w:rPr>
          <w:t>uis</w:t>
        </w:r>
        <w:proofErr w:type="spellEnd"/>
        <w:r w:rsidRPr="00F20A52">
          <w:rPr>
            <w:color w:val="0000FF"/>
            <w:u w:val="single"/>
          </w:rPr>
          <w:t>.</w:t>
        </w:r>
        <w:proofErr w:type="spellStart"/>
        <w:r w:rsidRPr="00F20A52">
          <w:rPr>
            <w:color w:val="0000FF"/>
            <w:u w:val="single"/>
            <w:lang w:val="en-US"/>
          </w:rPr>
          <w:t>unesco</w:t>
        </w:r>
        <w:proofErr w:type="spellEnd"/>
        <w:r w:rsidRPr="00F20A52">
          <w:rPr>
            <w:color w:val="0000FF"/>
            <w:u w:val="single"/>
          </w:rPr>
          <w:t>.</w:t>
        </w:r>
        <w:r w:rsidRPr="00F20A52">
          <w:rPr>
            <w:color w:val="0000FF"/>
            <w:u w:val="single"/>
            <w:lang w:val="en-US"/>
          </w:rPr>
          <w:t>org</w:t>
        </w:r>
        <w:r w:rsidRPr="00F20A52">
          <w:rPr>
            <w:color w:val="0000FF"/>
            <w:u w:val="single"/>
          </w:rPr>
          <w:t>/</w:t>
        </w:r>
        <w:proofErr w:type="spellStart"/>
        <w:r w:rsidRPr="00F20A52">
          <w:rPr>
            <w:color w:val="0000FF"/>
            <w:u w:val="single"/>
            <w:lang w:val="en-US"/>
          </w:rPr>
          <w:t>wp</w:t>
        </w:r>
        <w:proofErr w:type="spellEnd"/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content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uploads</w:t>
        </w:r>
        <w:r w:rsidRPr="00F20A52">
          <w:rPr>
            <w:color w:val="0000FF"/>
            <w:u w:val="single"/>
          </w:rPr>
          <w:t>/</w:t>
        </w:r>
        <w:r w:rsidRPr="00F20A52">
          <w:rPr>
            <w:color w:val="0000FF"/>
            <w:u w:val="single"/>
            <w:lang w:val="en-US"/>
          </w:rPr>
          <w:t>sites</w:t>
        </w:r>
        <w:r w:rsidRPr="00F20A52">
          <w:rPr>
            <w:color w:val="0000FF"/>
            <w:u w:val="single"/>
          </w:rPr>
          <w:t>/2/2019/05/</w:t>
        </w:r>
        <w:r w:rsidRPr="00F20A52">
          <w:rPr>
            <w:color w:val="0000FF"/>
            <w:u w:val="single"/>
            <w:lang w:val="en-US"/>
          </w:rPr>
          <w:t>Global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Proficiency</w:t>
        </w:r>
        <w:r w:rsidRPr="00F20A52">
          <w:rPr>
            <w:color w:val="0000FF"/>
            <w:u w:val="single"/>
          </w:rPr>
          <w:t>-</w:t>
        </w:r>
        <w:r w:rsidRPr="00F20A52">
          <w:rPr>
            <w:color w:val="0000FF"/>
            <w:u w:val="single"/>
            <w:lang w:val="en-US"/>
          </w:rPr>
          <w:t>Framework</w:t>
        </w:r>
        <w:r w:rsidRPr="00F20A52">
          <w:rPr>
            <w:color w:val="0000FF"/>
            <w:u w:val="single"/>
          </w:rPr>
          <w:t>-18</w:t>
        </w:r>
        <w:r w:rsidRPr="00F20A52">
          <w:rPr>
            <w:color w:val="0000FF"/>
            <w:u w:val="single"/>
            <w:lang w:val="en-US"/>
          </w:rPr>
          <w:t>Oct</w:t>
        </w:r>
        <w:r w:rsidRPr="00F20A52">
          <w:rPr>
            <w:color w:val="0000FF"/>
            <w:u w:val="single"/>
          </w:rPr>
          <w:t>2019_</w:t>
        </w:r>
        <w:r w:rsidRPr="00F20A52">
          <w:rPr>
            <w:color w:val="0000FF"/>
            <w:u w:val="single"/>
            <w:lang w:val="en-US"/>
          </w:rPr>
          <w:t>KD</w:t>
        </w:r>
        <w:r w:rsidRPr="00F20A52">
          <w:rPr>
            <w:color w:val="0000FF"/>
            <w:u w:val="single"/>
          </w:rPr>
          <w:t>.</w:t>
        </w:r>
        <w:r w:rsidRPr="00F20A52">
          <w:rPr>
            <w:color w:val="0000FF"/>
            <w:u w:val="single"/>
            <w:lang w:val="en-US"/>
          </w:rPr>
          <w:t>pdf</w:t>
        </w:r>
      </w:hyperlink>
    </w:p>
    <w:sectPr w:rsidR="00F20A52" w:rsidRPr="00F20A52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  <w:footnote w:id="1">
    <w:p w:rsidR="00310647" w:rsidRDefault="00310647">
      <w:pPr>
        <w:pStyle w:val="a4"/>
      </w:pPr>
      <w:r>
        <w:rPr>
          <w:rStyle w:val="a6"/>
        </w:rPr>
        <w:footnoteRef/>
      </w:r>
      <w:r>
        <w:t xml:space="preserve"> </w:t>
      </w:r>
      <w:r w:rsidRPr="00310647">
        <w:t>PLD: Дескрипторы уровня производительности — это описания уровней производительности, выражающие знания и навыки, необходимые для достижения каждого уровня производительности, по областям.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D2663"/>
    <w:multiLevelType w:val="multilevel"/>
    <w:tmpl w:val="C4EC2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72197"/>
    <w:rsid w:val="00092804"/>
    <w:rsid w:val="000A210D"/>
    <w:rsid w:val="000A229E"/>
    <w:rsid w:val="000C5EF5"/>
    <w:rsid w:val="000F6166"/>
    <w:rsid w:val="00116248"/>
    <w:rsid w:val="001470A2"/>
    <w:rsid w:val="00165896"/>
    <w:rsid w:val="001A163A"/>
    <w:rsid w:val="001E2FC9"/>
    <w:rsid w:val="002064C4"/>
    <w:rsid w:val="00220E7C"/>
    <w:rsid w:val="00291FA0"/>
    <w:rsid w:val="00292832"/>
    <w:rsid w:val="002D0969"/>
    <w:rsid w:val="002E122C"/>
    <w:rsid w:val="002E15F9"/>
    <w:rsid w:val="002E4C20"/>
    <w:rsid w:val="002E6A09"/>
    <w:rsid w:val="002F63E5"/>
    <w:rsid w:val="00301EEE"/>
    <w:rsid w:val="00303D71"/>
    <w:rsid w:val="00310647"/>
    <w:rsid w:val="003143BC"/>
    <w:rsid w:val="003243A1"/>
    <w:rsid w:val="003746BC"/>
    <w:rsid w:val="003859BD"/>
    <w:rsid w:val="003D58DC"/>
    <w:rsid w:val="00407E4E"/>
    <w:rsid w:val="004143B4"/>
    <w:rsid w:val="00421928"/>
    <w:rsid w:val="004348E8"/>
    <w:rsid w:val="004B19AE"/>
    <w:rsid w:val="004E087E"/>
    <w:rsid w:val="005163CC"/>
    <w:rsid w:val="00593E6F"/>
    <w:rsid w:val="005B296D"/>
    <w:rsid w:val="005D4056"/>
    <w:rsid w:val="005D7654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B733D"/>
    <w:rsid w:val="007C27E0"/>
    <w:rsid w:val="007C5E08"/>
    <w:rsid w:val="007D1185"/>
    <w:rsid w:val="007F06DF"/>
    <w:rsid w:val="00836F3E"/>
    <w:rsid w:val="00853C09"/>
    <w:rsid w:val="00856087"/>
    <w:rsid w:val="008E4CC2"/>
    <w:rsid w:val="00914EE6"/>
    <w:rsid w:val="00937995"/>
    <w:rsid w:val="009508D1"/>
    <w:rsid w:val="00957A62"/>
    <w:rsid w:val="00980F79"/>
    <w:rsid w:val="00982FE8"/>
    <w:rsid w:val="009C064B"/>
    <w:rsid w:val="009C1968"/>
    <w:rsid w:val="009D7082"/>
    <w:rsid w:val="00A53D4B"/>
    <w:rsid w:val="00A618FC"/>
    <w:rsid w:val="00A71EC6"/>
    <w:rsid w:val="00A80434"/>
    <w:rsid w:val="00A82CD3"/>
    <w:rsid w:val="00A91FDE"/>
    <w:rsid w:val="00AA1217"/>
    <w:rsid w:val="00AC1A97"/>
    <w:rsid w:val="00B0378B"/>
    <w:rsid w:val="00B0648B"/>
    <w:rsid w:val="00B72F77"/>
    <w:rsid w:val="00BD29EC"/>
    <w:rsid w:val="00BE2C5D"/>
    <w:rsid w:val="00BE415C"/>
    <w:rsid w:val="00C36C02"/>
    <w:rsid w:val="00C468BC"/>
    <w:rsid w:val="00C47A4A"/>
    <w:rsid w:val="00C8596F"/>
    <w:rsid w:val="00CA1CB1"/>
    <w:rsid w:val="00D05466"/>
    <w:rsid w:val="00D2619D"/>
    <w:rsid w:val="00D861A1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E0900"/>
    <w:rsid w:val="00F20A52"/>
    <w:rsid w:val="00F6371F"/>
    <w:rsid w:val="00F73DBC"/>
    <w:rsid w:val="00F84FF1"/>
    <w:rsid w:val="00F92D6F"/>
    <w:rsid w:val="00FB66D9"/>
    <w:rsid w:val="00FC7675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FC7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FC7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ml.uis.unesco.org/wp-content/uploads/sites/2/2019/05/GAML6-WD-2-Protocol-for-reporting-4.1.1_v1.pdf" TargetMode="External"/><Relationship Id="rId18" Type="http://schemas.openxmlformats.org/officeDocument/2006/relationships/hyperlink" Target="http://gaml.uis.unesco.org/wp-content/uploads/sites/2/2019/07/MPLs_revised_doc_20190506_v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aml.uis.unesco.org/wp-content/uploads/sites/2/2019/05/Global-Proficiency-Framework-18Oct2019_KD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oe.gov.bn/DocumentDownloads/Education%202030/Education2030.pdf" TargetMode="External"/><Relationship Id="rId17" Type="http://schemas.openxmlformats.org/officeDocument/2006/relationships/hyperlink" Target="http://tcg.uis.unesco.org/wp-content/uploads/sites/4/2020/09/metadata-4.1.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aml.uis.unesco.org/wp-content/uploads/sites/2/2019/05/GAML6-WD-2-Protocol-for-reporting-4.1.1_v1.pdf" TargetMode="External"/><Relationship Id="rId20" Type="http://schemas.openxmlformats.org/officeDocument/2006/relationships/hyperlink" Target="http://gaml.uis.unesco.org/wp-content/uploads/sites/2/2019/05/GAML6-WD-2-Protocol-for-reporting-4.1.1_v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nglives.org.uk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aml.uis.unesco.org/learning-povert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ml.uis.unesco.org/wp-content/uploads/sites/2/2019/02/MPLs_revised_doc_20190204.docx" TargetMode="External"/><Relationship Id="rId19" Type="http://schemas.openxmlformats.org/officeDocument/2006/relationships/hyperlink" Target="http://uis.unesco.org/sites/default/files/documents/ip53-costs-benefits-approaches-measuring-proficiency-2019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ml.uis.unesco.org/wp-content/uploads/sites/2/2019/02/MPLs_revised_doc_20190204.docx" TargetMode="External"/><Relationship Id="rId14" Type="http://schemas.openxmlformats.org/officeDocument/2006/relationships/hyperlink" Target="http://tcg.uis.unesco.org/wp-content/uploads/sites/4/2020/10/WG-GAML-3-Children-Completing-and-Learning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B0BF-5BC9-4838-84BE-4639B438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35</cp:revision>
  <dcterms:created xsi:type="dcterms:W3CDTF">2022-02-25T06:28:00Z</dcterms:created>
  <dcterms:modified xsi:type="dcterms:W3CDTF">2022-02-25T08:37:00Z</dcterms:modified>
</cp:coreProperties>
</file>