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BD29EC" w:rsidRDefault="003859BD" w:rsidP="00853C09">
      <w:pPr>
        <w:pBdr>
          <w:top w:val="nil"/>
          <w:left w:val="nil"/>
          <w:bottom w:val="nil"/>
          <w:right w:val="nil"/>
          <w:between w:val="nil"/>
          <w:bar w:val="nil"/>
        </w:pBdr>
        <w:spacing w:after="0"/>
        <w:rPr>
          <w:rFonts w:eastAsia="Arial Unicode MS" w:cs="Times New Roman"/>
          <w:szCs w:val="24"/>
          <w:bdr w:val="nil"/>
          <w:lang w:eastAsia="ru-RU"/>
        </w:rPr>
      </w:pPr>
      <w:r>
        <w:rPr>
          <w:rFonts w:eastAsia="Arial Unicode MS" w:cs="Times New Roman"/>
          <w:szCs w:val="24"/>
          <w:bdr w:val="nil"/>
          <w:lang w:eastAsia="ru-RU"/>
        </w:rPr>
        <w:t xml:space="preserve">Цель </w:t>
      </w:r>
      <w:r w:rsidR="00C95AB2">
        <w:rPr>
          <w:rFonts w:eastAsia="Arial Unicode MS" w:cs="Times New Roman"/>
          <w:szCs w:val="24"/>
          <w:bdr w:val="nil"/>
          <w:lang w:eastAsia="ru-RU"/>
        </w:rPr>
        <w:t>5</w:t>
      </w:r>
      <w:r w:rsidR="00780F08" w:rsidRPr="00BD29EC">
        <w:rPr>
          <w:rFonts w:eastAsia="Arial Unicode MS" w:cs="Times New Roman"/>
          <w:szCs w:val="24"/>
          <w:bdr w:val="nil"/>
          <w:lang w:eastAsia="ru-RU"/>
        </w:rPr>
        <w:t xml:space="preserve">: </w:t>
      </w:r>
      <w:r w:rsidR="00D93145" w:rsidRPr="00D93145">
        <w:t>Обеспечение гендерного равенства и расширение прав и возможностей всех женщин и девочек</w:t>
      </w:r>
      <w:r w:rsidR="00D93145">
        <w:t>.</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Default="00C95AB2" w:rsidP="00781DE7">
      <w:pPr>
        <w:pBdr>
          <w:top w:val="nil"/>
          <w:left w:val="nil"/>
          <w:bottom w:val="nil"/>
          <w:right w:val="nil"/>
          <w:between w:val="nil"/>
          <w:bar w:val="nil"/>
        </w:pBdr>
        <w:spacing w:after="0"/>
        <w:rPr>
          <w:rFonts w:cs="Times New Roman"/>
          <w:szCs w:val="24"/>
        </w:rPr>
      </w:pPr>
      <w:r>
        <w:rPr>
          <w:rFonts w:cs="Times New Roman"/>
          <w:szCs w:val="24"/>
        </w:rPr>
        <w:t>5</w:t>
      </w:r>
      <w:r w:rsidR="00780F08" w:rsidRPr="00BD29EC">
        <w:rPr>
          <w:rFonts w:cs="Times New Roman"/>
          <w:szCs w:val="24"/>
        </w:rPr>
        <w:t>.</w:t>
      </w:r>
      <w:r w:rsidR="00DA75FD">
        <w:rPr>
          <w:rFonts w:cs="Times New Roman"/>
          <w:szCs w:val="24"/>
        </w:rPr>
        <w:t>с</w:t>
      </w:r>
      <w:r w:rsidR="00780F08" w:rsidRPr="00BD29EC">
        <w:rPr>
          <w:rFonts w:cs="Times New Roman"/>
          <w:szCs w:val="24"/>
        </w:rPr>
        <w:t xml:space="preserve">. </w:t>
      </w:r>
      <w:r w:rsidR="00D93145" w:rsidRPr="00D93145">
        <w:t>Принимать и совершенствовать разумные стратегии и исполнимые законы в целях поощрения гендерного равенства и расширения прав и возможностей всех женщин и девочек на всех уровнях</w:t>
      </w:r>
      <w:r w:rsidR="00D93145">
        <w:t>.</w:t>
      </w:r>
      <w:r w:rsidR="00780F08" w:rsidRPr="00BD29EC">
        <w:rPr>
          <w:rFonts w:cs="Times New Roman"/>
          <w:szCs w:val="24"/>
        </w:rPr>
        <w:t xml:space="preserve"> </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BD29EC" w:rsidRDefault="003143BC" w:rsidP="00853C09">
      <w:pPr>
        <w:pBdr>
          <w:top w:val="nil"/>
          <w:left w:val="nil"/>
          <w:bottom w:val="nil"/>
          <w:right w:val="nil"/>
          <w:between w:val="nil"/>
          <w:bar w:val="nil"/>
        </w:pBdr>
        <w:spacing w:after="0"/>
        <w:rPr>
          <w:rFonts w:cs="Times New Roman"/>
          <w:szCs w:val="24"/>
        </w:rPr>
      </w:pPr>
      <w:r w:rsidRPr="00BD29EC">
        <w:rPr>
          <w:rFonts w:cs="Times New Roman"/>
          <w:szCs w:val="24"/>
        </w:rPr>
        <w:t xml:space="preserve">Показатель </w:t>
      </w:r>
      <w:r w:rsidR="00C95AB2">
        <w:rPr>
          <w:rFonts w:cs="Times New Roman"/>
          <w:szCs w:val="24"/>
        </w:rPr>
        <w:t>5</w:t>
      </w:r>
      <w:r w:rsidR="00780F08" w:rsidRPr="00BD29EC">
        <w:rPr>
          <w:rFonts w:cs="Times New Roman"/>
          <w:szCs w:val="24"/>
        </w:rPr>
        <w:t>.</w:t>
      </w:r>
      <w:r w:rsidR="00DA75FD">
        <w:rPr>
          <w:rFonts w:cs="Times New Roman"/>
          <w:szCs w:val="24"/>
        </w:rPr>
        <w:t>с</w:t>
      </w:r>
      <w:r w:rsidR="002064C4">
        <w:rPr>
          <w:rFonts w:cs="Times New Roman"/>
          <w:szCs w:val="24"/>
        </w:rPr>
        <w:t>.</w:t>
      </w:r>
      <w:r w:rsidR="00C95AB2">
        <w:rPr>
          <w:rFonts w:cs="Times New Roman"/>
          <w:szCs w:val="24"/>
        </w:rPr>
        <w:t>1.</w:t>
      </w:r>
      <w:r w:rsidR="00780F08" w:rsidRPr="00BD29EC">
        <w:rPr>
          <w:rFonts w:cs="Times New Roman"/>
          <w:szCs w:val="24"/>
        </w:rPr>
        <w:t xml:space="preserve"> </w:t>
      </w:r>
      <w:r w:rsidR="00D93145" w:rsidRPr="00D93145">
        <w:t>Доля стран, обладающих механизмами отслеживания государственных ассигнований на обеспечение гендерного равенства и расширение прав и возможностей женщин и обнародования данных о них</w:t>
      </w:r>
      <w:r w:rsidR="00D93145">
        <w:t>.</w:t>
      </w:r>
    </w:p>
    <w:p w:rsidR="00D93145"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C8596F"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D93145" w:rsidRPr="00BD29EC" w:rsidRDefault="00D93145" w:rsidP="00D93145">
      <w:pPr>
        <w:rPr>
          <w:rFonts w:eastAsia="Arial Unicode MS" w:cs="Times New Roman"/>
          <w:b/>
          <w:szCs w:val="24"/>
          <w:bdr w:val="nil"/>
          <w:lang w:eastAsia="ru-RU"/>
        </w:rPr>
      </w:pPr>
      <w:r>
        <w:t>2021-12-06</w:t>
      </w:r>
    </w:p>
    <w:p w:rsidR="00C8596F" w:rsidRPr="00DA19D7"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A91FDE" w:rsidRPr="00BD29EC" w:rsidRDefault="00E33CA8" w:rsidP="0075371E">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957A62" w:rsidRPr="00BD29EC" w:rsidRDefault="001F28C9" w:rsidP="0075371E">
      <w:pPr>
        <w:pBdr>
          <w:top w:val="nil"/>
          <w:left w:val="nil"/>
          <w:bottom w:val="nil"/>
          <w:right w:val="nil"/>
          <w:between w:val="nil"/>
          <w:bar w:val="nil"/>
        </w:pBdr>
        <w:spacing w:after="0"/>
        <w:rPr>
          <w:rFonts w:cs="Times New Roman"/>
          <w:szCs w:val="24"/>
        </w:rPr>
      </w:pPr>
      <w:r w:rsidRPr="001F28C9">
        <w:rPr>
          <w:rFonts w:cs="Times New Roman"/>
          <w:szCs w:val="24"/>
        </w:rPr>
        <w:t>Организация "ООН-женщины" в сотрудничестве с ОЭСР и ПРООН</w:t>
      </w:r>
    </w:p>
    <w:p w:rsidR="00957A62" w:rsidRPr="00BD29EC" w:rsidRDefault="00957A62" w:rsidP="0075371E">
      <w:pPr>
        <w:pStyle w:val="MHeader"/>
        <w:rPr>
          <w:b/>
          <w:color w:val="auto"/>
          <w:sz w:val="24"/>
          <w:szCs w:val="24"/>
          <w:lang w:val="ru-RU"/>
        </w:rPr>
      </w:pPr>
      <w:bookmarkStart w:id="0" w:name="_Toc37932744"/>
      <w:bookmarkStart w:id="1" w:name="_Toc36813072"/>
      <w:bookmarkStart w:id="2" w:name="_Toc36812685"/>
      <w:bookmarkStart w:id="3" w:name="_Toc36812572"/>
      <w:bookmarkStart w:id="4" w:name="_Toc36655609"/>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Pr="00BD29EC"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957A62" w:rsidRPr="00BD29EC" w:rsidRDefault="001F28C9" w:rsidP="0075371E">
      <w:pPr>
        <w:pStyle w:val="MText"/>
        <w:rPr>
          <w:color w:val="auto"/>
          <w:sz w:val="24"/>
          <w:szCs w:val="24"/>
          <w:lang w:val="ru-RU"/>
        </w:rPr>
      </w:pPr>
      <w:r w:rsidRPr="001F28C9">
        <w:rPr>
          <w:color w:val="auto"/>
          <w:sz w:val="24"/>
          <w:szCs w:val="24"/>
          <w:lang w:val="ru-RU"/>
        </w:rPr>
        <w:t>Организация "ООН-женщины" в сотрудничестве с ОЭСР и ПРООН</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DA19D7">
      <w:pPr>
        <w:pStyle w:val="MText"/>
        <w:rPr>
          <w:color w:val="000000" w:themeColor="text1"/>
          <w:sz w:val="24"/>
          <w:szCs w:val="24"/>
          <w:lang w:val="ru-RU"/>
        </w:rPr>
      </w:pPr>
      <w:r>
        <w:rPr>
          <w:color w:val="000000" w:themeColor="text1"/>
          <w:sz w:val="24"/>
          <w:szCs w:val="24"/>
          <w:lang w:val="ru-RU"/>
        </w:rPr>
        <w:t>Определение:</w:t>
      </w:r>
    </w:p>
    <w:p w:rsidR="001F28C9" w:rsidRPr="00A803D1" w:rsidRDefault="001F28C9" w:rsidP="001F28C9">
      <w:r w:rsidRPr="00A803D1">
        <w:t>Показатель 5.c.1 целей устойчивого развития (ЦУР) стремится измерить усилия правительства по отслеживанию бюджетных ассигнований, выделяемых на установку гендерного равенства на протяжении всего цикла управления государственными финансами сделать их общедоступными. Это показатель характеристик фискальной системы, а не показатель количества или качества финансирования, выделяемого на борьбу за гендерное равенство и расширение прав и возможностей женщин (GEWE). Показатель измеряет три критерия. Во-первых, внимание сосредоточено на намерении правительства направить силы на расширение прав и возможностей женщин, указав, есть ли у него программы/стратегии и ресурсы для распределения, чтобы оказать содействие в расширении прав и возможностей женщин. Во-вторых, оценить, есть ли у правительства инструменты планирования и бюджет для отслеживания ресурсов направляемых на расширение прав и возможностей женщин на протяжении всего цикла управления государственными финансами. Третий акцент делается на прозрачности, определяя, есть ли у правительства положения о том, чтобы распределить средства для расширения прав и возможностей женщин публично.</w:t>
      </w:r>
    </w:p>
    <w:p w:rsidR="001F28C9" w:rsidRPr="001F28C9" w:rsidRDefault="001F28C9" w:rsidP="001F28C9">
      <w:r w:rsidRPr="00A803D1">
        <w:lastRenderedPageBreak/>
        <w:t>Этот показатель направлен на то, чтобы побудить национальные правительства разработать соответствующие системы отслеживания и мониторинга бюджета и взять на себя обязательство предоставлять общественности информацию о распределении средств на борьбу за гендерное равенство. Систему следует возглавлять министерству финансов в сотрудничестве с отраслевыми министерствами и национальными механизмами по правам женщин и контролироваться соответствующим органом, таким как парламент или публичными аудиторами.</w:t>
      </w:r>
    </w:p>
    <w:p w:rsidR="00DA19D7" w:rsidRDefault="003859BD" w:rsidP="00DA19D7">
      <w:pPr>
        <w:pStyle w:val="MText"/>
        <w:rPr>
          <w:color w:val="000000" w:themeColor="text1"/>
          <w:sz w:val="24"/>
          <w:szCs w:val="24"/>
          <w:lang w:val="ru-RU"/>
        </w:rPr>
      </w:pPr>
      <w:r>
        <w:rPr>
          <w:color w:val="000000" w:themeColor="text1"/>
          <w:sz w:val="24"/>
          <w:szCs w:val="24"/>
          <w:lang w:val="ru-RU"/>
        </w:rPr>
        <w:t>Основные понятия</w:t>
      </w:r>
    </w:p>
    <w:p w:rsidR="001F28C9" w:rsidRPr="00A803D1" w:rsidRDefault="001F28C9" w:rsidP="001F28C9">
      <w:r w:rsidRPr="00A803D1">
        <w:t>Чтобы определить, есть ли в стране система отслеживания и выделения государственных средств на обеспечение гендерного равенства и расширение прав и возможностей женщин, следующий вопросник будет отправлен в Министерство финансов или ведомство, отвечающее за государственный бюджет:</w:t>
      </w:r>
    </w:p>
    <w:p w:rsidR="001F28C9" w:rsidRPr="00A803D1" w:rsidRDefault="001F28C9" w:rsidP="001F28C9">
      <w:r w:rsidRPr="00A803D1">
        <w:t>Критерий 1. Какие из следующих аспектов государственных расходов отражены в ваших правительственных программах и распределении ресурсов? (В последнем завершенном финансовом году)</w:t>
      </w:r>
    </w:p>
    <w:p w:rsidR="001F28C9" w:rsidRPr="00A803D1" w:rsidRDefault="001F28C9" w:rsidP="001F28C9">
      <w:r w:rsidRPr="00A803D1">
        <w:t>Вопрос 1.1. Существуют ли политические стратегии и/или правительственные программы, направленные на решение четко определенных целей для установления гендерного равенства, в том числе тех, в которых гендерное равенство не является основной задачей (например, государственные услуги, социальная защита и инфраструктура), но включают меры по устранению гендерных разрывов? (Да=1</w:t>
      </w:r>
      <w:proofErr w:type="gramStart"/>
      <w:r w:rsidRPr="00A803D1">
        <w:t>/Н</w:t>
      </w:r>
      <w:proofErr w:type="gramEnd"/>
      <w:r w:rsidRPr="00A803D1">
        <w:t>ет=0)</w:t>
      </w:r>
    </w:p>
    <w:p w:rsidR="001F28C9" w:rsidRPr="00A803D1" w:rsidRDefault="001F28C9" w:rsidP="001F28C9">
      <w:r w:rsidRPr="00A803D1">
        <w:t xml:space="preserve">Вопрос 1.2. Имеют ли в этих политических стратегиях и/или программах необходимые ресурсы, выделенные в рамках бюджета, достаточные для </w:t>
      </w:r>
      <w:proofErr w:type="gramStart"/>
      <w:r w:rsidRPr="00A803D1">
        <w:t>достижения</w:t>
      </w:r>
      <w:proofErr w:type="gramEnd"/>
      <w:r w:rsidRPr="00A803D1">
        <w:t xml:space="preserve"> как общих целей, так и целей в области достижения гендерного равенства? (Да=1</w:t>
      </w:r>
      <w:proofErr w:type="gramStart"/>
      <w:r w:rsidRPr="00A803D1">
        <w:t>/Н</w:t>
      </w:r>
      <w:proofErr w:type="gramEnd"/>
      <w:r w:rsidRPr="00A803D1">
        <w:t>ет=0)</w:t>
      </w:r>
    </w:p>
    <w:p w:rsidR="001F28C9" w:rsidRPr="00A803D1" w:rsidRDefault="001F28C9" w:rsidP="001F28C9">
      <w:r w:rsidRPr="00A803D1">
        <w:t xml:space="preserve">Вопрос 1.3. Существуют ли процедуры обеспечивающие </w:t>
      </w:r>
      <w:proofErr w:type="gramStart"/>
      <w:r w:rsidRPr="00A803D1">
        <w:t>контроль за</w:t>
      </w:r>
      <w:proofErr w:type="gramEnd"/>
      <w:r w:rsidRPr="00A803D1">
        <w:t xml:space="preserve"> исполнением ресурсов в соответствии с бюджетом? (Да=1</w:t>
      </w:r>
      <w:proofErr w:type="gramStart"/>
      <w:r w:rsidRPr="00A803D1">
        <w:t>/Н</w:t>
      </w:r>
      <w:proofErr w:type="gramEnd"/>
      <w:r w:rsidRPr="00A803D1">
        <w:t>ет=0)</w:t>
      </w:r>
    </w:p>
    <w:p w:rsidR="001F28C9" w:rsidRPr="00A803D1" w:rsidRDefault="001F28C9" w:rsidP="001F28C9">
      <w:r w:rsidRPr="00A803D1">
        <w:t>Критерий 2. В какой мере ваша система государственного управления финансами способствует достижению  целей связанных с гендерными аспектами или целей их учитывающих? (В последнем завершенном финансовом году)</w:t>
      </w:r>
    </w:p>
    <w:p w:rsidR="001F28C9" w:rsidRPr="00A803D1" w:rsidRDefault="001F28C9" w:rsidP="001F28C9">
      <w:r w:rsidRPr="00A803D1">
        <w:t>Вопрос 2.1. Издает ли Министерство финансов/бюджетное управление директивные указания или другие подобные директивы, содержащие конкретные указания в отношении бюджетных ассигнований, учитывающих гендерные аспекты? (Да=1</w:t>
      </w:r>
      <w:proofErr w:type="gramStart"/>
      <w:r w:rsidRPr="00A803D1">
        <w:t>/Н</w:t>
      </w:r>
      <w:proofErr w:type="gramEnd"/>
      <w:r w:rsidRPr="00A803D1">
        <w:t>ет=0)</w:t>
      </w:r>
    </w:p>
    <w:p w:rsidR="001F28C9" w:rsidRPr="00A803D1" w:rsidRDefault="001F28C9" w:rsidP="001F28C9">
      <w:r w:rsidRPr="00A803D1">
        <w:t>Вопрос 2.2. Являются ли ключевые стратегии и программы, предлагаемые для включения в бюджет, предметом предварительной оценки с точки зрения гендерного воздействия? (Да=1</w:t>
      </w:r>
      <w:proofErr w:type="gramStart"/>
      <w:r w:rsidRPr="00A803D1">
        <w:t>/Н</w:t>
      </w:r>
      <w:proofErr w:type="gramEnd"/>
      <w:r w:rsidRPr="00A803D1">
        <w:t>ет=0)</w:t>
      </w:r>
    </w:p>
    <w:p w:rsidR="001F28C9" w:rsidRPr="00A803D1" w:rsidRDefault="001F28C9" w:rsidP="001F28C9">
      <w:r w:rsidRPr="00A803D1">
        <w:t>Вопрос 2.3. Отражены  ли дезагрегированные по признаку пола статистические данные и данные, используемые во всех ключевых стратегиях и программах, таким образом, чтобы они могли давать информацию о политических решениях, связанных с бюджетом? (Да=1</w:t>
      </w:r>
      <w:proofErr w:type="gramStart"/>
      <w:r w:rsidRPr="00A803D1">
        <w:t>/Н</w:t>
      </w:r>
      <w:proofErr w:type="gramEnd"/>
      <w:r w:rsidRPr="00A803D1">
        <w:t>ет=0)</w:t>
      </w:r>
    </w:p>
    <w:p w:rsidR="001F28C9" w:rsidRPr="00A803D1" w:rsidRDefault="001F28C9" w:rsidP="001F28C9">
      <w:r w:rsidRPr="00A803D1">
        <w:lastRenderedPageBreak/>
        <w:t>Вопрос 2.4. Предоставляет ли правительство в контексте бюджета четкое изложение целей, связанных с гендерными аспектами (т.е. положение о бюджете или бюджетное законодательство, учитывающее гендерные аспекты)? (Да=1</w:t>
      </w:r>
      <w:proofErr w:type="gramStart"/>
      <w:r w:rsidRPr="00A803D1">
        <w:t>/Н</w:t>
      </w:r>
      <w:proofErr w:type="gramEnd"/>
      <w:r w:rsidRPr="00A803D1">
        <w:t>ет=0)</w:t>
      </w:r>
    </w:p>
    <w:p w:rsidR="001F28C9" w:rsidRPr="00A803D1" w:rsidRDefault="001F28C9" w:rsidP="001F28C9">
      <w:r w:rsidRPr="00A803D1">
        <w:t>Вопрос 2.5. Являются ли бюджетные ассигнования «мечеными», в том числе функциональными классификаторами, для определения их увязки с целями гендерного равенства? (Да=1</w:t>
      </w:r>
      <w:proofErr w:type="gramStart"/>
      <w:r w:rsidRPr="00A803D1">
        <w:t>/Н</w:t>
      </w:r>
      <w:proofErr w:type="gramEnd"/>
      <w:r w:rsidRPr="00A803D1">
        <w:t>ет=0)</w:t>
      </w:r>
    </w:p>
    <w:p w:rsidR="001F28C9" w:rsidRPr="00A803D1" w:rsidRDefault="001F28C9" w:rsidP="001F28C9">
      <w:r w:rsidRPr="00A803D1">
        <w:t>Вопрос 2.6. Подлежат ли ключевые стратегии и программы последующей оценке влияния факторов гендерного воздействия? (Да=1</w:t>
      </w:r>
      <w:proofErr w:type="gramStart"/>
      <w:r w:rsidRPr="00A803D1">
        <w:t>/Н</w:t>
      </w:r>
      <w:proofErr w:type="gramEnd"/>
      <w:r w:rsidRPr="00A803D1">
        <w:t>ет=0)</w:t>
      </w:r>
    </w:p>
    <w:p w:rsidR="001F28C9" w:rsidRPr="00A803D1" w:rsidRDefault="001F28C9" w:rsidP="001F28C9">
      <w:r w:rsidRPr="00A803D1">
        <w:t>Вопрос 2.7. Подвергается ли бюджет в целом независимым аудиторским оценкам, чтобы понять в какой степени он содействует политике, учитывающей гендерные аспекты? (Да=1</w:t>
      </w:r>
      <w:proofErr w:type="gramStart"/>
      <w:r w:rsidRPr="00A803D1">
        <w:t>/Н</w:t>
      </w:r>
      <w:proofErr w:type="gramEnd"/>
      <w:r w:rsidRPr="00A803D1">
        <w:t>ет=0)</w:t>
      </w:r>
    </w:p>
    <w:p w:rsidR="001F28C9" w:rsidRPr="00A803D1" w:rsidRDefault="001F28C9" w:rsidP="001F28C9">
      <w:r w:rsidRPr="00A803D1">
        <w:t>Критерий 3. Предоставляются ли публично данные о гендерном равенстве и расширении прав и возможностей женщин? (В последнем завершенном финансовом году)</w:t>
      </w:r>
    </w:p>
    <w:p w:rsidR="001F28C9" w:rsidRPr="00A803D1" w:rsidRDefault="001F28C9" w:rsidP="001F28C9">
      <w:r w:rsidRPr="00A803D1">
        <w:t>Вопрос 3.1. Опубликованы ли данные по обеспечению гендерного равенства? (Да=1</w:t>
      </w:r>
      <w:proofErr w:type="gramStart"/>
      <w:r w:rsidRPr="00A803D1">
        <w:t>/Н</w:t>
      </w:r>
      <w:proofErr w:type="gramEnd"/>
      <w:r w:rsidRPr="00A803D1">
        <w:t>ет=0)</w:t>
      </w:r>
    </w:p>
    <w:p w:rsidR="001F28C9" w:rsidRPr="00A803D1" w:rsidRDefault="001F28C9" w:rsidP="001F28C9">
      <w:r w:rsidRPr="00A803D1">
        <w:t>Вопрос 3.2. Публикуются ли эти данные в доступной форме на веб-сайте Министерства финансов (или управления, отвечающего за бюджет) и/или в соответствующих официальных бюллетенях или публичных уведомлениях? (Да=1</w:t>
      </w:r>
      <w:proofErr w:type="gramStart"/>
      <w:r w:rsidRPr="00A803D1">
        <w:t>/Н</w:t>
      </w:r>
      <w:proofErr w:type="gramEnd"/>
      <w:r w:rsidRPr="00A803D1">
        <w:t>ет=0)</w:t>
      </w:r>
    </w:p>
    <w:p w:rsidR="001F28C9" w:rsidRDefault="001F28C9" w:rsidP="001F28C9">
      <w:r w:rsidRPr="00A803D1">
        <w:t>Вопрос 3.3. Если да, то были ли своевременно опубликованы данные о распределении ассигнований на цели достижения гендерного равенства? (Да=1</w:t>
      </w:r>
      <w:proofErr w:type="gramStart"/>
      <w:r w:rsidRPr="00A803D1">
        <w:t>/Н</w:t>
      </w:r>
      <w:proofErr w:type="gramEnd"/>
      <w:r w:rsidRPr="00A803D1">
        <w:t>ет=0)</w:t>
      </w:r>
    </w:p>
    <w:p w:rsidR="001F28C9" w:rsidRPr="001F28C9" w:rsidRDefault="001F28C9" w:rsidP="001F28C9">
      <w:r w:rsidRPr="001F28C9">
        <w:rPr>
          <w:b/>
          <w:u w:val="single"/>
        </w:rPr>
        <w:t xml:space="preserve">По критерию 1: </w:t>
      </w:r>
    </w:p>
    <w:p w:rsidR="001F28C9" w:rsidRPr="001F28C9" w:rsidRDefault="001F28C9" w:rsidP="001F28C9">
      <w:r w:rsidRPr="001F28C9">
        <w:rPr>
          <w:b/>
        </w:rPr>
        <w:t>«Программы или политические стратегии правительства, предназначенные для решения четко определенных целей по борьбе с гендерным неравенством»</w:t>
      </w:r>
      <w:r w:rsidRPr="001F28C9">
        <w:t>, можно определить как:</w:t>
      </w:r>
    </w:p>
    <w:p w:rsidR="001F28C9" w:rsidRPr="001F28C9" w:rsidRDefault="001F28C9" w:rsidP="001F28C9">
      <w:pPr>
        <w:numPr>
          <w:ilvl w:val="0"/>
          <w:numId w:val="5"/>
        </w:numPr>
      </w:pPr>
      <w:r w:rsidRPr="001F28C9">
        <w:t>Программы или политические стратегии, специально предназначенные только для женщин и/или девочек. Например, правительственная программа, предоставляющая стипендии только девочкам, или программа дородовой помощи, или национальный план действий по установлению гендерного равенства; или</w:t>
      </w:r>
    </w:p>
    <w:p w:rsidR="001F28C9" w:rsidRPr="001F28C9" w:rsidRDefault="001F28C9" w:rsidP="001F28C9">
      <w:pPr>
        <w:numPr>
          <w:ilvl w:val="0"/>
          <w:numId w:val="5"/>
        </w:numPr>
      </w:pPr>
      <w:r w:rsidRPr="001F28C9">
        <w:t>Программы или политические стратегии, ориентированные как на женщин или девочек, так и мужчин или мальчиков, с основной целью – достижение равенства по половому признаку. Например, национальная кампания по распространению общественной информации против гендерного насилия или программы профессиональной подготовки с учетом гендерного равенства; или</w:t>
      </w:r>
    </w:p>
    <w:p w:rsidR="001F28C9" w:rsidRPr="001F28C9" w:rsidRDefault="001F28C9" w:rsidP="001F28C9">
      <w:pPr>
        <w:numPr>
          <w:ilvl w:val="0"/>
          <w:numId w:val="5"/>
        </w:numPr>
      </w:pPr>
      <w:r w:rsidRPr="001F28C9">
        <w:t xml:space="preserve">Программы или политические стратегии, в которых гендерное равенство не является основной целью, но программа включает меры по устранению гендерных разрывов. Эти программы могут включать предоставление инфраструктуры, общественных услуг и социальной защиты. Например, инфраструктурная </w:t>
      </w:r>
      <w:r w:rsidRPr="001F28C9">
        <w:lastRenderedPageBreak/>
        <w:t>программа, в которой предусматривается использование женского труда, или программа общественного транспорта, в разработке которой учитываются потребности женщин в мобильности.</w:t>
      </w:r>
    </w:p>
    <w:p w:rsidR="001F28C9" w:rsidRPr="001F28C9" w:rsidRDefault="001F28C9" w:rsidP="001F28C9">
      <w:r w:rsidRPr="001F28C9">
        <w:rPr>
          <w:b/>
        </w:rPr>
        <w:t xml:space="preserve">«Программы или политические стратегии имеющие достаточные ресурсы, выделяемые в рамках бюджета, необходимые для </w:t>
      </w:r>
      <w:proofErr w:type="gramStart"/>
      <w:r w:rsidRPr="001F28C9">
        <w:rPr>
          <w:b/>
        </w:rPr>
        <w:t>достижения</w:t>
      </w:r>
      <w:proofErr w:type="gramEnd"/>
      <w:r w:rsidRPr="001F28C9">
        <w:rPr>
          <w:b/>
        </w:rPr>
        <w:t xml:space="preserve"> как общих целей, так и их целей в области достижения гендерного равенства»,</w:t>
      </w:r>
      <w:r w:rsidRPr="001F28C9">
        <w:t xml:space="preserve"> можно определить как:</w:t>
      </w:r>
    </w:p>
    <w:p w:rsidR="001F28C9" w:rsidRPr="001F28C9" w:rsidRDefault="001F28C9" w:rsidP="001F28C9">
      <w:pPr>
        <w:numPr>
          <w:ilvl w:val="0"/>
          <w:numId w:val="6"/>
        </w:numPr>
      </w:pPr>
      <w:r w:rsidRPr="001F28C9">
        <w:t>Программы или политические стратегии, предназначенные для достижения четко определенных целей гендерного равенства, снабжаются достаточными ресурсами для покрытия расходов на достижение этих целей из средств, которые включены в бюджет, а не из внебюджетных источников.</w:t>
      </w:r>
    </w:p>
    <w:p w:rsidR="001F28C9" w:rsidRPr="001F28C9" w:rsidRDefault="001F28C9" w:rsidP="001F28C9">
      <w:r w:rsidRPr="001F28C9">
        <w:rPr>
          <w:b/>
        </w:rPr>
        <w:t>«Процедуры, необходимые для обеспечения исполнения этих ресурсов в соответствии с бюджетом»,</w:t>
      </w:r>
      <w:r w:rsidRPr="001F28C9">
        <w:t xml:space="preserve"> могут быть определены как:</w:t>
      </w:r>
    </w:p>
    <w:p w:rsidR="001F28C9" w:rsidRPr="001F28C9" w:rsidRDefault="001F28C9" w:rsidP="001F28C9">
      <w:pPr>
        <w:numPr>
          <w:ilvl w:val="0"/>
          <w:numId w:val="6"/>
        </w:numPr>
      </w:pPr>
      <w:r w:rsidRPr="001F28C9">
        <w:t xml:space="preserve">В законодательстве или нормативных актах существуют процедуры, с </w:t>
      </w:r>
      <w:proofErr w:type="gramStart"/>
      <w:r w:rsidRPr="001F28C9">
        <w:t>тем</w:t>
      </w:r>
      <w:proofErr w:type="gramEnd"/>
      <w:r w:rsidRPr="001F28C9">
        <w:t xml:space="preserve"> чтобы ресурсы, выделяемые для программ или политических стратегий, предназначенных для решения четко определенных целей по достижению гендерного равенства, выполнялись, как указано в бюджете, или, если есть отклонения, в осуществлении бюджетных ассигнований, государственные учреждения должны обосновать (например, министерства финансов, парламенты, аудиторские органы или другие соответствующие органы) причину неисполнения ресурсов в соответствии с бюджетом.</w:t>
      </w:r>
    </w:p>
    <w:p w:rsidR="001F28C9" w:rsidRPr="001F28C9" w:rsidRDefault="001F28C9" w:rsidP="001F28C9">
      <w:pPr>
        <w:rPr>
          <w:b/>
          <w:u w:val="single"/>
        </w:rPr>
      </w:pPr>
      <w:r w:rsidRPr="001F28C9">
        <w:rPr>
          <w:b/>
          <w:u w:val="single"/>
        </w:rPr>
        <w:t>По критерию 2:</w:t>
      </w:r>
    </w:p>
    <w:p w:rsidR="001F28C9" w:rsidRPr="001F28C9" w:rsidRDefault="001F28C9" w:rsidP="001F28C9">
      <w:r w:rsidRPr="001F28C9">
        <w:rPr>
          <w:b/>
        </w:rPr>
        <w:t xml:space="preserve">«Директивные указания» </w:t>
      </w:r>
      <w:r w:rsidRPr="001F28C9">
        <w:t>можно определить как:</w:t>
      </w:r>
    </w:p>
    <w:p w:rsidR="001F28C9" w:rsidRPr="001F28C9" w:rsidRDefault="001F28C9" w:rsidP="001F28C9">
      <w:pPr>
        <w:numPr>
          <w:ilvl w:val="0"/>
          <w:numId w:val="7"/>
        </w:numPr>
      </w:pPr>
      <w:r w:rsidRPr="001F28C9">
        <w:t>Директивные указания являются официальными уведомлениями, которые выписываются Министерством финансов или бюджетным ведомством в стране в начале каждого годового бюджетного цикла. В директивных указаниях предписывается правительственным учреждениям, как они должны представлять свои заявки или заявки на бюджетные ассигнования на предстоящий год (в некоторых странах уведомление может иметь другое название, например, руководящие принципы бюджета или руководящие принципы казначейства). Они могут информировать каждое агентство о том, каков его «потолок» бюджета на следующий финансовый год</w:t>
      </w:r>
      <w:r w:rsidRPr="001F28C9">
        <w:rPr>
          <w:vertAlign w:val="superscript"/>
        </w:rPr>
        <w:footnoteReference w:id="1"/>
      </w:r>
      <w:r w:rsidRPr="001F28C9">
        <w:t>.</w:t>
      </w:r>
    </w:p>
    <w:p w:rsidR="001F28C9" w:rsidRPr="001F28C9" w:rsidRDefault="001F28C9" w:rsidP="001F28C9">
      <w:r w:rsidRPr="001F28C9">
        <w:rPr>
          <w:b/>
        </w:rPr>
        <w:t xml:space="preserve">«Ключевые стратегии и программы» </w:t>
      </w:r>
      <w:r w:rsidRPr="001F28C9">
        <w:t>можно определить как:</w:t>
      </w:r>
    </w:p>
    <w:p w:rsidR="001F28C9" w:rsidRPr="001F28C9" w:rsidRDefault="001F28C9" w:rsidP="001F28C9">
      <w:pPr>
        <w:numPr>
          <w:ilvl w:val="0"/>
          <w:numId w:val="7"/>
        </w:numPr>
      </w:pPr>
      <w:r w:rsidRPr="001F28C9">
        <w:t>Программы или стратегии правительства, которые предназначены для решения четко определенных целей по установлению гендерного равенства (как определено в критериях 1).</w:t>
      </w:r>
    </w:p>
    <w:p w:rsidR="001F28C9" w:rsidRPr="001F28C9" w:rsidRDefault="001F28C9" w:rsidP="001F28C9">
      <w:r w:rsidRPr="001F28C9">
        <w:rPr>
          <w:b/>
        </w:rPr>
        <w:t xml:space="preserve">«Предварительная оценка влияния гендерной политики» </w:t>
      </w:r>
      <w:r w:rsidRPr="001F28C9">
        <w:t>означает:</w:t>
      </w:r>
    </w:p>
    <w:p w:rsidR="001F28C9" w:rsidRPr="001F28C9" w:rsidRDefault="001F28C9" w:rsidP="001F28C9">
      <w:pPr>
        <w:numPr>
          <w:ilvl w:val="0"/>
          <w:numId w:val="7"/>
        </w:numPr>
      </w:pPr>
      <w:r w:rsidRPr="001F28C9">
        <w:lastRenderedPageBreak/>
        <w:t>Оценка распределения отдельных ресурсов до их включения в бюджет, в частности, для их воздействия на цели по достижению гендерного равенства</w:t>
      </w:r>
      <w:r w:rsidRPr="001F28C9">
        <w:rPr>
          <w:vertAlign w:val="superscript"/>
        </w:rPr>
        <w:footnoteReference w:id="2"/>
      </w:r>
      <w:r w:rsidRPr="001F28C9">
        <w:t>. Например, оценка до включения программы в бюджет и того, как условная программа денежных переводов повлияет на посещаемость школ девочками.</w:t>
      </w:r>
    </w:p>
    <w:p w:rsidR="001F28C9" w:rsidRPr="001F28C9" w:rsidRDefault="001F28C9" w:rsidP="001F28C9">
      <w:r w:rsidRPr="001F28C9">
        <w:rPr>
          <w:b/>
        </w:rPr>
        <w:t xml:space="preserve">«Дезагрегированная по половому признаку статистика и доступ к данным на систематической основе во всех ключевых программах и стратегиях» </w:t>
      </w:r>
      <w:r w:rsidRPr="001F28C9">
        <w:t>означает:</w:t>
      </w:r>
    </w:p>
    <w:p w:rsidR="001F28C9" w:rsidRPr="001F28C9" w:rsidRDefault="001F28C9" w:rsidP="001F28C9">
      <w:pPr>
        <w:numPr>
          <w:ilvl w:val="0"/>
          <w:numId w:val="7"/>
        </w:numPr>
      </w:pPr>
      <w:r w:rsidRPr="001F28C9">
        <w:t>Существующий доступ на регулярной основе к набору статистических данных по гендерным вопросам, которые значительно облегчат доказательную основу для выявления пробелов в достижении целей об установлении гендерного равенства, разработки политических мер и оценки воздействия</w:t>
      </w:r>
      <w:r w:rsidRPr="001F28C9">
        <w:rPr>
          <w:vertAlign w:val="superscript"/>
        </w:rPr>
        <w:footnoteReference w:id="3"/>
      </w:r>
      <w:r w:rsidRPr="001F28C9">
        <w:t>.</w:t>
      </w:r>
    </w:p>
    <w:p w:rsidR="001F28C9" w:rsidRPr="001F28C9" w:rsidRDefault="001F28C9" w:rsidP="001F28C9">
      <w:r w:rsidRPr="001F28C9">
        <w:rPr>
          <w:b/>
        </w:rPr>
        <w:t xml:space="preserve">«Послание по бюджету, составленному с учетом гендерных факторов» </w:t>
      </w:r>
      <w:r w:rsidRPr="001F28C9">
        <w:t>можно определить как:</w:t>
      </w:r>
    </w:p>
    <w:p w:rsidR="001F28C9" w:rsidRPr="001F28C9" w:rsidRDefault="001F28C9" w:rsidP="001F28C9">
      <w:pPr>
        <w:numPr>
          <w:ilvl w:val="0"/>
          <w:numId w:val="7"/>
        </w:numPr>
      </w:pPr>
      <w:r w:rsidRPr="001F28C9">
        <w:t>Документ, который является либо частью бюджетной документации, либо является отдельным и дает четкое представление о гендерных целях. Это документ, подготовленный государственным агентством, как правило, министерством финансов или бюджетным ведомством, чтобы показать, что его программы и бюджеты делают в отношении достижений целей гендерного равенства. Он обычно готов после того, как правительственные учреждения завершили процесс составления бюджета и выделения ресурсов на различные программы в ответ на ежегодные директивные указания</w:t>
      </w:r>
      <w:r w:rsidRPr="001F28C9">
        <w:rPr>
          <w:vertAlign w:val="superscript"/>
        </w:rPr>
        <w:footnoteReference w:id="4"/>
      </w:r>
      <w:r w:rsidRPr="001F28C9">
        <w:t>.</w:t>
      </w:r>
    </w:p>
    <w:p w:rsidR="001F28C9" w:rsidRPr="001F28C9" w:rsidRDefault="001F28C9" w:rsidP="001F28C9">
      <w:r w:rsidRPr="001F28C9">
        <w:rPr>
          <w:b/>
        </w:rPr>
        <w:t xml:space="preserve">«Функциональные классификаторы» </w:t>
      </w:r>
      <w:r w:rsidRPr="001F28C9">
        <w:t>можно определить как</w:t>
      </w:r>
      <w:r w:rsidRPr="001F28C9">
        <w:rPr>
          <w:vertAlign w:val="superscript"/>
        </w:rPr>
        <w:footnoteReference w:id="5"/>
      </w:r>
      <w:r w:rsidRPr="001F28C9">
        <w:t>:</w:t>
      </w:r>
    </w:p>
    <w:p w:rsidR="001F28C9" w:rsidRPr="001F28C9" w:rsidRDefault="001F28C9" w:rsidP="001F28C9">
      <w:pPr>
        <w:numPr>
          <w:ilvl w:val="0"/>
          <w:numId w:val="7"/>
        </w:numPr>
      </w:pPr>
      <w:r w:rsidRPr="001F28C9">
        <w:t>Категоризация расходов в соответствии с целями и задачами, для которых они предназначены. Функциональный классификатор по гендерным вопросам будет определять расходы, которые распространяются на программы или мероприятия, направленные на решение гендерных проблем.</w:t>
      </w:r>
    </w:p>
    <w:p w:rsidR="001F28C9" w:rsidRPr="001F28C9" w:rsidRDefault="001F28C9" w:rsidP="001F28C9">
      <w:r w:rsidRPr="001F28C9">
        <w:rPr>
          <w:b/>
        </w:rPr>
        <w:t>«Последующая оценка влияния гендерной политики»</w:t>
      </w:r>
      <w:r w:rsidRPr="001F28C9">
        <w:t xml:space="preserve"> означает</w:t>
      </w:r>
      <w:r w:rsidRPr="001F28C9">
        <w:rPr>
          <w:vertAlign w:val="superscript"/>
        </w:rPr>
        <w:footnoteReference w:id="6"/>
      </w:r>
      <w:r w:rsidRPr="001F28C9">
        <w:t>:</w:t>
      </w:r>
    </w:p>
    <w:p w:rsidR="001F28C9" w:rsidRPr="001F28C9" w:rsidRDefault="001F28C9" w:rsidP="001F28C9">
      <w:pPr>
        <w:numPr>
          <w:ilvl w:val="0"/>
          <w:numId w:val="7"/>
        </w:numPr>
      </w:pPr>
      <w:r w:rsidRPr="001F28C9">
        <w:t xml:space="preserve">Оценка отдельных распределений ресурсов после их внедрения, в частности, их воздействие на достижение гендерного равенства. Например, как только ресурсы </w:t>
      </w:r>
      <w:proofErr w:type="gramStart"/>
      <w:r w:rsidRPr="001F28C9">
        <w:t>израсходованы</w:t>
      </w:r>
      <w:proofErr w:type="gramEnd"/>
      <w:r w:rsidRPr="001F28C9">
        <w:t xml:space="preserve"> и программа выполнена, как программа условного перевода денежных средств повлияла на посещаемость школы девочками по сравнению с показателем посещаемости мальчиков?</w:t>
      </w:r>
    </w:p>
    <w:p w:rsidR="001F28C9" w:rsidRPr="001F28C9" w:rsidRDefault="001F28C9" w:rsidP="001F28C9">
      <w:r w:rsidRPr="001F28C9">
        <w:rPr>
          <w:b/>
        </w:rPr>
        <w:t xml:space="preserve">«Бюджет в целом подлежит независимой проверке, чтобы оценить, в какой степени он продвигает политику, учитывающую гендерную проблематику»  </w:t>
      </w:r>
      <w:r w:rsidRPr="001F28C9">
        <w:t>означает:</w:t>
      </w:r>
    </w:p>
    <w:p w:rsidR="001F28C9" w:rsidRPr="001F28C9" w:rsidRDefault="001F28C9" w:rsidP="001F28C9">
      <w:pPr>
        <w:numPr>
          <w:ilvl w:val="0"/>
          <w:numId w:val="7"/>
        </w:numPr>
      </w:pPr>
      <w:r w:rsidRPr="001F28C9">
        <w:lastRenderedPageBreak/>
        <w:t>Независимый объективный анализ, проводимый компетентным органом, отличным от центрального бюджетного органа, о степени эффективного продвижения и/или достижения гендерного равенства посредством стратегии, заложенной в годовом бюджете</w:t>
      </w:r>
      <w:r w:rsidRPr="001F28C9">
        <w:rPr>
          <w:vertAlign w:val="superscript"/>
        </w:rPr>
        <w:footnoteReference w:id="7"/>
      </w:r>
      <w:r w:rsidRPr="001F28C9">
        <w:t>.</w:t>
      </w:r>
    </w:p>
    <w:p w:rsidR="001F28C9" w:rsidRPr="001F28C9" w:rsidRDefault="001F28C9" w:rsidP="001F28C9">
      <w:pPr>
        <w:rPr>
          <w:b/>
          <w:u w:val="single"/>
        </w:rPr>
      </w:pPr>
      <w:r w:rsidRPr="001F28C9">
        <w:rPr>
          <w:b/>
          <w:u w:val="single"/>
        </w:rPr>
        <w:t>По критерию 3:</w:t>
      </w:r>
    </w:p>
    <w:p w:rsidR="001F28C9" w:rsidRPr="001F28C9" w:rsidRDefault="001F28C9" w:rsidP="001F28C9">
      <w:r w:rsidRPr="001F28C9">
        <w:rPr>
          <w:b/>
        </w:rPr>
        <w:t>«</w:t>
      </w:r>
      <w:proofErr w:type="gramStart"/>
      <w:r w:rsidRPr="001F28C9">
        <w:rPr>
          <w:b/>
        </w:rPr>
        <w:t>Опубликованный</w:t>
      </w:r>
      <w:proofErr w:type="gramEnd"/>
      <w:r w:rsidRPr="001F28C9">
        <w:rPr>
          <w:b/>
        </w:rPr>
        <w:t xml:space="preserve"> в доступной форме»</w:t>
      </w:r>
      <w:r w:rsidRPr="001F28C9">
        <w:t xml:space="preserve"> означает:</w:t>
      </w:r>
    </w:p>
    <w:p w:rsidR="001F28C9" w:rsidRPr="001F28C9" w:rsidRDefault="001F28C9" w:rsidP="001F28C9">
      <w:pPr>
        <w:numPr>
          <w:ilvl w:val="0"/>
          <w:numId w:val="7"/>
        </w:numPr>
      </w:pPr>
      <w:r w:rsidRPr="001F28C9">
        <w:t>Выделенные средства для обеспечения гендерного равенства и расширения прав и возможностей женщин публикуются на веб-сайте Министерства финансов (или органа, ответственного за бюджет) и/или соответствующих официальных бюллетенях или публичных уведомлениях, которые ясно свидетельствуют и/или предоставляются в печатных экземплярах, которые распространяются на парламентариев и НПО.</w:t>
      </w:r>
    </w:p>
    <w:p w:rsidR="001F28C9" w:rsidRPr="001F28C9" w:rsidRDefault="001F28C9" w:rsidP="001F28C9">
      <w:r w:rsidRPr="001F28C9">
        <w:rPr>
          <w:b/>
        </w:rPr>
        <w:t>«Своевременное опубликование»</w:t>
      </w:r>
      <w:r w:rsidRPr="001F28C9">
        <w:t xml:space="preserve"> означает:</w:t>
      </w:r>
    </w:p>
    <w:p w:rsidR="001F28C9" w:rsidRPr="001F28C9" w:rsidRDefault="001F28C9" w:rsidP="001F28C9">
      <w:pPr>
        <w:numPr>
          <w:ilvl w:val="0"/>
          <w:numId w:val="7"/>
        </w:numPr>
      </w:pPr>
      <w:r w:rsidRPr="001F28C9">
        <w:t xml:space="preserve">Выделенные средства для обеспечения гендерного равенства и расширения прав и возможностей женщин и/или его осуществления публикуются в том же квартале, когда они </w:t>
      </w:r>
      <w:proofErr w:type="gramStart"/>
      <w:r w:rsidRPr="001F28C9">
        <w:t>утверждаются</w:t>
      </w:r>
      <w:proofErr w:type="gramEnd"/>
      <w:r w:rsidRPr="001F28C9">
        <w:t>/осуществляются.</w:t>
      </w: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Pr="00BD29EC" w:rsidRDefault="001F28C9" w:rsidP="001F28C9">
      <w:r w:rsidRPr="001F28C9">
        <w:t>Доля стран, в которых существует система отслеживания бюджетных ассигнований на цели обеспечения гендерного равенства, от общего числа представивших доклады стран</w:t>
      </w:r>
      <w:r>
        <w:t>.</w:t>
      </w: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Pr="00BD29EC" w:rsidRDefault="001F28C9" w:rsidP="0075371E">
      <w:pPr>
        <w:pStyle w:val="MText"/>
        <w:rPr>
          <w:color w:val="auto"/>
          <w:sz w:val="24"/>
          <w:szCs w:val="24"/>
          <w:lang w:val="ru-RU"/>
        </w:rPr>
      </w:pPr>
      <w:r>
        <w:rPr>
          <w:color w:val="auto"/>
          <w:sz w:val="24"/>
          <w:szCs w:val="24"/>
          <w:lang w:val="ru-RU"/>
        </w:rPr>
        <w:t>Не применимо.</w:t>
      </w: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1F28C9" w:rsidRPr="00BD29EC" w:rsidRDefault="001F28C9" w:rsidP="001F28C9">
      <w:r w:rsidRPr="001F28C9">
        <w:t>Для сбора данных по этому показателю будет использоваться электронная анкета, состоящая из тринадцати бинарных вопросов с сопровождающим руководством по мониторингу.</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F22669" w:rsidRPr="00BD29EC" w:rsidRDefault="00F22669" w:rsidP="00F22669">
      <w:r w:rsidRPr="00F22669">
        <w:t xml:space="preserve">Сбор данных осуществляется в рамках мониторинга эффективного сотрудничества в целях развития на </w:t>
      </w:r>
      <w:proofErr w:type="spellStart"/>
      <w:r w:rsidRPr="00F22669">
        <w:t>страновом</w:t>
      </w:r>
      <w:proofErr w:type="spellEnd"/>
      <w:r w:rsidRPr="00F22669">
        <w:t xml:space="preserve"> уровне, где система мониторинга глобального партнерства </w:t>
      </w:r>
      <w:r>
        <w:t>предоставляет удоб</w:t>
      </w:r>
      <w:r w:rsidRPr="00F22669">
        <w:t xml:space="preserve">ную платформу и механизм. Мониторинг Глобального партнерства возглавляется национальными координаторами, назначенными их соответствующими правительствами для координации сбора и проверки данных в соответствующих министерствах, </w:t>
      </w:r>
      <w:r w:rsidR="00A10A9E">
        <w:t xml:space="preserve">правительственных </w:t>
      </w:r>
      <w:r w:rsidRPr="00F22669">
        <w:t xml:space="preserve">департаментах и агентствах. В тех случаях, когда страны не представляют отчетность через Глобальное партнерство, предпринимаются </w:t>
      </w:r>
      <w:r w:rsidR="00A10A9E">
        <w:t>шаги</w:t>
      </w:r>
      <w:r w:rsidRPr="00F22669">
        <w:t xml:space="preserve"> по расширению охвата стран путем прямого обращения к национальным координаторам/координационным центрам или через </w:t>
      </w:r>
      <w:proofErr w:type="spellStart"/>
      <w:r w:rsidRPr="00F22669">
        <w:t>страновые</w:t>
      </w:r>
      <w:proofErr w:type="spellEnd"/>
      <w:r w:rsidRPr="00F22669">
        <w:t xml:space="preserve"> отделения </w:t>
      </w:r>
      <w:r w:rsidR="00A10A9E">
        <w:t>кураторов</w:t>
      </w:r>
      <w:r w:rsidRPr="00F22669">
        <w:t xml:space="preserve">. По </w:t>
      </w:r>
      <w:r w:rsidRPr="00F22669">
        <w:lastRenderedPageBreak/>
        <w:t>этому показателю национальный к</w:t>
      </w:r>
      <w:r w:rsidR="00A10A9E">
        <w:t>уратор</w:t>
      </w:r>
      <w:r w:rsidRPr="00F22669">
        <w:t xml:space="preserve">/координационный центр свяжется с Министерством финансов, Министерством по делам женщин и другими соответствующими министерствами для заполнения вопросника. Координаторы </w:t>
      </w:r>
      <w:proofErr w:type="spellStart"/>
      <w:r w:rsidRPr="00F22669">
        <w:t>страновых</w:t>
      </w:r>
      <w:proofErr w:type="spellEnd"/>
      <w:r w:rsidRPr="00F22669">
        <w:t xml:space="preserve"> отделений "ООН-женщины" будут доступны для оказания поддержки.</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7248F8" w:rsidRPr="00BD29EC" w:rsidRDefault="007248F8" w:rsidP="007248F8">
      <w:r w:rsidRPr="007248F8">
        <w:t>Данные собираются каждые 3 года</w:t>
      </w:r>
      <w:r>
        <w:t>.</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7248F8" w:rsidRPr="00BD29EC" w:rsidRDefault="007248F8" w:rsidP="007248F8">
      <w:r w:rsidRPr="007248F8">
        <w:t>Первый квартал, каждые 3 года</w:t>
      </w:r>
      <w:r>
        <w:t>.</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7248F8" w:rsidRPr="007248F8" w:rsidRDefault="007248F8" w:rsidP="007248F8">
      <w:r w:rsidRPr="00A803D1">
        <w:t>Ответ на вопросник, подготовленный министерствами финансов, в рамках национальных статистических систем или бюджетного управления в координации с национальными статистическими управлениями и соответствующими отраслевыми министерствами и национальными механизмами по делам женщин.</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7248F8" w:rsidRPr="00BD29EC" w:rsidRDefault="007248F8" w:rsidP="007248F8">
      <w:r w:rsidRPr="007248F8">
        <w:t>"ООН-женщины" совместно с ПРООН и ОЭСР.</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BD29EC" w:rsidRDefault="007248F8" w:rsidP="007248F8">
      <w:proofErr w:type="gramStart"/>
      <w:r w:rsidRPr="007248F8">
        <w:t>Организация "ООН-женщины" стремится в рамках своей работы на глобальном, региональном и окружном уровнях оказывать поддержку государствам-членам в заполнении критических пробелов в сборе и использовании данных, статистических данных, фактических данных и анализа по вопросам гендерного равенства.</w:t>
      </w:r>
      <w:proofErr w:type="gramEnd"/>
      <w:r w:rsidRPr="007248F8">
        <w:t xml:space="preserve"> В рамках своего тройного мандата организация "ООН-женщины" оказывает поддержку государствам-членам в установлении норм. Организация "ООН-женщины" также оказывает помощь во внедрении норм и стандартов в рамках своих </w:t>
      </w:r>
      <w:proofErr w:type="spellStart"/>
      <w:r w:rsidRPr="007248F8">
        <w:t>страновых</w:t>
      </w:r>
      <w:proofErr w:type="spellEnd"/>
      <w:r w:rsidRPr="007248F8">
        <w:t xml:space="preserve"> программ. Кроме того, "ООН-женщины" возглавляет и координирует работу системы ООН в поддержку гендерного равенства и расширения прав и возможностей женщин.</w:t>
      </w: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8124F2" w:rsidRPr="008124F2" w:rsidRDefault="008124F2" w:rsidP="008124F2">
      <w:pPr>
        <w:rPr>
          <w:szCs w:val="24"/>
        </w:rPr>
      </w:pPr>
      <w:r w:rsidRPr="008124F2">
        <w:rPr>
          <w:szCs w:val="24"/>
        </w:rPr>
        <w:t xml:space="preserve">Адекватное и эффективное финансирование имеет </w:t>
      </w:r>
      <w:proofErr w:type="gramStart"/>
      <w:r w:rsidRPr="008124F2">
        <w:rPr>
          <w:szCs w:val="24"/>
        </w:rPr>
        <w:t>важное значение</w:t>
      </w:r>
      <w:proofErr w:type="gramEnd"/>
      <w:r w:rsidRPr="008124F2">
        <w:rPr>
          <w:szCs w:val="24"/>
        </w:rPr>
        <w:t xml:space="preserve"> для достижения цели 5 ЦУР и целей, связанных с гендерной проблематикой, в рамках ЦУР. Отслеживая и делая бюджетные распределения на борьбу за гендерное равенство публично, правительства способствуют большей прозрачности, и, следовательно, это может привести к лучшей отчетности. Этот показатель побуждает правительства внедрять систему отслеживания и распределения общественных ресурсов, </w:t>
      </w:r>
      <w:proofErr w:type="gramStart"/>
      <w:r w:rsidRPr="008124F2">
        <w:rPr>
          <w:szCs w:val="24"/>
        </w:rPr>
        <w:t>которая</w:t>
      </w:r>
      <w:proofErr w:type="gramEnd"/>
      <w:r w:rsidRPr="008124F2">
        <w:rPr>
          <w:szCs w:val="24"/>
        </w:rPr>
        <w:t xml:space="preserve"> после может информировать о пересмотре стратегии, редактировании политики с целью улучшения и более эффективном управлении государственными финансами.</w:t>
      </w:r>
    </w:p>
    <w:p w:rsidR="008124F2" w:rsidRPr="008124F2" w:rsidRDefault="008124F2" w:rsidP="008124F2">
      <w:pPr>
        <w:rPr>
          <w:szCs w:val="24"/>
        </w:rPr>
      </w:pPr>
      <w:r w:rsidRPr="008124F2">
        <w:rPr>
          <w:szCs w:val="24"/>
        </w:rPr>
        <w:t xml:space="preserve">Принцип адекватного финансирования борьбы за гендерное равенство уходит корнями в Пекинскую декларацию и платформу действий (параграф 345 и 346), принятые в 1995 </w:t>
      </w:r>
      <w:r w:rsidRPr="008124F2">
        <w:rPr>
          <w:szCs w:val="24"/>
        </w:rPr>
        <w:lastRenderedPageBreak/>
        <w:t>году. Однако в докладе Генерального секретаря о 20-летнем обзоре и оценке платформы действий установлено, что недостаточное инвестирование на борьбу в области гендерного равенства и расширения прав и возможностей женщин способствовали медленному и неравномерному прогрессу во всех 12 важнейших проблемных областях. Недостаточное финансирование препятствует осуществлению законов и политики, учитывающей гендерные аспекты. Данные показывают, что дефицит финансирования иногда достигает 90% с критической нехваткой в инфраструктурном, производственном и экономическом секторах.</w:t>
      </w:r>
    </w:p>
    <w:p w:rsidR="008124F2" w:rsidRPr="008124F2" w:rsidRDefault="008124F2" w:rsidP="008124F2">
      <w:pPr>
        <w:rPr>
          <w:szCs w:val="24"/>
        </w:rPr>
      </w:pPr>
      <w:r w:rsidRPr="008124F2">
        <w:rPr>
          <w:szCs w:val="24"/>
        </w:rPr>
        <w:t xml:space="preserve">Программа действий устойчивого развития до 2030 года обязывает «значительно увеличить объем инвестиций для устранения гендерного разрыва». Предоставление необходимых ресурсов для обеспечения гендерного равенства является центральным элементом реализации и достижения цели 5 ЦУР, а также всех гендерных целей в рамках этой программы. Отслеживание этих распределений и публикация данных являются важными шагами для оценки прогресса в достижении этих целей. </w:t>
      </w:r>
      <w:proofErr w:type="gramStart"/>
      <w:r w:rsidRPr="008124F2">
        <w:rPr>
          <w:szCs w:val="24"/>
        </w:rPr>
        <w:t xml:space="preserve">Это было подтверждено на третьей Международной конференции по финансированию развития, в которой государства-члены приняли </w:t>
      </w:r>
      <w:proofErr w:type="spellStart"/>
      <w:r w:rsidRPr="008124F2">
        <w:rPr>
          <w:szCs w:val="24"/>
        </w:rPr>
        <w:t>Аддис-Абебскую</w:t>
      </w:r>
      <w:proofErr w:type="spellEnd"/>
      <w:r w:rsidRPr="008124F2">
        <w:rPr>
          <w:szCs w:val="24"/>
        </w:rPr>
        <w:t xml:space="preserve"> программу действий, которая предусматривает отслеживание распределения гендерного равенства и повышение прозрачности государственных расходов</w:t>
      </w:r>
      <w:r w:rsidRPr="008124F2">
        <w:rPr>
          <w:szCs w:val="24"/>
          <w:vertAlign w:val="superscript"/>
        </w:rPr>
        <w:footnoteReference w:id="8"/>
      </w:r>
      <w:r w:rsidRPr="008124F2">
        <w:rPr>
          <w:szCs w:val="24"/>
        </w:rPr>
        <w:t xml:space="preserve">. Кроме того, комиссия по положению женщин на ее 60-й сессии призвала государства поддерживать и </w:t>
      </w:r>
      <w:proofErr w:type="spellStart"/>
      <w:r w:rsidRPr="008124F2">
        <w:rPr>
          <w:szCs w:val="24"/>
        </w:rPr>
        <w:t>институционализировать</w:t>
      </w:r>
      <w:proofErr w:type="spellEnd"/>
      <w:r w:rsidRPr="008124F2">
        <w:rPr>
          <w:szCs w:val="24"/>
        </w:rPr>
        <w:t xml:space="preserve"> бюджетирование и отслеживание гендерных аспектов во всех секторах государственных расходов для устранения пробелов в обеспечении ресурсов, чтобы</w:t>
      </w:r>
      <w:proofErr w:type="gramEnd"/>
      <w:r w:rsidRPr="008124F2">
        <w:rPr>
          <w:szCs w:val="24"/>
        </w:rPr>
        <w:t xml:space="preserve"> обеспечить гендерное равенство и расширение прав и возможностей женщин и девочек.</w:t>
      </w:r>
    </w:p>
    <w:p w:rsidR="008124F2" w:rsidRPr="008124F2" w:rsidRDefault="008124F2" w:rsidP="008124F2">
      <w:pPr>
        <w:rPr>
          <w:szCs w:val="24"/>
        </w:rPr>
      </w:pPr>
      <w:r w:rsidRPr="008124F2">
        <w:rPr>
          <w:szCs w:val="24"/>
        </w:rPr>
        <w:t>Показатель 5.c.1 будет измерять процентное соотношение правительств, имеющих системы по отслеживанию и распределению общественных ресурсов с целью обеспечения гендерного равенства. Он основывается на показателе 8 глобального партнерства для эффективного сотрудничества в области развития, который был запущен, опробован и применен для 81 страны. Показатель 8 впервые позволил систематически собирать данные о правительственных усилиях по отслеживанию распределения ресурсов для обеспечения гендерного равенства по странам. Показатель 5.c.1 определен в почти идентичных терминах показателю 8 GPEDC. Кроме того, показатель 5.c.1 является единственным показателем в рамках системы мониторинга ЦУР, который связывает национальные системы бюджетирования с внедрением законодательства и политики в области гендерного равенства и расширения прав и возможностей женщин. Уточненная методология для показателя 5.c.1 является улучшенной по сравнению с исходной методологией показателя 8. Повышенная специфика критериев обеспечивает более высокий уровень детализации и, следовательно, отражает изменчивость в политике за гендерное равенство стран и системах государственного финансового управления, Применение многоуровневого подхода с конкретными порогами увеличивает точность показателя и дает стимул странам улучшать эти системы с течением времени.</w:t>
      </w:r>
    </w:p>
    <w:p w:rsidR="002E15F9" w:rsidRPr="008124F2" w:rsidRDefault="008124F2" w:rsidP="008124F2">
      <w:pPr>
        <w:rPr>
          <w:szCs w:val="24"/>
        </w:rPr>
      </w:pPr>
      <w:r w:rsidRPr="008124F2">
        <w:rPr>
          <w:szCs w:val="24"/>
        </w:rPr>
        <w:t xml:space="preserve">Кроме того, предполагается, что обзор ОЭСР по бюджетной практике и процедурам, который проводится регулярно среди стран - участников ОЭСР, будет изменен и </w:t>
      </w:r>
      <w:r w:rsidRPr="008124F2">
        <w:rPr>
          <w:szCs w:val="24"/>
        </w:rPr>
        <w:lastRenderedPageBreak/>
        <w:t>обновлен, чтобы привести его в соответствие с показателем 5.c.1. Это позволит увеличить охват в глобальном масштабе за счет повышения значимости показателя для министерств финансов всех стран.</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8124F2" w:rsidRPr="00A803D1" w:rsidRDefault="008124F2" w:rsidP="008124F2">
      <w:r w:rsidRPr="00A803D1">
        <w:t>Показатель измеряет не количественное распределение ресурсов, а наличие механизмов отслеживания их распределения и делает эту информацию общедоступной. Тем не менее, в вопроснике (без оценки) есть вопрос, который просит страны сообщать процентную долю государственного бюджета, выделяемого на программы по установлению гендерного равенства.</w:t>
      </w:r>
    </w:p>
    <w:p w:rsidR="008124F2" w:rsidRPr="008124F2" w:rsidRDefault="008124F2" w:rsidP="008124F2">
      <w:r w:rsidRPr="00A803D1">
        <w:t>Другое ограничение заключается в том, что показатель, который ориентирован на процесс, не предоставляет данные о соразмерности или качестве распределения ресурсов</w:t>
      </w:r>
      <w:r>
        <w:t>.</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8124F2" w:rsidRPr="008124F2" w:rsidRDefault="008124F2" w:rsidP="008124F2">
      <w:r w:rsidRPr="008124F2">
        <w:t>Данные собираются с помощью вопросника, состоящего из 13 бинарных вопросов (Да</w:t>
      </w:r>
      <w:proofErr w:type="gramStart"/>
      <w:r w:rsidRPr="008124F2">
        <w:t>/Н</w:t>
      </w:r>
      <w:proofErr w:type="gramEnd"/>
      <w:r w:rsidRPr="008124F2">
        <w:t xml:space="preserve">ет), чтобы оценить, существует ли в стране система отслеживания и распределения государственных ассигнований на цели обеспечения гендерного равенства и расширения прав и возможностей женщин. </w:t>
      </w:r>
    </w:p>
    <w:p w:rsidR="008124F2" w:rsidRDefault="008124F2" w:rsidP="008124F2">
      <w:r w:rsidRPr="008124F2">
        <w:t>Оценка: Каждый критерий взвешивается одинаково. Страна должна будет соответствовать пороговому значению ответов “да” по каждому критерию. Страна будет рассматриваться как удовлетворяющая каждому критерию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9"/>
        <w:gridCol w:w="3989"/>
      </w:tblGrid>
      <w:tr w:rsidR="008124F2" w:rsidRPr="008124F2" w:rsidTr="00CA0091">
        <w:tblPrEx>
          <w:tblCellMar>
            <w:top w:w="0" w:type="dxa"/>
            <w:bottom w:w="0" w:type="dxa"/>
          </w:tblCellMar>
        </w:tblPrEx>
        <w:trPr>
          <w:trHeight w:val="115"/>
        </w:trPr>
        <w:tc>
          <w:tcPr>
            <w:tcW w:w="7978" w:type="dxa"/>
            <w:gridSpan w:val="2"/>
            <w:shd w:val="clear" w:color="auto" w:fill="D9D9D9" w:themeFill="background1" w:themeFillShade="D9"/>
          </w:tcPr>
          <w:p w:rsidR="008124F2" w:rsidRPr="008124F2" w:rsidRDefault="008124F2" w:rsidP="008124F2">
            <w:pPr>
              <w:autoSpaceDE w:val="0"/>
              <w:autoSpaceDN w:val="0"/>
              <w:adjustRightInd w:val="0"/>
              <w:spacing w:after="0" w:line="240" w:lineRule="auto"/>
              <w:jc w:val="right"/>
              <w:rPr>
                <w:rFonts w:ascii="Calibri" w:hAnsi="Calibri" w:cs="Calibri"/>
                <w:b/>
                <w:color w:val="000000"/>
                <w:sz w:val="23"/>
                <w:szCs w:val="23"/>
              </w:rPr>
            </w:pPr>
            <w:r w:rsidRPr="00CA0091">
              <w:rPr>
                <w:rFonts w:ascii="Calibri" w:hAnsi="Calibri" w:cs="Calibri"/>
                <w:b/>
                <w:bCs/>
                <w:color w:val="000000"/>
                <w:sz w:val="22"/>
                <w:szCs w:val="23"/>
              </w:rPr>
              <w:t>Требования по каждому критерию</w:t>
            </w:r>
          </w:p>
        </w:tc>
      </w:tr>
      <w:tr w:rsidR="008124F2" w:rsidRPr="008124F2" w:rsidTr="008124F2">
        <w:tblPrEx>
          <w:tblCellMar>
            <w:top w:w="0" w:type="dxa"/>
            <w:bottom w:w="0" w:type="dxa"/>
          </w:tblCellMar>
        </w:tblPrEx>
        <w:trPr>
          <w:trHeight w:val="105"/>
        </w:trPr>
        <w:tc>
          <w:tcPr>
            <w:tcW w:w="3989" w:type="dxa"/>
          </w:tcPr>
          <w:p w:rsidR="008124F2" w:rsidRPr="008124F2" w:rsidRDefault="008124F2" w:rsidP="008124F2">
            <w:pPr>
              <w:autoSpaceDE w:val="0"/>
              <w:autoSpaceDN w:val="0"/>
              <w:adjustRightInd w:val="0"/>
              <w:spacing w:after="0" w:line="240" w:lineRule="auto"/>
              <w:jc w:val="left"/>
              <w:rPr>
                <w:rFonts w:ascii="Calibri" w:hAnsi="Calibri" w:cs="Calibri"/>
                <w:color w:val="000000"/>
                <w:sz w:val="21"/>
                <w:szCs w:val="21"/>
                <w:lang w:val="en-US"/>
              </w:rPr>
            </w:pPr>
            <w:proofErr w:type="spellStart"/>
            <w:r w:rsidRPr="008124F2">
              <w:rPr>
                <w:rFonts w:ascii="Calibri" w:hAnsi="Calibri" w:cs="Calibri"/>
                <w:color w:val="000000"/>
                <w:sz w:val="21"/>
                <w:szCs w:val="21"/>
                <w:lang w:val="en-US"/>
              </w:rPr>
              <w:t>Страна</w:t>
            </w:r>
            <w:proofErr w:type="spellEnd"/>
            <w:r w:rsidRPr="008124F2">
              <w:rPr>
                <w:rFonts w:ascii="Calibri" w:hAnsi="Calibri" w:cs="Calibri"/>
                <w:color w:val="000000"/>
                <w:sz w:val="21"/>
                <w:szCs w:val="21"/>
                <w:lang w:val="en-US"/>
              </w:rPr>
              <w:t xml:space="preserve"> </w:t>
            </w:r>
            <w:proofErr w:type="spellStart"/>
            <w:r w:rsidRPr="008124F2">
              <w:rPr>
                <w:rFonts w:ascii="Calibri" w:hAnsi="Calibri" w:cs="Calibri"/>
                <w:color w:val="000000"/>
                <w:sz w:val="21"/>
                <w:szCs w:val="21"/>
                <w:lang w:val="en-US"/>
              </w:rPr>
              <w:t>будет</w:t>
            </w:r>
            <w:proofErr w:type="spellEnd"/>
            <w:r w:rsidRPr="008124F2">
              <w:rPr>
                <w:rFonts w:ascii="Calibri" w:hAnsi="Calibri" w:cs="Calibri"/>
                <w:color w:val="000000"/>
                <w:sz w:val="21"/>
                <w:szCs w:val="21"/>
                <w:lang w:val="en-US"/>
              </w:rPr>
              <w:t xml:space="preserve"> </w:t>
            </w:r>
            <w:proofErr w:type="spellStart"/>
            <w:r w:rsidRPr="008124F2">
              <w:rPr>
                <w:rFonts w:ascii="Calibri" w:hAnsi="Calibri" w:cs="Calibri"/>
                <w:color w:val="000000"/>
                <w:sz w:val="21"/>
                <w:szCs w:val="21"/>
                <w:lang w:val="en-US"/>
              </w:rPr>
              <w:t>удовлетворять</w:t>
            </w:r>
            <w:proofErr w:type="spellEnd"/>
            <w:r w:rsidRPr="008124F2">
              <w:rPr>
                <w:rFonts w:ascii="Calibri" w:hAnsi="Calibri" w:cs="Calibri"/>
                <w:color w:val="000000"/>
                <w:sz w:val="21"/>
                <w:szCs w:val="21"/>
                <w:lang w:val="en-US"/>
              </w:rPr>
              <w:t xml:space="preserve"> </w:t>
            </w:r>
            <w:proofErr w:type="spellStart"/>
            <w:r w:rsidRPr="008124F2">
              <w:rPr>
                <w:rFonts w:ascii="Calibri" w:hAnsi="Calibri" w:cs="Calibri"/>
                <w:color w:val="000000"/>
                <w:sz w:val="21"/>
                <w:szCs w:val="21"/>
                <w:lang w:val="en-US"/>
              </w:rPr>
              <w:t>критерию</w:t>
            </w:r>
            <w:proofErr w:type="spellEnd"/>
            <w:r w:rsidRPr="008124F2">
              <w:rPr>
                <w:rFonts w:ascii="Calibri" w:hAnsi="Calibri" w:cs="Calibri"/>
                <w:color w:val="000000"/>
                <w:sz w:val="21"/>
                <w:szCs w:val="21"/>
                <w:lang w:val="en-US"/>
              </w:rPr>
              <w:t xml:space="preserve"> 1</w:t>
            </w:r>
          </w:p>
        </w:tc>
        <w:tc>
          <w:tcPr>
            <w:tcW w:w="3989" w:type="dxa"/>
          </w:tcPr>
          <w:p w:rsidR="008124F2" w:rsidRPr="008124F2" w:rsidRDefault="008124F2" w:rsidP="008124F2">
            <w:pPr>
              <w:autoSpaceDE w:val="0"/>
              <w:autoSpaceDN w:val="0"/>
              <w:adjustRightInd w:val="0"/>
              <w:spacing w:after="0" w:line="240" w:lineRule="auto"/>
              <w:jc w:val="left"/>
              <w:rPr>
                <w:rFonts w:ascii="Calibri" w:hAnsi="Calibri" w:cs="Calibri"/>
                <w:color w:val="000000"/>
                <w:sz w:val="21"/>
                <w:szCs w:val="21"/>
              </w:rPr>
            </w:pPr>
            <w:r w:rsidRPr="008124F2">
              <w:rPr>
                <w:rFonts w:ascii="Calibri" w:hAnsi="Calibri" w:cs="Calibri"/>
                <w:color w:val="000000"/>
                <w:sz w:val="21"/>
                <w:szCs w:val="21"/>
              </w:rPr>
              <w:t>если он ответит “Да” на 2 из 3 вопросов в критерии 1</w:t>
            </w:r>
          </w:p>
        </w:tc>
      </w:tr>
      <w:tr w:rsidR="008124F2" w:rsidRPr="008124F2" w:rsidTr="008124F2">
        <w:tblPrEx>
          <w:tblCellMar>
            <w:top w:w="0" w:type="dxa"/>
            <w:bottom w:w="0" w:type="dxa"/>
          </w:tblCellMar>
        </w:tblPrEx>
        <w:trPr>
          <w:trHeight w:val="105"/>
        </w:trPr>
        <w:tc>
          <w:tcPr>
            <w:tcW w:w="3989" w:type="dxa"/>
          </w:tcPr>
          <w:p w:rsidR="008124F2" w:rsidRPr="008124F2" w:rsidRDefault="008124F2" w:rsidP="008124F2">
            <w:pPr>
              <w:autoSpaceDE w:val="0"/>
              <w:autoSpaceDN w:val="0"/>
              <w:adjustRightInd w:val="0"/>
              <w:spacing w:after="0" w:line="240" w:lineRule="auto"/>
              <w:jc w:val="left"/>
              <w:rPr>
                <w:rFonts w:ascii="Calibri" w:hAnsi="Calibri" w:cs="Calibri"/>
                <w:color w:val="000000"/>
                <w:sz w:val="21"/>
                <w:szCs w:val="21"/>
              </w:rPr>
            </w:pPr>
            <w:proofErr w:type="spellStart"/>
            <w:r w:rsidRPr="008124F2">
              <w:rPr>
                <w:rFonts w:ascii="Calibri" w:hAnsi="Calibri" w:cs="Calibri"/>
                <w:color w:val="000000"/>
                <w:sz w:val="21"/>
                <w:szCs w:val="21"/>
                <w:lang w:val="en-US"/>
              </w:rPr>
              <w:t>Страна</w:t>
            </w:r>
            <w:proofErr w:type="spellEnd"/>
            <w:r w:rsidRPr="008124F2">
              <w:rPr>
                <w:rFonts w:ascii="Calibri" w:hAnsi="Calibri" w:cs="Calibri"/>
                <w:color w:val="000000"/>
                <w:sz w:val="21"/>
                <w:szCs w:val="21"/>
                <w:lang w:val="en-US"/>
              </w:rPr>
              <w:t xml:space="preserve"> </w:t>
            </w:r>
            <w:proofErr w:type="spellStart"/>
            <w:r w:rsidRPr="008124F2">
              <w:rPr>
                <w:rFonts w:ascii="Calibri" w:hAnsi="Calibri" w:cs="Calibri"/>
                <w:color w:val="000000"/>
                <w:sz w:val="21"/>
                <w:szCs w:val="21"/>
                <w:lang w:val="en-US"/>
              </w:rPr>
              <w:t>будет</w:t>
            </w:r>
            <w:proofErr w:type="spellEnd"/>
            <w:r w:rsidRPr="008124F2">
              <w:rPr>
                <w:rFonts w:ascii="Calibri" w:hAnsi="Calibri" w:cs="Calibri"/>
                <w:color w:val="000000"/>
                <w:sz w:val="21"/>
                <w:szCs w:val="21"/>
                <w:lang w:val="en-US"/>
              </w:rPr>
              <w:t xml:space="preserve"> </w:t>
            </w:r>
            <w:proofErr w:type="spellStart"/>
            <w:r w:rsidRPr="008124F2">
              <w:rPr>
                <w:rFonts w:ascii="Calibri" w:hAnsi="Calibri" w:cs="Calibri"/>
                <w:color w:val="000000"/>
                <w:sz w:val="21"/>
                <w:szCs w:val="21"/>
                <w:lang w:val="en-US"/>
              </w:rPr>
              <w:t>удовлетворять</w:t>
            </w:r>
            <w:proofErr w:type="spellEnd"/>
            <w:r w:rsidRPr="008124F2">
              <w:rPr>
                <w:rFonts w:ascii="Calibri" w:hAnsi="Calibri" w:cs="Calibri"/>
                <w:color w:val="000000"/>
                <w:sz w:val="21"/>
                <w:szCs w:val="21"/>
                <w:lang w:val="en-US"/>
              </w:rPr>
              <w:t xml:space="preserve"> </w:t>
            </w:r>
            <w:proofErr w:type="spellStart"/>
            <w:r w:rsidRPr="008124F2">
              <w:rPr>
                <w:rFonts w:ascii="Calibri" w:hAnsi="Calibri" w:cs="Calibri"/>
                <w:color w:val="000000"/>
                <w:sz w:val="21"/>
                <w:szCs w:val="21"/>
                <w:lang w:val="en-US"/>
              </w:rPr>
              <w:t>критерию</w:t>
            </w:r>
            <w:proofErr w:type="spellEnd"/>
            <w:r w:rsidRPr="008124F2">
              <w:rPr>
                <w:rFonts w:ascii="Calibri" w:hAnsi="Calibri" w:cs="Calibri"/>
                <w:color w:val="000000"/>
                <w:sz w:val="21"/>
                <w:szCs w:val="21"/>
                <w:lang w:val="en-US"/>
              </w:rPr>
              <w:t xml:space="preserve"> </w:t>
            </w:r>
            <w:r>
              <w:rPr>
                <w:rFonts w:ascii="Calibri" w:hAnsi="Calibri" w:cs="Calibri"/>
                <w:color w:val="000000"/>
                <w:sz w:val="21"/>
                <w:szCs w:val="21"/>
              </w:rPr>
              <w:t>2</w:t>
            </w:r>
          </w:p>
        </w:tc>
        <w:tc>
          <w:tcPr>
            <w:tcW w:w="3989" w:type="dxa"/>
          </w:tcPr>
          <w:p w:rsidR="008124F2" w:rsidRPr="008124F2" w:rsidRDefault="008124F2" w:rsidP="008124F2">
            <w:pPr>
              <w:autoSpaceDE w:val="0"/>
              <w:autoSpaceDN w:val="0"/>
              <w:adjustRightInd w:val="0"/>
              <w:spacing w:after="0" w:line="240" w:lineRule="auto"/>
              <w:jc w:val="left"/>
              <w:rPr>
                <w:rFonts w:ascii="Calibri" w:hAnsi="Calibri" w:cs="Calibri"/>
                <w:color w:val="000000"/>
                <w:sz w:val="21"/>
                <w:szCs w:val="21"/>
                <w:lang w:val="en-US"/>
              </w:rPr>
            </w:pPr>
            <w:r w:rsidRPr="008124F2">
              <w:rPr>
                <w:rFonts w:ascii="Calibri" w:hAnsi="Calibri" w:cs="Calibri"/>
                <w:color w:val="000000"/>
                <w:sz w:val="21"/>
                <w:szCs w:val="21"/>
              </w:rPr>
              <w:t xml:space="preserve">если он ответит “Да” на 4 из 7 вопросов по критерию </w:t>
            </w:r>
            <w:r w:rsidRPr="008124F2">
              <w:rPr>
                <w:rFonts w:ascii="Calibri" w:hAnsi="Calibri" w:cs="Calibri"/>
                <w:color w:val="000000"/>
                <w:sz w:val="21"/>
                <w:szCs w:val="21"/>
                <w:lang w:val="en-US"/>
              </w:rPr>
              <w:t>2</w:t>
            </w:r>
          </w:p>
        </w:tc>
      </w:tr>
      <w:tr w:rsidR="008124F2" w:rsidRPr="008124F2" w:rsidTr="008124F2">
        <w:tblPrEx>
          <w:tblCellMar>
            <w:top w:w="0" w:type="dxa"/>
            <w:bottom w:w="0" w:type="dxa"/>
          </w:tblCellMar>
        </w:tblPrEx>
        <w:trPr>
          <w:trHeight w:val="553"/>
        </w:trPr>
        <w:tc>
          <w:tcPr>
            <w:tcW w:w="3989" w:type="dxa"/>
          </w:tcPr>
          <w:p w:rsidR="008124F2" w:rsidRPr="008124F2" w:rsidRDefault="008124F2" w:rsidP="008124F2">
            <w:pPr>
              <w:autoSpaceDE w:val="0"/>
              <w:autoSpaceDN w:val="0"/>
              <w:adjustRightInd w:val="0"/>
              <w:spacing w:after="0" w:line="240" w:lineRule="auto"/>
              <w:jc w:val="left"/>
              <w:rPr>
                <w:rFonts w:ascii="Calibri" w:hAnsi="Calibri" w:cs="Calibri"/>
                <w:color w:val="000000"/>
                <w:sz w:val="21"/>
                <w:szCs w:val="21"/>
              </w:rPr>
            </w:pPr>
            <w:proofErr w:type="spellStart"/>
            <w:r w:rsidRPr="008124F2">
              <w:rPr>
                <w:rFonts w:ascii="Calibri" w:hAnsi="Calibri" w:cs="Calibri"/>
                <w:color w:val="000000"/>
                <w:sz w:val="21"/>
                <w:szCs w:val="21"/>
                <w:lang w:val="en-US"/>
              </w:rPr>
              <w:t>Стран</w:t>
            </w:r>
            <w:r>
              <w:rPr>
                <w:rFonts w:ascii="Calibri" w:hAnsi="Calibri" w:cs="Calibri"/>
                <w:color w:val="000000"/>
                <w:sz w:val="21"/>
                <w:szCs w:val="21"/>
                <w:lang w:val="en-US"/>
              </w:rPr>
              <w:t>а</w:t>
            </w:r>
            <w:proofErr w:type="spellEnd"/>
            <w:r>
              <w:rPr>
                <w:rFonts w:ascii="Calibri" w:hAnsi="Calibri" w:cs="Calibri"/>
                <w:color w:val="000000"/>
                <w:sz w:val="21"/>
                <w:szCs w:val="21"/>
                <w:lang w:val="en-US"/>
              </w:rPr>
              <w:t xml:space="preserve"> </w:t>
            </w:r>
            <w:proofErr w:type="spellStart"/>
            <w:r>
              <w:rPr>
                <w:rFonts w:ascii="Calibri" w:hAnsi="Calibri" w:cs="Calibri"/>
                <w:color w:val="000000"/>
                <w:sz w:val="21"/>
                <w:szCs w:val="21"/>
                <w:lang w:val="en-US"/>
              </w:rPr>
              <w:t>будет</w:t>
            </w:r>
            <w:proofErr w:type="spellEnd"/>
            <w:r>
              <w:rPr>
                <w:rFonts w:ascii="Calibri" w:hAnsi="Calibri" w:cs="Calibri"/>
                <w:color w:val="000000"/>
                <w:sz w:val="21"/>
                <w:szCs w:val="21"/>
                <w:lang w:val="en-US"/>
              </w:rPr>
              <w:t xml:space="preserve"> </w:t>
            </w:r>
            <w:proofErr w:type="spellStart"/>
            <w:r>
              <w:rPr>
                <w:rFonts w:ascii="Calibri" w:hAnsi="Calibri" w:cs="Calibri"/>
                <w:color w:val="000000"/>
                <w:sz w:val="21"/>
                <w:szCs w:val="21"/>
                <w:lang w:val="en-US"/>
              </w:rPr>
              <w:t>удовлетворять</w:t>
            </w:r>
            <w:proofErr w:type="spellEnd"/>
            <w:r>
              <w:rPr>
                <w:rFonts w:ascii="Calibri" w:hAnsi="Calibri" w:cs="Calibri"/>
                <w:color w:val="000000"/>
                <w:sz w:val="21"/>
                <w:szCs w:val="21"/>
                <w:lang w:val="en-US"/>
              </w:rPr>
              <w:t xml:space="preserve"> </w:t>
            </w:r>
            <w:proofErr w:type="spellStart"/>
            <w:r>
              <w:rPr>
                <w:rFonts w:ascii="Calibri" w:hAnsi="Calibri" w:cs="Calibri"/>
                <w:color w:val="000000"/>
                <w:sz w:val="21"/>
                <w:szCs w:val="21"/>
                <w:lang w:val="en-US"/>
              </w:rPr>
              <w:t>критерию</w:t>
            </w:r>
            <w:proofErr w:type="spellEnd"/>
            <w:r>
              <w:rPr>
                <w:rFonts w:ascii="Calibri" w:hAnsi="Calibri" w:cs="Calibri"/>
                <w:color w:val="000000"/>
                <w:sz w:val="21"/>
                <w:szCs w:val="21"/>
                <w:lang w:val="en-US"/>
              </w:rPr>
              <w:t xml:space="preserve"> </w:t>
            </w:r>
            <w:r>
              <w:rPr>
                <w:rFonts w:ascii="Calibri" w:hAnsi="Calibri" w:cs="Calibri"/>
                <w:color w:val="000000"/>
                <w:sz w:val="21"/>
                <w:szCs w:val="21"/>
              </w:rPr>
              <w:t>3</w:t>
            </w:r>
          </w:p>
        </w:tc>
        <w:tc>
          <w:tcPr>
            <w:tcW w:w="3989" w:type="dxa"/>
          </w:tcPr>
          <w:p w:rsidR="008124F2" w:rsidRPr="008124F2" w:rsidRDefault="008124F2" w:rsidP="008124F2">
            <w:pPr>
              <w:autoSpaceDE w:val="0"/>
              <w:autoSpaceDN w:val="0"/>
              <w:adjustRightInd w:val="0"/>
              <w:spacing w:after="0" w:line="240" w:lineRule="auto"/>
              <w:jc w:val="left"/>
              <w:rPr>
                <w:rFonts w:ascii="Calibri" w:hAnsi="Calibri" w:cs="Calibri"/>
                <w:color w:val="000000"/>
                <w:sz w:val="21"/>
                <w:szCs w:val="21"/>
              </w:rPr>
            </w:pPr>
            <w:r w:rsidRPr="008124F2">
              <w:rPr>
                <w:rFonts w:ascii="Calibri" w:hAnsi="Calibri" w:cs="Calibri"/>
                <w:color w:val="000000"/>
                <w:sz w:val="21"/>
                <w:szCs w:val="21"/>
              </w:rPr>
              <w:t>если он ответит “Да” на 2 из 3 вопросов в критерии 3</w:t>
            </w:r>
          </w:p>
        </w:tc>
      </w:tr>
    </w:tbl>
    <w:p w:rsidR="008124F2" w:rsidRDefault="008124F2" w:rsidP="008124F2">
      <w:r w:rsidRPr="008124F2">
        <w:t>Затем страны будут классифицированы как "полностью соответствующие требованиям", "приближающиеся к требованиям" и "не соответствующие требованиям" в соответствии со следующими матрицами (Существует 8 возможных комбинаций удовлетворяемых критериев, случаи A-G ниже):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559"/>
        <w:gridCol w:w="2268"/>
        <w:gridCol w:w="2268"/>
      </w:tblGrid>
      <w:tr w:rsidR="0018774A" w:rsidRPr="0018774A" w:rsidTr="00B27639">
        <w:tblPrEx>
          <w:tblCellMar>
            <w:top w:w="0" w:type="dxa"/>
            <w:bottom w:w="0" w:type="dxa"/>
          </w:tblCellMar>
        </w:tblPrEx>
        <w:trPr>
          <w:trHeight w:val="105"/>
        </w:trPr>
        <w:tc>
          <w:tcPr>
            <w:tcW w:w="8046" w:type="dxa"/>
            <w:gridSpan w:val="4"/>
            <w:shd w:val="clear" w:color="auto" w:fill="D9D9D9" w:themeFill="background1" w:themeFillShade="D9"/>
          </w:tcPr>
          <w:p w:rsidR="0018774A" w:rsidRPr="0018774A" w:rsidRDefault="0018774A" w:rsidP="00D14C5C">
            <w:pPr>
              <w:autoSpaceDE w:val="0"/>
              <w:autoSpaceDN w:val="0"/>
              <w:adjustRightInd w:val="0"/>
              <w:spacing w:after="0" w:line="240" w:lineRule="auto"/>
              <w:jc w:val="center"/>
              <w:rPr>
                <w:rFonts w:ascii="Calibri" w:hAnsi="Calibri" w:cs="Calibri"/>
                <w:color w:val="000000"/>
                <w:sz w:val="21"/>
                <w:szCs w:val="21"/>
              </w:rPr>
            </w:pPr>
            <w:r w:rsidRPr="0018774A">
              <w:rPr>
                <w:rFonts w:ascii="Calibri" w:hAnsi="Calibri" w:cs="Calibri"/>
                <w:b/>
                <w:bCs/>
                <w:color w:val="000000"/>
                <w:sz w:val="21"/>
                <w:szCs w:val="21"/>
              </w:rPr>
              <w:t>Полностью соответствует требованиям</w:t>
            </w:r>
          </w:p>
        </w:tc>
      </w:tr>
      <w:tr w:rsidR="0018774A" w:rsidRPr="0018774A" w:rsidTr="0064144C">
        <w:tblPrEx>
          <w:tblCellMar>
            <w:top w:w="0" w:type="dxa"/>
            <w:bottom w:w="0" w:type="dxa"/>
          </w:tblCellMar>
        </w:tblPrEx>
        <w:trPr>
          <w:trHeight w:val="105"/>
        </w:trPr>
        <w:tc>
          <w:tcPr>
            <w:tcW w:w="3510" w:type="dxa"/>
            <w:gridSpan w:val="2"/>
          </w:tcPr>
          <w:p w:rsidR="0018774A" w:rsidRPr="0018774A" w:rsidRDefault="0018774A" w:rsidP="0018774A">
            <w:pPr>
              <w:autoSpaceDE w:val="0"/>
              <w:autoSpaceDN w:val="0"/>
              <w:adjustRightInd w:val="0"/>
              <w:spacing w:after="0" w:line="240" w:lineRule="auto"/>
              <w:jc w:val="left"/>
              <w:rPr>
                <w:rFonts w:ascii="Calibri" w:hAnsi="Calibri" w:cs="Calibri"/>
                <w:color w:val="000000"/>
                <w:sz w:val="21"/>
                <w:szCs w:val="21"/>
              </w:rPr>
            </w:pPr>
            <w:r>
              <w:rPr>
                <w:rFonts w:ascii="Calibri" w:hAnsi="Calibri" w:cs="Calibri"/>
                <w:color w:val="000000"/>
                <w:sz w:val="21"/>
                <w:szCs w:val="21"/>
              </w:rPr>
              <w:t xml:space="preserve">                                        </w:t>
            </w:r>
            <w:r w:rsidRPr="0018774A">
              <w:rPr>
                <w:rFonts w:ascii="Calibri" w:hAnsi="Calibri" w:cs="Calibri"/>
                <w:b/>
                <w:bCs/>
                <w:color w:val="000000"/>
                <w:sz w:val="21"/>
                <w:szCs w:val="21"/>
              </w:rPr>
              <w:t>Критерий 1</w:t>
            </w:r>
          </w:p>
        </w:tc>
        <w:tc>
          <w:tcPr>
            <w:tcW w:w="2268" w:type="dxa"/>
          </w:tcPr>
          <w:p w:rsidR="0018774A" w:rsidRPr="0018774A" w:rsidRDefault="0018774A" w:rsidP="0018774A">
            <w:pPr>
              <w:autoSpaceDE w:val="0"/>
              <w:autoSpaceDN w:val="0"/>
              <w:adjustRightInd w:val="0"/>
              <w:spacing w:after="0" w:line="240" w:lineRule="auto"/>
              <w:jc w:val="left"/>
              <w:rPr>
                <w:rFonts w:ascii="Calibri" w:hAnsi="Calibri" w:cs="Calibri"/>
                <w:color w:val="000000"/>
                <w:sz w:val="21"/>
                <w:szCs w:val="21"/>
              </w:rPr>
            </w:pPr>
            <w:r>
              <w:rPr>
                <w:rFonts w:ascii="Calibri" w:hAnsi="Calibri" w:cs="Calibri"/>
                <w:b/>
                <w:bCs/>
                <w:color w:val="000000"/>
                <w:sz w:val="21"/>
                <w:szCs w:val="21"/>
              </w:rPr>
              <w:t>Критерий 2</w:t>
            </w:r>
            <w:r w:rsidRPr="0018774A">
              <w:rPr>
                <w:rFonts w:ascii="Calibri" w:hAnsi="Calibri" w:cs="Calibri"/>
                <w:b/>
                <w:bCs/>
                <w:color w:val="000000"/>
                <w:sz w:val="21"/>
                <w:szCs w:val="21"/>
              </w:rPr>
              <w:t xml:space="preserve"> </w:t>
            </w:r>
          </w:p>
        </w:tc>
        <w:tc>
          <w:tcPr>
            <w:tcW w:w="2268" w:type="dxa"/>
          </w:tcPr>
          <w:p w:rsidR="0018774A" w:rsidRPr="0018774A" w:rsidRDefault="0018774A" w:rsidP="0018774A">
            <w:pPr>
              <w:autoSpaceDE w:val="0"/>
              <w:autoSpaceDN w:val="0"/>
              <w:adjustRightInd w:val="0"/>
              <w:spacing w:after="0" w:line="240" w:lineRule="auto"/>
              <w:jc w:val="left"/>
              <w:rPr>
                <w:rFonts w:ascii="Calibri" w:hAnsi="Calibri" w:cs="Calibri"/>
                <w:color w:val="000000"/>
                <w:sz w:val="21"/>
                <w:szCs w:val="21"/>
              </w:rPr>
            </w:pPr>
            <w:r>
              <w:rPr>
                <w:rFonts w:ascii="Calibri" w:hAnsi="Calibri" w:cs="Calibri"/>
                <w:b/>
                <w:bCs/>
                <w:color w:val="000000"/>
                <w:sz w:val="21"/>
                <w:szCs w:val="21"/>
              </w:rPr>
              <w:t>Критерий 3</w:t>
            </w:r>
            <w:r w:rsidRPr="0018774A">
              <w:rPr>
                <w:rFonts w:ascii="Calibri" w:hAnsi="Calibri" w:cs="Calibri"/>
                <w:b/>
                <w:bCs/>
                <w:color w:val="000000"/>
                <w:sz w:val="21"/>
                <w:szCs w:val="21"/>
              </w:rPr>
              <w:t xml:space="preserve"> </w:t>
            </w:r>
          </w:p>
        </w:tc>
      </w:tr>
      <w:tr w:rsidR="0018774A" w:rsidRPr="0018774A" w:rsidTr="0064144C">
        <w:tblPrEx>
          <w:tblCellMar>
            <w:top w:w="0" w:type="dxa"/>
            <w:bottom w:w="0" w:type="dxa"/>
          </w:tblCellMar>
        </w:tblPrEx>
        <w:trPr>
          <w:trHeight w:val="105"/>
        </w:trPr>
        <w:tc>
          <w:tcPr>
            <w:tcW w:w="1951" w:type="dxa"/>
          </w:tcPr>
          <w:p w:rsidR="0018774A" w:rsidRPr="0018774A" w:rsidRDefault="0018774A" w:rsidP="0018774A">
            <w:pPr>
              <w:autoSpaceDE w:val="0"/>
              <w:autoSpaceDN w:val="0"/>
              <w:adjustRightInd w:val="0"/>
              <w:spacing w:after="0" w:line="240" w:lineRule="auto"/>
              <w:jc w:val="left"/>
              <w:rPr>
                <w:rFonts w:ascii="Calibri" w:hAnsi="Calibri" w:cs="Calibri"/>
                <w:color w:val="000000"/>
                <w:sz w:val="21"/>
                <w:szCs w:val="21"/>
              </w:rPr>
            </w:pPr>
            <w:r>
              <w:rPr>
                <w:rFonts w:ascii="Calibri" w:hAnsi="Calibri" w:cs="Calibri"/>
                <w:b/>
                <w:bCs/>
                <w:color w:val="000000"/>
                <w:sz w:val="21"/>
                <w:szCs w:val="21"/>
              </w:rPr>
              <w:t>Случай</w:t>
            </w:r>
            <w:r w:rsidRPr="0018774A">
              <w:rPr>
                <w:rFonts w:ascii="Calibri" w:hAnsi="Calibri" w:cs="Calibri"/>
                <w:b/>
                <w:bCs/>
                <w:color w:val="000000"/>
                <w:sz w:val="21"/>
                <w:szCs w:val="21"/>
              </w:rPr>
              <w:t xml:space="preserve"> A </w:t>
            </w:r>
          </w:p>
        </w:tc>
        <w:tc>
          <w:tcPr>
            <w:tcW w:w="1559" w:type="dxa"/>
          </w:tcPr>
          <w:p w:rsidR="0018774A" w:rsidRPr="0018774A" w:rsidRDefault="0018774A" w:rsidP="00B27639">
            <w:pPr>
              <w:autoSpaceDE w:val="0"/>
              <w:autoSpaceDN w:val="0"/>
              <w:adjustRightInd w:val="0"/>
              <w:spacing w:after="0" w:line="240" w:lineRule="auto"/>
              <w:jc w:val="center"/>
              <w:rPr>
                <w:rFonts w:ascii="Wingdings" w:hAnsi="Wingdings" w:cs="Wingdings"/>
                <w:color w:val="000000"/>
                <w:sz w:val="21"/>
                <w:szCs w:val="21"/>
              </w:rPr>
            </w:pPr>
            <w:r w:rsidRPr="0018774A">
              <w:rPr>
                <w:rFonts w:ascii="Wingdings" w:hAnsi="Wingdings" w:cs="Wingdings"/>
                <w:color w:val="000000"/>
                <w:sz w:val="21"/>
                <w:szCs w:val="21"/>
              </w:rPr>
              <w:sym w:font="Wingdings" w:char="F0FC"/>
            </w:r>
          </w:p>
        </w:tc>
        <w:tc>
          <w:tcPr>
            <w:tcW w:w="2268" w:type="dxa"/>
          </w:tcPr>
          <w:p w:rsidR="0018774A" w:rsidRPr="0018774A" w:rsidRDefault="0018774A" w:rsidP="00B27639">
            <w:pPr>
              <w:autoSpaceDE w:val="0"/>
              <w:autoSpaceDN w:val="0"/>
              <w:adjustRightInd w:val="0"/>
              <w:spacing w:after="0" w:line="240" w:lineRule="auto"/>
              <w:jc w:val="center"/>
              <w:rPr>
                <w:rFonts w:ascii="Wingdings" w:hAnsi="Wingdings" w:cs="Wingdings"/>
                <w:color w:val="000000"/>
                <w:sz w:val="21"/>
                <w:szCs w:val="21"/>
              </w:rPr>
            </w:pPr>
            <w:r w:rsidRPr="0018774A">
              <w:rPr>
                <w:rFonts w:ascii="Wingdings" w:hAnsi="Wingdings" w:cs="Wingdings"/>
                <w:color w:val="000000"/>
                <w:sz w:val="21"/>
                <w:szCs w:val="21"/>
              </w:rPr>
              <w:sym w:font="Wingdings" w:char="F0FC"/>
            </w:r>
            <w:r w:rsidRPr="0018774A">
              <w:rPr>
                <w:rFonts w:ascii="Wingdings" w:hAnsi="Wingdings" w:cs="Wingdings"/>
                <w:color w:val="000000"/>
                <w:sz w:val="21"/>
                <w:szCs w:val="21"/>
              </w:rPr>
              <w:t></w:t>
            </w:r>
          </w:p>
        </w:tc>
        <w:tc>
          <w:tcPr>
            <w:tcW w:w="2268" w:type="dxa"/>
          </w:tcPr>
          <w:p w:rsidR="0018774A" w:rsidRPr="0018774A" w:rsidRDefault="0018774A" w:rsidP="00B27639">
            <w:pPr>
              <w:autoSpaceDE w:val="0"/>
              <w:autoSpaceDN w:val="0"/>
              <w:adjustRightInd w:val="0"/>
              <w:spacing w:after="0" w:line="240" w:lineRule="auto"/>
              <w:jc w:val="center"/>
              <w:rPr>
                <w:rFonts w:ascii="Wingdings" w:hAnsi="Wingdings" w:cs="Wingdings"/>
                <w:color w:val="000000"/>
                <w:sz w:val="21"/>
                <w:szCs w:val="21"/>
              </w:rPr>
            </w:pPr>
            <w:r>
              <w:rPr>
                <w:rFonts w:ascii="Wingdings" w:hAnsi="Wingdings" w:cs="Wingdings"/>
                <w:color w:val="000000"/>
                <w:sz w:val="21"/>
                <w:szCs w:val="21"/>
              </w:rPr>
              <w:sym w:font="Wingdings" w:char="F0FC"/>
            </w:r>
          </w:p>
        </w:tc>
      </w:tr>
    </w:tbl>
    <w:p w:rsidR="0018774A" w:rsidRDefault="00B27639" w:rsidP="00B27639">
      <w:r>
        <w:t>Примечание: “Отмеченные” флажки предста</w:t>
      </w:r>
      <w:r>
        <w:t xml:space="preserve">вляют удовлетворенные критерии; </w:t>
      </w:r>
      <w:r>
        <w:t>“</w:t>
      </w:r>
      <w:r w:rsidR="00CA0091">
        <w:t>неотмеченные</w:t>
      </w:r>
      <w:r>
        <w:t>” флажки означают неудовлетворенные критерии.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559"/>
        <w:gridCol w:w="2268"/>
        <w:gridCol w:w="2268"/>
      </w:tblGrid>
      <w:tr w:rsidR="00B27639" w:rsidRPr="0018774A" w:rsidTr="00B27639">
        <w:tblPrEx>
          <w:tblCellMar>
            <w:top w:w="0" w:type="dxa"/>
            <w:bottom w:w="0" w:type="dxa"/>
          </w:tblCellMar>
        </w:tblPrEx>
        <w:trPr>
          <w:trHeight w:val="105"/>
        </w:trPr>
        <w:tc>
          <w:tcPr>
            <w:tcW w:w="8046" w:type="dxa"/>
            <w:gridSpan w:val="4"/>
            <w:shd w:val="clear" w:color="auto" w:fill="D9D9D9" w:themeFill="background1" w:themeFillShade="D9"/>
          </w:tcPr>
          <w:p w:rsidR="00B27639" w:rsidRPr="0018774A" w:rsidRDefault="00B27639" w:rsidP="00B7734B">
            <w:pPr>
              <w:autoSpaceDE w:val="0"/>
              <w:autoSpaceDN w:val="0"/>
              <w:adjustRightInd w:val="0"/>
              <w:spacing w:after="0" w:line="240" w:lineRule="auto"/>
              <w:jc w:val="center"/>
              <w:rPr>
                <w:rFonts w:ascii="Calibri" w:hAnsi="Calibri" w:cs="Calibri"/>
                <w:color w:val="000000"/>
                <w:sz w:val="21"/>
                <w:szCs w:val="21"/>
              </w:rPr>
            </w:pPr>
            <w:r w:rsidRPr="00B27639">
              <w:rPr>
                <w:rFonts w:ascii="Calibri" w:hAnsi="Calibri" w:cs="Calibri"/>
                <w:b/>
                <w:bCs/>
                <w:color w:val="000000"/>
                <w:sz w:val="21"/>
                <w:szCs w:val="21"/>
              </w:rPr>
              <w:t>Подходы к требованиям</w:t>
            </w:r>
          </w:p>
        </w:tc>
      </w:tr>
      <w:tr w:rsidR="00B27639" w:rsidRPr="0018774A" w:rsidTr="00B7734B">
        <w:tblPrEx>
          <w:tblCellMar>
            <w:top w:w="0" w:type="dxa"/>
            <w:bottom w:w="0" w:type="dxa"/>
          </w:tblCellMar>
        </w:tblPrEx>
        <w:trPr>
          <w:trHeight w:val="105"/>
        </w:trPr>
        <w:tc>
          <w:tcPr>
            <w:tcW w:w="3510" w:type="dxa"/>
            <w:gridSpan w:val="2"/>
          </w:tcPr>
          <w:p w:rsidR="00B27639" w:rsidRPr="0018774A" w:rsidRDefault="00B27639" w:rsidP="00B7734B">
            <w:pPr>
              <w:autoSpaceDE w:val="0"/>
              <w:autoSpaceDN w:val="0"/>
              <w:adjustRightInd w:val="0"/>
              <w:spacing w:after="0" w:line="240" w:lineRule="auto"/>
              <w:jc w:val="left"/>
              <w:rPr>
                <w:rFonts w:ascii="Calibri" w:hAnsi="Calibri" w:cs="Calibri"/>
                <w:color w:val="000000"/>
                <w:sz w:val="21"/>
                <w:szCs w:val="21"/>
              </w:rPr>
            </w:pPr>
            <w:r>
              <w:rPr>
                <w:rFonts w:ascii="Calibri" w:hAnsi="Calibri" w:cs="Calibri"/>
                <w:color w:val="000000"/>
                <w:sz w:val="21"/>
                <w:szCs w:val="21"/>
              </w:rPr>
              <w:t xml:space="preserve">                                        </w:t>
            </w:r>
            <w:r w:rsidRPr="0018774A">
              <w:rPr>
                <w:rFonts w:ascii="Calibri" w:hAnsi="Calibri" w:cs="Calibri"/>
                <w:b/>
                <w:bCs/>
                <w:color w:val="000000"/>
                <w:sz w:val="21"/>
                <w:szCs w:val="21"/>
              </w:rPr>
              <w:t>Критерий 1</w:t>
            </w:r>
          </w:p>
        </w:tc>
        <w:tc>
          <w:tcPr>
            <w:tcW w:w="2268" w:type="dxa"/>
          </w:tcPr>
          <w:p w:rsidR="00B27639" w:rsidRPr="0018774A" w:rsidRDefault="00B27639" w:rsidP="00B7734B">
            <w:pPr>
              <w:autoSpaceDE w:val="0"/>
              <w:autoSpaceDN w:val="0"/>
              <w:adjustRightInd w:val="0"/>
              <w:spacing w:after="0" w:line="240" w:lineRule="auto"/>
              <w:jc w:val="left"/>
              <w:rPr>
                <w:rFonts w:ascii="Calibri" w:hAnsi="Calibri" w:cs="Calibri"/>
                <w:color w:val="000000"/>
                <w:sz w:val="21"/>
                <w:szCs w:val="21"/>
              </w:rPr>
            </w:pPr>
            <w:r>
              <w:rPr>
                <w:rFonts w:ascii="Calibri" w:hAnsi="Calibri" w:cs="Calibri"/>
                <w:b/>
                <w:bCs/>
                <w:color w:val="000000"/>
                <w:sz w:val="21"/>
                <w:szCs w:val="21"/>
              </w:rPr>
              <w:t>Критерий 2</w:t>
            </w:r>
            <w:r w:rsidRPr="0018774A">
              <w:rPr>
                <w:rFonts w:ascii="Calibri" w:hAnsi="Calibri" w:cs="Calibri"/>
                <w:b/>
                <w:bCs/>
                <w:color w:val="000000"/>
                <w:sz w:val="21"/>
                <w:szCs w:val="21"/>
              </w:rPr>
              <w:t xml:space="preserve"> </w:t>
            </w:r>
          </w:p>
        </w:tc>
        <w:tc>
          <w:tcPr>
            <w:tcW w:w="2268" w:type="dxa"/>
          </w:tcPr>
          <w:p w:rsidR="00B27639" w:rsidRPr="0018774A" w:rsidRDefault="00B27639" w:rsidP="00B7734B">
            <w:pPr>
              <w:autoSpaceDE w:val="0"/>
              <w:autoSpaceDN w:val="0"/>
              <w:adjustRightInd w:val="0"/>
              <w:spacing w:after="0" w:line="240" w:lineRule="auto"/>
              <w:jc w:val="left"/>
              <w:rPr>
                <w:rFonts w:ascii="Calibri" w:hAnsi="Calibri" w:cs="Calibri"/>
                <w:color w:val="000000"/>
                <w:sz w:val="21"/>
                <w:szCs w:val="21"/>
              </w:rPr>
            </w:pPr>
            <w:r>
              <w:rPr>
                <w:rFonts w:ascii="Calibri" w:hAnsi="Calibri" w:cs="Calibri"/>
                <w:b/>
                <w:bCs/>
                <w:color w:val="000000"/>
                <w:sz w:val="21"/>
                <w:szCs w:val="21"/>
              </w:rPr>
              <w:t>Критерий 3</w:t>
            </w:r>
            <w:r w:rsidRPr="0018774A">
              <w:rPr>
                <w:rFonts w:ascii="Calibri" w:hAnsi="Calibri" w:cs="Calibri"/>
                <w:b/>
                <w:bCs/>
                <w:color w:val="000000"/>
                <w:sz w:val="21"/>
                <w:szCs w:val="21"/>
              </w:rPr>
              <w:t xml:space="preserve"> </w:t>
            </w:r>
          </w:p>
        </w:tc>
      </w:tr>
      <w:tr w:rsidR="00B27639" w:rsidRPr="0018774A" w:rsidTr="00B7734B">
        <w:tblPrEx>
          <w:tblCellMar>
            <w:top w:w="0" w:type="dxa"/>
            <w:bottom w:w="0" w:type="dxa"/>
          </w:tblCellMar>
        </w:tblPrEx>
        <w:trPr>
          <w:trHeight w:val="105"/>
        </w:trPr>
        <w:tc>
          <w:tcPr>
            <w:tcW w:w="1951" w:type="dxa"/>
          </w:tcPr>
          <w:p w:rsidR="00B27639" w:rsidRPr="0018774A" w:rsidRDefault="00B27639" w:rsidP="00B7734B">
            <w:pPr>
              <w:autoSpaceDE w:val="0"/>
              <w:autoSpaceDN w:val="0"/>
              <w:adjustRightInd w:val="0"/>
              <w:spacing w:after="0" w:line="240" w:lineRule="auto"/>
              <w:jc w:val="left"/>
              <w:rPr>
                <w:rFonts w:ascii="Calibri" w:hAnsi="Calibri" w:cs="Calibri"/>
                <w:color w:val="000000"/>
                <w:sz w:val="21"/>
                <w:szCs w:val="21"/>
                <w:lang w:val="en-US"/>
              </w:rPr>
            </w:pPr>
            <w:r>
              <w:rPr>
                <w:rFonts w:ascii="Calibri" w:hAnsi="Calibri" w:cs="Calibri"/>
                <w:b/>
                <w:bCs/>
                <w:color w:val="000000"/>
                <w:sz w:val="21"/>
                <w:szCs w:val="21"/>
              </w:rPr>
              <w:t>Случай</w:t>
            </w:r>
            <w:r>
              <w:rPr>
                <w:rFonts w:ascii="Calibri" w:hAnsi="Calibri" w:cs="Calibri"/>
                <w:b/>
                <w:bCs/>
                <w:color w:val="000000"/>
                <w:sz w:val="21"/>
                <w:szCs w:val="21"/>
              </w:rPr>
              <w:t xml:space="preserve"> </w:t>
            </w:r>
            <w:r>
              <w:rPr>
                <w:rFonts w:ascii="Calibri" w:hAnsi="Calibri" w:cs="Calibri"/>
                <w:b/>
                <w:bCs/>
                <w:color w:val="000000"/>
                <w:sz w:val="21"/>
                <w:szCs w:val="21"/>
                <w:lang w:val="en-US"/>
              </w:rPr>
              <w:t>B</w:t>
            </w:r>
          </w:p>
        </w:tc>
        <w:tc>
          <w:tcPr>
            <w:tcW w:w="1559" w:type="dxa"/>
          </w:tcPr>
          <w:p w:rsidR="00B27639" w:rsidRPr="0018774A" w:rsidRDefault="00B27639" w:rsidP="00B27639">
            <w:pPr>
              <w:autoSpaceDE w:val="0"/>
              <w:autoSpaceDN w:val="0"/>
              <w:adjustRightInd w:val="0"/>
              <w:spacing w:after="0" w:line="240" w:lineRule="auto"/>
              <w:jc w:val="center"/>
              <w:rPr>
                <w:rFonts w:ascii="Wingdings" w:hAnsi="Wingdings" w:cs="Wingdings"/>
                <w:color w:val="000000"/>
                <w:sz w:val="21"/>
                <w:szCs w:val="21"/>
              </w:rPr>
            </w:pPr>
            <w:r w:rsidRPr="0018774A">
              <w:rPr>
                <w:rFonts w:ascii="Wingdings" w:hAnsi="Wingdings" w:cs="Wingdings"/>
                <w:color w:val="000000"/>
                <w:sz w:val="21"/>
                <w:szCs w:val="21"/>
              </w:rPr>
              <w:sym w:font="Wingdings" w:char="F0FC"/>
            </w:r>
          </w:p>
        </w:tc>
        <w:tc>
          <w:tcPr>
            <w:tcW w:w="2268" w:type="dxa"/>
          </w:tcPr>
          <w:p w:rsidR="00B27639" w:rsidRPr="0018774A" w:rsidRDefault="00B27639" w:rsidP="00B27639">
            <w:pPr>
              <w:autoSpaceDE w:val="0"/>
              <w:autoSpaceDN w:val="0"/>
              <w:adjustRightInd w:val="0"/>
              <w:spacing w:after="0" w:line="240" w:lineRule="auto"/>
              <w:jc w:val="center"/>
              <w:rPr>
                <w:rFonts w:ascii="Wingdings" w:hAnsi="Wingdings" w:cs="Wingdings"/>
                <w:color w:val="000000"/>
                <w:sz w:val="21"/>
                <w:szCs w:val="21"/>
              </w:rPr>
            </w:pPr>
            <w:r w:rsidRPr="0018774A">
              <w:rPr>
                <w:rFonts w:ascii="Wingdings" w:hAnsi="Wingdings" w:cs="Wingdings"/>
                <w:color w:val="000000"/>
                <w:sz w:val="21"/>
                <w:szCs w:val="21"/>
              </w:rPr>
              <w:t></w:t>
            </w:r>
          </w:p>
        </w:tc>
        <w:tc>
          <w:tcPr>
            <w:tcW w:w="2268" w:type="dxa"/>
          </w:tcPr>
          <w:p w:rsidR="00B27639" w:rsidRPr="0018774A" w:rsidRDefault="00B27639" w:rsidP="00B27639">
            <w:pPr>
              <w:autoSpaceDE w:val="0"/>
              <w:autoSpaceDN w:val="0"/>
              <w:adjustRightInd w:val="0"/>
              <w:spacing w:after="0" w:line="240" w:lineRule="auto"/>
              <w:jc w:val="center"/>
              <w:rPr>
                <w:rFonts w:ascii="Wingdings" w:hAnsi="Wingdings" w:cs="Wingdings"/>
                <w:color w:val="000000"/>
                <w:sz w:val="21"/>
                <w:szCs w:val="21"/>
                <w:lang w:val="en-US"/>
              </w:rPr>
            </w:pPr>
          </w:p>
        </w:tc>
      </w:tr>
      <w:tr w:rsidR="00B27639" w:rsidRPr="0018774A" w:rsidTr="00B7734B">
        <w:tblPrEx>
          <w:tblCellMar>
            <w:top w:w="0" w:type="dxa"/>
            <w:bottom w:w="0" w:type="dxa"/>
          </w:tblCellMar>
        </w:tblPrEx>
        <w:trPr>
          <w:trHeight w:val="105"/>
        </w:trPr>
        <w:tc>
          <w:tcPr>
            <w:tcW w:w="1951" w:type="dxa"/>
          </w:tcPr>
          <w:p w:rsidR="00B27639" w:rsidRDefault="00B27639" w:rsidP="00B7734B">
            <w:pPr>
              <w:autoSpaceDE w:val="0"/>
              <w:autoSpaceDN w:val="0"/>
              <w:adjustRightInd w:val="0"/>
              <w:spacing w:after="0" w:line="240" w:lineRule="auto"/>
              <w:jc w:val="left"/>
              <w:rPr>
                <w:rFonts w:ascii="Calibri" w:hAnsi="Calibri" w:cs="Calibri"/>
                <w:b/>
                <w:bCs/>
                <w:color w:val="000000"/>
                <w:sz w:val="21"/>
                <w:szCs w:val="21"/>
              </w:rPr>
            </w:pPr>
            <w:r>
              <w:rPr>
                <w:rFonts w:ascii="Calibri" w:hAnsi="Calibri" w:cs="Calibri"/>
                <w:b/>
                <w:bCs/>
                <w:color w:val="000000"/>
                <w:sz w:val="21"/>
                <w:szCs w:val="21"/>
              </w:rPr>
              <w:t xml:space="preserve">Случай </w:t>
            </w:r>
            <w:r>
              <w:rPr>
                <w:rFonts w:ascii="Calibri" w:hAnsi="Calibri" w:cs="Calibri"/>
                <w:b/>
                <w:bCs/>
                <w:color w:val="000000"/>
                <w:sz w:val="21"/>
                <w:szCs w:val="21"/>
                <w:lang w:val="en-US"/>
              </w:rPr>
              <w:t>C</w:t>
            </w:r>
          </w:p>
        </w:tc>
        <w:tc>
          <w:tcPr>
            <w:tcW w:w="1559" w:type="dxa"/>
          </w:tcPr>
          <w:p w:rsidR="00B27639" w:rsidRPr="0018774A" w:rsidRDefault="00B27639" w:rsidP="00B27639">
            <w:pPr>
              <w:autoSpaceDE w:val="0"/>
              <w:autoSpaceDN w:val="0"/>
              <w:adjustRightInd w:val="0"/>
              <w:spacing w:after="0" w:line="240" w:lineRule="auto"/>
              <w:jc w:val="center"/>
              <w:rPr>
                <w:rFonts w:ascii="Wingdings" w:hAnsi="Wingdings" w:cs="Wingdings"/>
                <w:color w:val="000000"/>
                <w:sz w:val="21"/>
                <w:szCs w:val="21"/>
              </w:rPr>
            </w:pPr>
          </w:p>
        </w:tc>
        <w:tc>
          <w:tcPr>
            <w:tcW w:w="2268" w:type="dxa"/>
          </w:tcPr>
          <w:p w:rsidR="00B27639" w:rsidRPr="0018774A" w:rsidRDefault="00B27639" w:rsidP="00B27639">
            <w:pPr>
              <w:autoSpaceDE w:val="0"/>
              <w:autoSpaceDN w:val="0"/>
              <w:adjustRightInd w:val="0"/>
              <w:spacing w:after="0" w:line="240" w:lineRule="auto"/>
              <w:jc w:val="center"/>
              <w:rPr>
                <w:rFonts w:ascii="Wingdings" w:hAnsi="Wingdings" w:cs="Wingdings"/>
                <w:color w:val="000000"/>
                <w:sz w:val="21"/>
                <w:szCs w:val="21"/>
              </w:rPr>
            </w:pPr>
            <w:r w:rsidRPr="0018774A">
              <w:rPr>
                <w:rFonts w:ascii="Wingdings" w:hAnsi="Wingdings" w:cs="Wingdings"/>
                <w:color w:val="000000"/>
                <w:sz w:val="21"/>
                <w:szCs w:val="21"/>
              </w:rPr>
              <w:sym w:font="Wingdings" w:char="F0FC"/>
            </w:r>
          </w:p>
        </w:tc>
        <w:tc>
          <w:tcPr>
            <w:tcW w:w="2268" w:type="dxa"/>
          </w:tcPr>
          <w:p w:rsidR="00B27639" w:rsidRPr="0018774A" w:rsidRDefault="00B27639" w:rsidP="00B27639">
            <w:pPr>
              <w:autoSpaceDE w:val="0"/>
              <w:autoSpaceDN w:val="0"/>
              <w:adjustRightInd w:val="0"/>
              <w:spacing w:after="0" w:line="240" w:lineRule="auto"/>
              <w:jc w:val="center"/>
              <w:rPr>
                <w:rFonts w:ascii="Wingdings" w:hAnsi="Wingdings" w:cs="Wingdings"/>
                <w:color w:val="000000"/>
                <w:sz w:val="21"/>
                <w:szCs w:val="21"/>
                <w:lang w:val="en-US"/>
              </w:rPr>
            </w:pPr>
          </w:p>
        </w:tc>
      </w:tr>
      <w:tr w:rsidR="00B27639" w:rsidRPr="0018774A" w:rsidTr="00B7734B">
        <w:tblPrEx>
          <w:tblCellMar>
            <w:top w:w="0" w:type="dxa"/>
            <w:bottom w:w="0" w:type="dxa"/>
          </w:tblCellMar>
        </w:tblPrEx>
        <w:trPr>
          <w:trHeight w:val="105"/>
        </w:trPr>
        <w:tc>
          <w:tcPr>
            <w:tcW w:w="1951" w:type="dxa"/>
          </w:tcPr>
          <w:p w:rsidR="00B27639" w:rsidRDefault="00B27639" w:rsidP="00B7734B">
            <w:pPr>
              <w:autoSpaceDE w:val="0"/>
              <w:autoSpaceDN w:val="0"/>
              <w:adjustRightInd w:val="0"/>
              <w:spacing w:after="0" w:line="240" w:lineRule="auto"/>
              <w:jc w:val="left"/>
              <w:rPr>
                <w:rFonts w:ascii="Calibri" w:hAnsi="Calibri" w:cs="Calibri"/>
                <w:b/>
                <w:bCs/>
                <w:color w:val="000000"/>
                <w:sz w:val="21"/>
                <w:szCs w:val="21"/>
              </w:rPr>
            </w:pPr>
            <w:r>
              <w:rPr>
                <w:rFonts w:ascii="Calibri" w:hAnsi="Calibri" w:cs="Calibri"/>
                <w:b/>
                <w:bCs/>
                <w:color w:val="000000"/>
                <w:sz w:val="21"/>
                <w:szCs w:val="21"/>
              </w:rPr>
              <w:t xml:space="preserve">Случай </w:t>
            </w:r>
            <w:r>
              <w:rPr>
                <w:rFonts w:ascii="Calibri" w:hAnsi="Calibri" w:cs="Calibri"/>
                <w:b/>
                <w:bCs/>
                <w:color w:val="000000"/>
                <w:sz w:val="21"/>
                <w:szCs w:val="21"/>
                <w:lang w:val="en-US"/>
              </w:rPr>
              <w:t>D</w:t>
            </w:r>
          </w:p>
        </w:tc>
        <w:tc>
          <w:tcPr>
            <w:tcW w:w="1559" w:type="dxa"/>
          </w:tcPr>
          <w:p w:rsidR="00B27639" w:rsidRPr="0018774A" w:rsidRDefault="00B27639" w:rsidP="00B27639">
            <w:pPr>
              <w:autoSpaceDE w:val="0"/>
              <w:autoSpaceDN w:val="0"/>
              <w:adjustRightInd w:val="0"/>
              <w:spacing w:after="0" w:line="240" w:lineRule="auto"/>
              <w:jc w:val="center"/>
              <w:rPr>
                <w:rFonts w:ascii="Wingdings" w:hAnsi="Wingdings" w:cs="Wingdings"/>
                <w:color w:val="000000"/>
                <w:sz w:val="21"/>
                <w:szCs w:val="21"/>
              </w:rPr>
            </w:pPr>
          </w:p>
        </w:tc>
        <w:tc>
          <w:tcPr>
            <w:tcW w:w="2268" w:type="dxa"/>
          </w:tcPr>
          <w:p w:rsidR="00B27639" w:rsidRPr="0018774A" w:rsidRDefault="00B27639" w:rsidP="00B27639">
            <w:pPr>
              <w:autoSpaceDE w:val="0"/>
              <w:autoSpaceDN w:val="0"/>
              <w:adjustRightInd w:val="0"/>
              <w:spacing w:after="0" w:line="240" w:lineRule="auto"/>
              <w:jc w:val="center"/>
              <w:rPr>
                <w:rFonts w:ascii="Wingdings" w:hAnsi="Wingdings" w:cs="Wingdings"/>
                <w:color w:val="000000"/>
                <w:sz w:val="21"/>
                <w:szCs w:val="21"/>
              </w:rPr>
            </w:pPr>
          </w:p>
        </w:tc>
        <w:tc>
          <w:tcPr>
            <w:tcW w:w="2268" w:type="dxa"/>
          </w:tcPr>
          <w:p w:rsidR="00B27639" w:rsidRPr="0018774A" w:rsidRDefault="00B27639" w:rsidP="00B27639">
            <w:pPr>
              <w:autoSpaceDE w:val="0"/>
              <w:autoSpaceDN w:val="0"/>
              <w:adjustRightInd w:val="0"/>
              <w:spacing w:after="0" w:line="240" w:lineRule="auto"/>
              <w:jc w:val="center"/>
              <w:rPr>
                <w:rFonts w:ascii="Wingdings" w:hAnsi="Wingdings" w:cs="Wingdings"/>
                <w:color w:val="000000"/>
                <w:sz w:val="21"/>
                <w:szCs w:val="21"/>
                <w:lang w:val="en-US"/>
              </w:rPr>
            </w:pPr>
            <w:r w:rsidRPr="0018774A">
              <w:rPr>
                <w:rFonts w:ascii="Wingdings" w:hAnsi="Wingdings" w:cs="Wingdings"/>
                <w:color w:val="000000"/>
                <w:sz w:val="21"/>
                <w:szCs w:val="21"/>
              </w:rPr>
              <w:sym w:font="Wingdings" w:char="F0FC"/>
            </w:r>
          </w:p>
        </w:tc>
      </w:tr>
      <w:tr w:rsidR="00B27639" w:rsidRPr="0018774A" w:rsidTr="00B7734B">
        <w:tblPrEx>
          <w:tblCellMar>
            <w:top w:w="0" w:type="dxa"/>
            <w:bottom w:w="0" w:type="dxa"/>
          </w:tblCellMar>
        </w:tblPrEx>
        <w:trPr>
          <w:trHeight w:val="105"/>
        </w:trPr>
        <w:tc>
          <w:tcPr>
            <w:tcW w:w="1951" w:type="dxa"/>
          </w:tcPr>
          <w:p w:rsidR="00B27639" w:rsidRDefault="00B27639" w:rsidP="00B7734B">
            <w:pPr>
              <w:autoSpaceDE w:val="0"/>
              <w:autoSpaceDN w:val="0"/>
              <w:adjustRightInd w:val="0"/>
              <w:spacing w:after="0" w:line="240" w:lineRule="auto"/>
              <w:jc w:val="left"/>
              <w:rPr>
                <w:rFonts w:ascii="Calibri" w:hAnsi="Calibri" w:cs="Calibri"/>
                <w:b/>
                <w:bCs/>
                <w:color w:val="000000"/>
                <w:sz w:val="21"/>
                <w:szCs w:val="21"/>
              </w:rPr>
            </w:pPr>
            <w:r>
              <w:rPr>
                <w:rFonts w:ascii="Calibri" w:hAnsi="Calibri" w:cs="Calibri"/>
                <w:b/>
                <w:bCs/>
                <w:color w:val="000000"/>
                <w:sz w:val="21"/>
                <w:szCs w:val="21"/>
              </w:rPr>
              <w:t xml:space="preserve">Случай </w:t>
            </w:r>
            <w:r>
              <w:rPr>
                <w:rFonts w:ascii="Calibri" w:hAnsi="Calibri" w:cs="Calibri"/>
                <w:b/>
                <w:bCs/>
                <w:color w:val="000000"/>
                <w:sz w:val="21"/>
                <w:szCs w:val="21"/>
                <w:lang w:val="en-US"/>
              </w:rPr>
              <w:t>E</w:t>
            </w:r>
          </w:p>
        </w:tc>
        <w:tc>
          <w:tcPr>
            <w:tcW w:w="1559" w:type="dxa"/>
          </w:tcPr>
          <w:p w:rsidR="00B27639" w:rsidRPr="0018774A" w:rsidRDefault="00B27639" w:rsidP="00B27639">
            <w:pPr>
              <w:autoSpaceDE w:val="0"/>
              <w:autoSpaceDN w:val="0"/>
              <w:adjustRightInd w:val="0"/>
              <w:spacing w:after="0" w:line="240" w:lineRule="auto"/>
              <w:jc w:val="center"/>
              <w:rPr>
                <w:rFonts w:ascii="Wingdings" w:hAnsi="Wingdings" w:cs="Wingdings"/>
                <w:color w:val="000000"/>
                <w:sz w:val="21"/>
                <w:szCs w:val="21"/>
              </w:rPr>
            </w:pPr>
            <w:r w:rsidRPr="00B27639">
              <w:rPr>
                <w:rFonts w:ascii="Wingdings" w:hAnsi="Wingdings" w:cs="Wingdings"/>
                <w:color w:val="000000"/>
                <w:sz w:val="21"/>
                <w:szCs w:val="21"/>
              </w:rPr>
              <w:sym w:font="Wingdings" w:char="F0FC"/>
            </w:r>
          </w:p>
        </w:tc>
        <w:tc>
          <w:tcPr>
            <w:tcW w:w="2268" w:type="dxa"/>
          </w:tcPr>
          <w:p w:rsidR="00B27639" w:rsidRPr="0018774A" w:rsidRDefault="00B27639" w:rsidP="00B27639">
            <w:pPr>
              <w:autoSpaceDE w:val="0"/>
              <w:autoSpaceDN w:val="0"/>
              <w:adjustRightInd w:val="0"/>
              <w:spacing w:after="0" w:line="240" w:lineRule="auto"/>
              <w:jc w:val="center"/>
              <w:rPr>
                <w:rFonts w:ascii="Wingdings" w:hAnsi="Wingdings" w:cs="Wingdings"/>
                <w:color w:val="000000"/>
                <w:sz w:val="21"/>
                <w:szCs w:val="21"/>
              </w:rPr>
            </w:pPr>
            <w:r w:rsidRPr="0018774A">
              <w:rPr>
                <w:rFonts w:ascii="Wingdings" w:hAnsi="Wingdings" w:cs="Wingdings"/>
                <w:color w:val="000000"/>
                <w:sz w:val="21"/>
                <w:szCs w:val="21"/>
              </w:rPr>
              <w:sym w:font="Wingdings" w:char="F0FC"/>
            </w:r>
          </w:p>
        </w:tc>
        <w:tc>
          <w:tcPr>
            <w:tcW w:w="2268" w:type="dxa"/>
          </w:tcPr>
          <w:p w:rsidR="00B27639" w:rsidRPr="0018774A" w:rsidRDefault="00B27639" w:rsidP="00B27639">
            <w:pPr>
              <w:autoSpaceDE w:val="0"/>
              <w:autoSpaceDN w:val="0"/>
              <w:adjustRightInd w:val="0"/>
              <w:spacing w:after="0" w:line="240" w:lineRule="auto"/>
              <w:jc w:val="center"/>
              <w:rPr>
                <w:rFonts w:ascii="Wingdings" w:hAnsi="Wingdings" w:cs="Wingdings"/>
                <w:color w:val="000000"/>
                <w:sz w:val="21"/>
                <w:szCs w:val="21"/>
                <w:lang w:val="en-US"/>
              </w:rPr>
            </w:pPr>
          </w:p>
        </w:tc>
      </w:tr>
      <w:tr w:rsidR="00B27639" w:rsidRPr="0018774A" w:rsidTr="00B7734B">
        <w:tblPrEx>
          <w:tblCellMar>
            <w:top w:w="0" w:type="dxa"/>
            <w:bottom w:w="0" w:type="dxa"/>
          </w:tblCellMar>
        </w:tblPrEx>
        <w:trPr>
          <w:trHeight w:val="105"/>
        </w:trPr>
        <w:tc>
          <w:tcPr>
            <w:tcW w:w="1951" w:type="dxa"/>
          </w:tcPr>
          <w:p w:rsidR="00B27639" w:rsidRDefault="00B27639" w:rsidP="00B7734B">
            <w:pPr>
              <w:autoSpaceDE w:val="0"/>
              <w:autoSpaceDN w:val="0"/>
              <w:adjustRightInd w:val="0"/>
              <w:spacing w:after="0" w:line="240" w:lineRule="auto"/>
              <w:jc w:val="left"/>
              <w:rPr>
                <w:rFonts w:ascii="Calibri" w:hAnsi="Calibri" w:cs="Calibri"/>
                <w:b/>
                <w:bCs/>
                <w:color w:val="000000"/>
                <w:sz w:val="21"/>
                <w:szCs w:val="21"/>
              </w:rPr>
            </w:pPr>
            <w:r>
              <w:rPr>
                <w:rFonts w:ascii="Calibri" w:hAnsi="Calibri" w:cs="Calibri"/>
                <w:b/>
                <w:bCs/>
                <w:color w:val="000000"/>
                <w:sz w:val="21"/>
                <w:szCs w:val="21"/>
              </w:rPr>
              <w:lastRenderedPageBreak/>
              <w:t xml:space="preserve">Случай </w:t>
            </w:r>
            <w:r>
              <w:rPr>
                <w:rFonts w:ascii="Calibri" w:hAnsi="Calibri" w:cs="Calibri"/>
                <w:b/>
                <w:bCs/>
                <w:color w:val="000000"/>
                <w:sz w:val="21"/>
                <w:szCs w:val="21"/>
                <w:lang w:val="en-US"/>
              </w:rPr>
              <w:t>F</w:t>
            </w:r>
          </w:p>
        </w:tc>
        <w:tc>
          <w:tcPr>
            <w:tcW w:w="1559" w:type="dxa"/>
          </w:tcPr>
          <w:p w:rsidR="00B27639" w:rsidRPr="0018774A" w:rsidRDefault="00B27639" w:rsidP="00B27639">
            <w:pPr>
              <w:autoSpaceDE w:val="0"/>
              <w:autoSpaceDN w:val="0"/>
              <w:adjustRightInd w:val="0"/>
              <w:spacing w:after="0" w:line="240" w:lineRule="auto"/>
              <w:jc w:val="center"/>
              <w:rPr>
                <w:rFonts w:ascii="Wingdings" w:hAnsi="Wingdings" w:cs="Wingdings"/>
                <w:color w:val="000000"/>
                <w:sz w:val="21"/>
                <w:szCs w:val="21"/>
              </w:rPr>
            </w:pPr>
            <w:r w:rsidRPr="0018774A">
              <w:rPr>
                <w:rFonts w:ascii="Wingdings" w:hAnsi="Wingdings" w:cs="Wingdings"/>
                <w:color w:val="000000"/>
                <w:sz w:val="21"/>
                <w:szCs w:val="21"/>
              </w:rPr>
              <w:sym w:font="Wingdings" w:char="F0FC"/>
            </w:r>
          </w:p>
        </w:tc>
        <w:tc>
          <w:tcPr>
            <w:tcW w:w="2268" w:type="dxa"/>
          </w:tcPr>
          <w:p w:rsidR="00B27639" w:rsidRPr="0018774A" w:rsidRDefault="00B27639" w:rsidP="00B27639">
            <w:pPr>
              <w:autoSpaceDE w:val="0"/>
              <w:autoSpaceDN w:val="0"/>
              <w:adjustRightInd w:val="0"/>
              <w:spacing w:after="0" w:line="240" w:lineRule="auto"/>
              <w:jc w:val="center"/>
              <w:rPr>
                <w:rFonts w:ascii="Wingdings" w:hAnsi="Wingdings" w:cs="Wingdings"/>
                <w:color w:val="000000"/>
                <w:sz w:val="21"/>
                <w:szCs w:val="21"/>
              </w:rPr>
            </w:pPr>
          </w:p>
        </w:tc>
        <w:tc>
          <w:tcPr>
            <w:tcW w:w="2268" w:type="dxa"/>
          </w:tcPr>
          <w:p w:rsidR="00B27639" w:rsidRPr="0018774A" w:rsidRDefault="00B27639" w:rsidP="00B27639">
            <w:pPr>
              <w:autoSpaceDE w:val="0"/>
              <w:autoSpaceDN w:val="0"/>
              <w:adjustRightInd w:val="0"/>
              <w:spacing w:after="0" w:line="240" w:lineRule="auto"/>
              <w:jc w:val="center"/>
              <w:rPr>
                <w:rFonts w:ascii="Wingdings" w:hAnsi="Wingdings" w:cs="Wingdings"/>
                <w:color w:val="000000"/>
                <w:sz w:val="21"/>
                <w:szCs w:val="21"/>
                <w:lang w:val="en-US"/>
              </w:rPr>
            </w:pPr>
            <w:r w:rsidRPr="0018774A">
              <w:rPr>
                <w:rFonts w:ascii="Wingdings" w:hAnsi="Wingdings" w:cs="Wingdings"/>
                <w:color w:val="000000"/>
                <w:sz w:val="21"/>
                <w:szCs w:val="21"/>
              </w:rPr>
              <w:sym w:font="Wingdings" w:char="F0FC"/>
            </w:r>
          </w:p>
        </w:tc>
      </w:tr>
      <w:tr w:rsidR="00B27639" w:rsidRPr="0018774A" w:rsidTr="00B7734B">
        <w:tblPrEx>
          <w:tblCellMar>
            <w:top w:w="0" w:type="dxa"/>
            <w:bottom w:w="0" w:type="dxa"/>
          </w:tblCellMar>
        </w:tblPrEx>
        <w:trPr>
          <w:trHeight w:val="105"/>
        </w:trPr>
        <w:tc>
          <w:tcPr>
            <w:tcW w:w="1951" w:type="dxa"/>
          </w:tcPr>
          <w:p w:rsidR="00B27639" w:rsidRDefault="00B27639" w:rsidP="00B7734B">
            <w:pPr>
              <w:autoSpaceDE w:val="0"/>
              <w:autoSpaceDN w:val="0"/>
              <w:adjustRightInd w:val="0"/>
              <w:spacing w:after="0" w:line="240" w:lineRule="auto"/>
              <w:jc w:val="left"/>
              <w:rPr>
                <w:rFonts w:ascii="Calibri" w:hAnsi="Calibri" w:cs="Calibri"/>
                <w:b/>
                <w:bCs/>
                <w:color w:val="000000"/>
                <w:sz w:val="21"/>
                <w:szCs w:val="21"/>
              </w:rPr>
            </w:pPr>
            <w:r>
              <w:rPr>
                <w:rFonts w:ascii="Calibri" w:hAnsi="Calibri" w:cs="Calibri"/>
                <w:b/>
                <w:bCs/>
                <w:color w:val="000000"/>
                <w:sz w:val="21"/>
                <w:szCs w:val="21"/>
              </w:rPr>
              <w:t xml:space="preserve">Случай </w:t>
            </w:r>
            <w:r>
              <w:rPr>
                <w:rFonts w:ascii="Calibri" w:hAnsi="Calibri" w:cs="Calibri"/>
                <w:b/>
                <w:bCs/>
                <w:color w:val="000000"/>
                <w:sz w:val="21"/>
                <w:szCs w:val="21"/>
                <w:lang w:val="en-US"/>
              </w:rPr>
              <w:t>G</w:t>
            </w:r>
          </w:p>
        </w:tc>
        <w:tc>
          <w:tcPr>
            <w:tcW w:w="1559" w:type="dxa"/>
          </w:tcPr>
          <w:p w:rsidR="00B27639" w:rsidRPr="0018774A" w:rsidRDefault="00B27639" w:rsidP="00B27639">
            <w:pPr>
              <w:autoSpaceDE w:val="0"/>
              <w:autoSpaceDN w:val="0"/>
              <w:adjustRightInd w:val="0"/>
              <w:spacing w:after="0" w:line="240" w:lineRule="auto"/>
              <w:jc w:val="center"/>
              <w:rPr>
                <w:rFonts w:ascii="Wingdings" w:hAnsi="Wingdings" w:cs="Wingdings"/>
                <w:color w:val="000000"/>
                <w:sz w:val="21"/>
                <w:szCs w:val="21"/>
              </w:rPr>
            </w:pPr>
          </w:p>
        </w:tc>
        <w:tc>
          <w:tcPr>
            <w:tcW w:w="2268" w:type="dxa"/>
          </w:tcPr>
          <w:p w:rsidR="00B27639" w:rsidRPr="0018774A" w:rsidRDefault="00B27639" w:rsidP="00B27639">
            <w:pPr>
              <w:autoSpaceDE w:val="0"/>
              <w:autoSpaceDN w:val="0"/>
              <w:adjustRightInd w:val="0"/>
              <w:spacing w:after="0" w:line="240" w:lineRule="auto"/>
              <w:jc w:val="center"/>
              <w:rPr>
                <w:rFonts w:ascii="Wingdings" w:hAnsi="Wingdings" w:cs="Wingdings"/>
                <w:color w:val="000000"/>
                <w:sz w:val="21"/>
                <w:szCs w:val="21"/>
              </w:rPr>
            </w:pPr>
            <w:r w:rsidRPr="0018774A">
              <w:rPr>
                <w:rFonts w:ascii="Wingdings" w:hAnsi="Wingdings" w:cs="Wingdings"/>
                <w:color w:val="000000"/>
                <w:sz w:val="21"/>
                <w:szCs w:val="21"/>
              </w:rPr>
              <w:sym w:font="Wingdings" w:char="F0FC"/>
            </w:r>
          </w:p>
        </w:tc>
        <w:tc>
          <w:tcPr>
            <w:tcW w:w="2268" w:type="dxa"/>
          </w:tcPr>
          <w:p w:rsidR="00B27639" w:rsidRPr="0018774A" w:rsidRDefault="00B27639" w:rsidP="00B27639">
            <w:pPr>
              <w:autoSpaceDE w:val="0"/>
              <w:autoSpaceDN w:val="0"/>
              <w:adjustRightInd w:val="0"/>
              <w:spacing w:after="0" w:line="240" w:lineRule="auto"/>
              <w:jc w:val="center"/>
              <w:rPr>
                <w:rFonts w:ascii="Wingdings" w:hAnsi="Wingdings" w:cs="Wingdings"/>
                <w:color w:val="000000"/>
                <w:sz w:val="21"/>
                <w:szCs w:val="21"/>
                <w:lang w:val="en-US"/>
              </w:rPr>
            </w:pPr>
            <w:r w:rsidRPr="0018774A">
              <w:rPr>
                <w:rFonts w:ascii="Wingdings" w:hAnsi="Wingdings" w:cs="Wingdings"/>
                <w:color w:val="000000"/>
                <w:sz w:val="21"/>
                <w:szCs w:val="21"/>
              </w:rPr>
              <w:sym w:font="Wingdings" w:char="F0FC"/>
            </w:r>
          </w:p>
        </w:tc>
      </w:tr>
    </w:tbl>
    <w:p w:rsidR="00B27639" w:rsidRPr="00B27639" w:rsidRDefault="00B27639" w:rsidP="00B27639">
      <w:r w:rsidRPr="00B27639">
        <w:t xml:space="preserve">Примечание: “Отмеченные” флажки представляют удовлетворенные критерии; </w:t>
      </w:r>
      <w:r w:rsidR="00CA0091">
        <w:t>“</w:t>
      </w:r>
      <w:r w:rsidR="00CA0091">
        <w:t>н</w:t>
      </w:r>
      <w:r w:rsidR="00CA0091">
        <w:t xml:space="preserve">еотмеченные” </w:t>
      </w:r>
      <w:r w:rsidRPr="00B27639">
        <w:t>флажки означают неудовлетворенные критерии.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559"/>
        <w:gridCol w:w="2268"/>
        <w:gridCol w:w="2268"/>
      </w:tblGrid>
      <w:tr w:rsidR="00B27639" w:rsidRPr="00B27639" w:rsidTr="00B27639">
        <w:tblPrEx>
          <w:tblCellMar>
            <w:top w:w="0" w:type="dxa"/>
            <w:bottom w:w="0" w:type="dxa"/>
          </w:tblCellMar>
        </w:tblPrEx>
        <w:trPr>
          <w:trHeight w:val="105"/>
        </w:trPr>
        <w:tc>
          <w:tcPr>
            <w:tcW w:w="8046" w:type="dxa"/>
            <w:gridSpan w:val="4"/>
            <w:shd w:val="clear" w:color="auto" w:fill="D9D9D9" w:themeFill="background1" w:themeFillShade="D9"/>
          </w:tcPr>
          <w:p w:rsidR="00B27639" w:rsidRPr="00B27639" w:rsidRDefault="00B27639" w:rsidP="00B27639">
            <w:pPr>
              <w:autoSpaceDE w:val="0"/>
              <w:autoSpaceDN w:val="0"/>
              <w:adjustRightInd w:val="0"/>
              <w:spacing w:after="0" w:line="240" w:lineRule="auto"/>
              <w:jc w:val="center"/>
              <w:rPr>
                <w:rFonts w:ascii="Calibri" w:hAnsi="Calibri" w:cs="Calibri"/>
                <w:color w:val="000000"/>
                <w:sz w:val="21"/>
                <w:szCs w:val="21"/>
              </w:rPr>
            </w:pPr>
            <w:r>
              <w:rPr>
                <w:rFonts w:ascii="Calibri" w:hAnsi="Calibri" w:cs="Calibri"/>
                <w:b/>
                <w:bCs/>
                <w:color w:val="000000"/>
                <w:sz w:val="21"/>
                <w:szCs w:val="21"/>
              </w:rPr>
              <w:t>Не</w:t>
            </w:r>
            <w:r w:rsidRPr="00B27639">
              <w:rPr>
                <w:rFonts w:ascii="Calibri" w:hAnsi="Calibri" w:cs="Calibri"/>
                <w:b/>
                <w:bCs/>
                <w:color w:val="000000"/>
                <w:sz w:val="21"/>
                <w:szCs w:val="21"/>
              </w:rPr>
              <w:t xml:space="preserve"> соответствует требованиям</w:t>
            </w:r>
          </w:p>
        </w:tc>
      </w:tr>
      <w:tr w:rsidR="00B27639" w:rsidRPr="00B27639" w:rsidTr="00B7734B">
        <w:tblPrEx>
          <w:tblCellMar>
            <w:top w:w="0" w:type="dxa"/>
            <w:bottom w:w="0" w:type="dxa"/>
          </w:tblCellMar>
        </w:tblPrEx>
        <w:trPr>
          <w:trHeight w:val="105"/>
        </w:trPr>
        <w:tc>
          <w:tcPr>
            <w:tcW w:w="3510" w:type="dxa"/>
            <w:gridSpan w:val="2"/>
          </w:tcPr>
          <w:p w:rsidR="00B27639" w:rsidRPr="00B27639" w:rsidRDefault="00B27639" w:rsidP="00B27639">
            <w:pPr>
              <w:autoSpaceDE w:val="0"/>
              <w:autoSpaceDN w:val="0"/>
              <w:adjustRightInd w:val="0"/>
              <w:spacing w:after="0" w:line="240" w:lineRule="auto"/>
              <w:jc w:val="left"/>
              <w:rPr>
                <w:rFonts w:ascii="Calibri" w:hAnsi="Calibri" w:cs="Calibri"/>
                <w:color w:val="000000"/>
                <w:sz w:val="21"/>
                <w:szCs w:val="21"/>
              </w:rPr>
            </w:pPr>
            <w:r w:rsidRPr="00B27639">
              <w:rPr>
                <w:rFonts w:ascii="Calibri" w:hAnsi="Calibri" w:cs="Calibri"/>
                <w:color w:val="000000"/>
                <w:sz w:val="21"/>
                <w:szCs w:val="21"/>
              </w:rPr>
              <w:t xml:space="preserve">                                        </w:t>
            </w:r>
            <w:r w:rsidRPr="00B27639">
              <w:rPr>
                <w:rFonts w:ascii="Calibri" w:hAnsi="Calibri" w:cs="Calibri"/>
                <w:b/>
                <w:bCs/>
                <w:color w:val="000000"/>
                <w:sz w:val="21"/>
                <w:szCs w:val="21"/>
              </w:rPr>
              <w:t>Критерий 1</w:t>
            </w:r>
          </w:p>
        </w:tc>
        <w:tc>
          <w:tcPr>
            <w:tcW w:w="2268" w:type="dxa"/>
          </w:tcPr>
          <w:p w:rsidR="00B27639" w:rsidRPr="00B27639" w:rsidRDefault="00B27639" w:rsidP="00B27639">
            <w:pPr>
              <w:autoSpaceDE w:val="0"/>
              <w:autoSpaceDN w:val="0"/>
              <w:adjustRightInd w:val="0"/>
              <w:spacing w:after="0" w:line="240" w:lineRule="auto"/>
              <w:jc w:val="left"/>
              <w:rPr>
                <w:rFonts w:ascii="Calibri" w:hAnsi="Calibri" w:cs="Calibri"/>
                <w:color w:val="000000"/>
                <w:sz w:val="21"/>
                <w:szCs w:val="21"/>
              </w:rPr>
            </w:pPr>
            <w:r w:rsidRPr="00B27639">
              <w:rPr>
                <w:rFonts w:ascii="Calibri" w:hAnsi="Calibri" w:cs="Calibri"/>
                <w:b/>
                <w:bCs/>
                <w:color w:val="000000"/>
                <w:sz w:val="21"/>
                <w:szCs w:val="21"/>
              </w:rPr>
              <w:t xml:space="preserve">Критерий 2 </w:t>
            </w:r>
          </w:p>
        </w:tc>
        <w:tc>
          <w:tcPr>
            <w:tcW w:w="2268" w:type="dxa"/>
          </w:tcPr>
          <w:p w:rsidR="00B27639" w:rsidRPr="00B27639" w:rsidRDefault="00B27639" w:rsidP="00B27639">
            <w:pPr>
              <w:autoSpaceDE w:val="0"/>
              <w:autoSpaceDN w:val="0"/>
              <w:adjustRightInd w:val="0"/>
              <w:spacing w:after="0" w:line="240" w:lineRule="auto"/>
              <w:jc w:val="left"/>
              <w:rPr>
                <w:rFonts w:ascii="Calibri" w:hAnsi="Calibri" w:cs="Calibri"/>
                <w:color w:val="000000"/>
                <w:sz w:val="21"/>
                <w:szCs w:val="21"/>
              </w:rPr>
            </w:pPr>
            <w:r w:rsidRPr="00B27639">
              <w:rPr>
                <w:rFonts w:ascii="Calibri" w:hAnsi="Calibri" w:cs="Calibri"/>
                <w:b/>
                <w:bCs/>
                <w:color w:val="000000"/>
                <w:sz w:val="21"/>
                <w:szCs w:val="21"/>
              </w:rPr>
              <w:t xml:space="preserve">Критерий 3 </w:t>
            </w:r>
          </w:p>
        </w:tc>
      </w:tr>
      <w:tr w:rsidR="00B27639" w:rsidRPr="00B27639" w:rsidTr="00B7734B">
        <w:tblPrEx>
          <w:tblCellMar>
            <w:top w:w="0" w:type="dxa"/>
            <w:bottom w:w="0" w:type="dxa"/>
          </w:tblCellMar>
        </w:tblPrEx>
        <w:trPr>
          <w:trHeight w:val="105"/>
        </w:trPr>
        <w:tc>
          <w:tcPr>
            <w:tcW w:w="1951" w:type="dxa"/>
          </w:tcPr>
          <w:p w:rsidR="00B27639" w:rsidRPr="00B27639" w:rsidRDefault="00B27639" w:rsidP="00B27639">
            <w:pPr>
              <w:autoSpaceDE w:val="0"/>
              <w:autoSpaceDN w:val="0"/>
              <w:adjustRightInd w:val="0"/>
              <w:spacing w:after="0" w:line="240" w:lineRule="auto"/>
              <w:jc w:val="left"/>
              <w:rPr>
                <w:rFonts w:ascii="Calibri" w:hAnsi="Calibri" w:cs="Calibri"/>
                <w:color w:val="000000"/>
                <w:sz w:val="21"/>
                <w:szCs w:val="21"/>
                <w:lang w:val="en-US"/>
              </w:rPr>
            </w:pPr>
            <w:r w:rsidRPr="00B27639">
              <w:rPr>
                <w:rFonts w:ascii="Calibri" w:hAnsi="Calibri" w:cs="Calibri"/>
                <w:b/>
                <w:bCs/>
                <w:color w:val="000000"/>
                <w:sz w:val="21"/>
                <w:szCs w:val="21"/>
              </w:rPr>
              <w:t>Случай</w:t>
            </w:r>
            <w:r>
              <w:rPr>
                <w:rFonts w:ascii="Calibri" w:hAnsi="Calibri" w:cs="Calibri"/>
                <w:b/>
                <w:bCs/>
                <w:color w:val="000000"/>
                <w:sz w:val="21"/>
                <w:szCs w:val="21"/>
              </w:rPr>
              <w:t xml:space="preserve"> </w:t>
            </w:r>
            <w:r>
              <w:rPr>
                <w:rFonts w:ascii="Calibri" w:hAnsi="Calibri" w:cs="Calibri"/>
                <w:b/>
                <w:bCs/>
                <w:color w:val="000000"/>
                <w:sz w:val="21"/>
                <w:szCs w:val="21"/>
                <w:lang w:val="en-US"/>
              </w:rPr>
              <w:t>H</w:t>
            </w:r>
          </w:p>
        </w:tc>
        <w:tc>
          <w:tcPr>
            <w:tcW w:w="1559" w:type="dxa"/>
          </w:tcPr>
          <w:p w:rsidR="00B27639" w:rsidRPr="00B27639" w:rsidRDefault="00B27639" w:rsidP="00B27639">
            <w:pPr>
              <w:autoSpaceDE w:val="0"/>
              <w:autoSpaceDN w:val="0"/>
              <w:adjustRightInd w:val="0"/>
              <w:spacing w:after="0" w:line="240" w:lineRule="auto"/>
              <w:jc w:val="center"/>
              <w:rPr>
                <w:rFonts w:ascii="Wingdings" w:hAnsi="Wingdings" w:cs="Wingdings"/>
                <w:color w:val="000000"/>
                <w:sz w:val="21"/>
                <w:szCs w:val="21"/>
                <w:lang w:val="en-US"/>
              </w:rPr>
            </w:pPr>
          </w:p>
        </w:tc>
        <w:tc>
          <w:tcPr>
            <w:tcW w:w="2268" w:type="dxa"/>
          </w:tcPr>
          <w:p w:rsidR="00B27639" w:rsidRPr="00B27639" w:rsidRDefault="00B27639" w:rsidP="00B27639">
            <w:pPr>
              <w:autoSpaceDE w:val="0"/>
              <w:autoSpaceDN w:val="0"/>
              <w:adjustRightInd w:val="0"/>
              <w:spacing w:after="0" w:line="240" w:lineRule="auto"/>
              <w:jc w:val="center"/>
              <w:rPr>
                <w:rFonts w:ascii="Wingdings" w:hAnsi="Wingdings" w:cs="Wingdings"/>
                <w:color w:val="000000"/>
                <w:sz w:val="21"/>
                <w:szCs w:val="21"/>
              </w:rPr>
            </w:pPr>
            <w:r w:rsidRPr="00B27639">
              <w:rPr>
                <w:rFonts w:ascii="Wingdings" w:hAnsi="Wingdings" w:cs="Wingdings"/>
                <w:color w:val="000000"/>
                <w:sz w:val="21"/>
                <w:szCs w:val="21"/>
              </w:rPr>
              <w:t></w:t>
            </w:r>
          </w:p>
        </w:tc>
        <w:tc>
          <w:tcPr>
            <w:tcW w:w="2268" w:type="dxa"/>
          </w:tcPr>
          <w:p w:rsidR="00B27639" w:rsidRPr="00B27639" w:rsidRDefault="00B27639" w:rsidP="00B27639">
            <w:pPr>
              <w:autoSpaceDE w:val="0"/>
              <w:autoSpaceDN w:val="0"/>
              <w:adjustRightInd w:val="0"/>
              <w:spacing w:after="0" w:line="240" w:lineRule="auto"/>
              <w:jc w:val="center"/>
              <w:rPr>
                <w:rFonts w:ascii="Wingdings" w:hAnsi="Wingdings" w:cs="Wingdings"/>
                <w:color w:val="000000"/>
                <w:sz w:val="21"/>
                <w:szCs w:val="21"/>
                <w:lang w:val="en-US"/>
              </w:rPr>
            </w:pPr>
          </w:p>
        </w:tc>
      </w:tr>
    </w:tbl>
    <w:p w:rsidR="00B27639" w:rsidRPr="00B27639" w:rsidRDefault="00B27639" w:rsidP="00B27639">
      <w:r w:rsidRPr="00B27639">
        <w:t xml:space="preserve">Примечание: “Отмеченные” флажки представляют удовлетворенные критерии; </w:t>
      </w:r>
      <w:r w:rsidR="00CA0091">
        <w:t>“</w:t>
      </w:r>
      <w:r w:rsidR="00CA0091">
        <w:t>н</w:t>
      </w:r>
      <w:r w:rsidR="00CA0091">
        <w:t xml:space="preserve">еотмеченные” </w:t>
      </w:r>
      <w:r w:rsidRPr="00B27639">
        <w:t>флажки означают неудовлетворенные критерии.</w:t>
      </w:r>
    </w:p>
    <w:p w:rsidR="00B27639" w:rsidRDefault="00F1516B" w:rsidP="00B27639">
      <w:r w:rsidRPr="00F1516B">
        <w:t>Поскольку эти три критерия одинаково важны, страна должна будет удовлетворять этим трем критериям, чтобы полностью соответствовать требованиям.</w:t>
      </w:r>
    </w:p>
    <w:p w:rsidR="00F1516B" w:rsidRDefault="00F1516B" w:rsidP="00B27639">
      <w:r w:rsidRPr="00F1516B">
        <w:t>Метод вычисления заключается в следующем:</w:t>
      </w:r>
    </w:p>
    <w:p w:rsidR="00721BE4" w:rsidRPr="00721BE4" w:rsidRDefault="00721BE4" w:rsidP="00B27639">
      <w:pPr>
        <w:rPr>
          <w:rFonts w:eastAsiaTheme="minorEastAsia"/>
          <w:sz w:val="20"/>
        </w:rPr>
      </w:pPr>
      <m:oMathPara>
        <m:oMath>
          <m:r>
            <m:rPr>
              <m:sty m:val="p"/>
            </m:rPr>
            <w:rPr>
              <w:rFonts w:ascii="Cambria Math" w:hAnsi="Cambria Math" w:cs="Times New Roman"/>
              <w:sz w:val="20"/>
            </w:rPr>
            <m:t>Показатель 5.с. 1=</m:t>
          </m:r>
          <m:f>
            <m:fPr>
              <m:ctrlPr>
                <w:rPr>
                  <w:rFonts w:ascii="Cambria Math" w:hAnsi="Cambria Math" w:cs="Times New Roman"/>
                  <w:sz w:val="20"/>
                </w:rPr>
              </m:ctrlPr>
            </m:fPr>
            <m:num>
              <m:r>
                <w:rPr>
                  <w:rFonts w:ascii="Cambria Math" w:hAnsi="Cambria Math" w:cs="Times New Roman"/>
                  <w:sz w:val="20"/>
                </w:rPr>
                <m:t>Число стран которые полностью удовлетворяют требованиям критериев</m:t>
              </m:r>
            </m:num>
            <m:den>
              <m:r>
                <w:rPr>
                  <w:rFonts w:ascii="Cambria Math" w:hAnsi="Cambria Math" w:cs="Times New Roman"/>
                  <w:sz w:val="20"/>
                </w:rPr>
                <m:t>количество всех стран</m:t>
              </m:r>
            </m:den>
          </m:f>
          <m:r>
            <w:rPr>
              <w:rFonts w:ascii="Cambria Math" w:hAnsi="Cambria Math" w:cs="Times New Roman"/>
              <w:sz w:val="20"/>
            </w:rPr>
            <m:t>*100</m:t>
          </m:r>
        </m:oMath>
      </m:oMathPara>
    </w:p>
    <w:p w:rsidR="00721BE4" w:rsidRDefault="00721BE4" w:rsidP="00B27639">
      <w:r w:rsidRPr="00721BE4">
        <w:t>Единица измерения: %</w:t>
      </w:r>
    </w:p>
    <w:p w:rsidR="00721BE4" w:rsidRPr="00721BE4" w:rsidRDefault="00721BE4" w:rsidP="00721BE4">
      <w:pPr>
        <w:rPr>
          <w:rFonts w:cs="Times New Roman"/>
          <w:b/>
        </w:rPr>
      </w:pPr>
      <w:proofErr w:type="spellStart"/>
      <w:r w:rsidRPr="00721BE4">
        <w:rPr>
          <w:rFonts w:cs="Times New Roman"/>
          <w:b/>
        </w:rPr>
        <w:t>Дезагрегация</w:t>
      </w:r>
      <w:proofErr w:type="spellEnd"/>
      <w:r w:rsidRPr="00721BE4">
        <w:rPr>
          <w:rFonts w:cs="Times New Roman"/>
          <w:b/>
        </w:rPr>
        <w:t>:</w:t>
      </w:r>
    </w:p>
    <w:p w:rsidR="00721BE4" w:rsidRPr="00721BE4" w:rsidRDefault="00721BE4" w:rsidP="00721BE4">
      <w:pPr>
        <w:rPr>
          <w:rFonts w:cs="Times New Roman"/>
        </w:rPr>
      </w:pPr>
      <w:r w:rsidRPr="00721BE4">
        <w:rPr>
          <w:rFonts w:cs="Times New Roman"/>
        </w:rPr>
        <w:t xml:space="preserve">(а) в дополнение к отчету по показателю 5.c.1, как описано выше, будут также представлены следующие две глобальные пропорции в </w:t>
      </w:r>
      <w:proofErr w:type="spellStart"/>
      <w:r w:rsidRPr="00721BE4">
        <w:rPr>
          <w:rFonts w:cs="Times New Roman"/>
        </w:rPr>
        <w:t>страновой</w:t>
      </w:r>
      <w:proofErr w:type="spellEnd"/>
      <w:r w:rsidRPr="00721BE4">
        <w:rPr>
          <w:rFonts w:cs="Times New Roman"/>
        </w:rPr>
        <w:t xml:space="preserve"> классификации:</w:t>
      </w:r>
    </w:p>
    <w:p w:rsidR="00721BE4" w:rsidRPr="00721BE4" w:rsidRDefault="00721BE4" w:rsidP="00721BE4">
      <w:pPr>
        <w:rPr>
          <w:rFonts w:cs="Times New Roman"/>
        </w:rPr>
      </w:pPr>
      <m:oMathPara>
        <m:oMath>
          <m:f>
            <m:fPr>
              <m:ctrlPr>
                <w:rPr>
                  <w:rFonts w:ascii="Cambria Math" w:hAnsi="Cambria Math" w:cs="Times New Roman"/>
                </w:rPr>
              </m:ctrlPr>
            </m:fPr>
            <m:num>
              <m:r>
                <w:rPr>
                  <w:rFonts w:ascii="Cambria Math" w:hAnsi="Cambria Math" w:cs="Times New Roman"/>
                </w:rPr>
                <m:t>Число стран которые не удовлетворяют требованиям критериев</m:t>
              </m:r>
            </m:num>
            <m:den>
              <m:r>
                <w:rPr>
                  <w:rFonts w:ascii="Cambria Math" w:hAnsi="Cambria Math" w:cs="Times New Roman"/>
                </w:rPr>
                <m:t>количество всех стран</m:t>
              </m:r>
            </m:den>
          </m:f>
          <m:r>
            <w:rPr>
              <w:rFonts w:ascii="Cambria Math" w:hAnsi="Cambria Math" w:cs="Times New Roman"/>
            </w:rPr>
            <m:t>*100</m:t>
          </m:r>
        </m:oMath>
      </m:oMathPara>
    </w:p>
    <w:p w:rsidR="00721BE4" w:rsidRPr="00721BE4" w:rsidRDefault="00721BE4" w:rsidP="00721BE4">
      <w:pPr>
        <w:rPr>
          <w:rFonts w:cs="Times New Roman"/>
          <w:b/>
        </w:rPr>
      </w:pPr>
    </w:p>
    <w:p w:rsidR="00721BE4" w:rsidRPr="00721BE4" w:rsidRDefault="00721BE4" w:rsidP="00721BE4">
      <w:pPr>
        <w:rPr>
          <w:rFonts w:cs="Times New Roman"/>
        </w:rPr>
      </w:pPr>
      <m:oMathPara>
        <m:oMath>
          <m:f>
            <m:fPr>
              <m:ctrlPr>
                <w:rPr>
                  <w:rFonts w:ascii="Cambria Math" w:hAnsi="Cambria Math" w:cs="Times New Roman"/>
                </w:rPr>
              </m:ctrlPr>
            </m:fPr>
            <m:num>
              <m:r>
                <w:rPr>
                  <w:rFonts w:ascii="Cambria Math" w:hAnsi="Cambria Math" w:cs="Times New Roman"/>
                </w:rPr>
                <m:t>Число стран которые приближаются к удовлетворению требований критериев</m:t>
              </m:r>
            </m:num>
            <m:den>
              <m:r>
                <w:rPr>
                  <w:rFonts w:ascii="Cambria Math" w:hAnsi="Cambria Math" w:cs="Times New Roman"/>
                </w:rPr>
                <m:t>количество всех стран</m:t>
              </m:r>
            </m:den>
          </m:f>
          <m:r>
            <w:rPr>
              <w:rFonts w:ascii="Cambria Math" w:hAnsi="Cambria Math" w:cs="Times New Roman"/>
            </w:rPr>
            <m:t>*100</m:t>
          </m:r>
        </m:oMath>
      </m:oMathPara>
    </w:p>
    <w:p w:rsidR="00721BE4" w:rsidRPr="00721BE4" w:rsidRDefault="00721BE4" w:rsidP="00721BE4">
      <w:pPr>
        <w:rPr>
          <w:rFonts w:cs="Times New Roman"/>
          <w:b/>
        </w:rPr>
      </w:pPr>
    </w:p>
    <w:p w:rsidR="00721BE4" w:rsidRPr="00721BE4" w:rsidRDefault="00721BE4" w:rsidP="00721BE4">
      <w:pPr>
        <w:rPr>
          <w:rFonts w:cs="Times New Roman"/>
        </w:rPr>
      </w:pPr>
      <w:r w:rsidRPr="00721BE4">
        <w:rPr>
          <w:rFonts w:cs="Times New Roman"/>
        </w:rPr>
        <w:t>(</w:t>
      </w:r>
      <w:r w:rsidRPr="00721BE4">
        <w:rPr>
          <w:rFonts w:cs="Times New Roman"/>
          <w:lang w:val="en-US"/>
        </w:rPr>
        <w:t>b</w:t>
      </w:r>
      <w:r w:rsidRPr="00721BE4">
        <w:rPr>
          <w:rFonts w:cs="Times New Roman"/>
        </w:rPr>
        <w:t xml:space="preserve">) </w:t>
      </w:r>
      <w:proofErr w:type="gramStart"/>
      <w:r w:rsidRPr="00721BE4">
        <w:rPr>
          <w:rFonts w:cs="Times New Roman"/>
        </w:rPr>
        <w:t>дополнительная</w:t>
      </w:r>
      <w:proofErr w:type="gramEnd"/>
      <w:r w:rsidRPr="00721BE4">
        <w:rPr>
          <w:rFonts w:cs="Times New Roman"/>
        </w:rPr>
        <w:t xml:space="preserve"> </w:t>
      </w:r>
      <w:proofErr w:type="spellStart"/>
      <w:r w:rsidRPr="00721BE4">
        <w:rPr>
          <w:rFonts w:cs="Times New Roman"/>
        </w:rPr>
        <w:t>дезагрегация</w:t>
      </w:r>
      <w:proofErr w:type="spellEnd"/>
      <w:r w:rsidRPr="00721BE4">
        <w:rPr>
          <w:rFonts w:cs="Times New Roman"/>
        </w:rPr>
        <w:t xml:space="preserve"> по регионам:</w:t>
      </w:r>
    </w:p>
    <w:p w:rsidR="00721BE4" w:rsidRPr="00721BE4" w:rsidRDefault="00721BE4" w:rsidP="00721BE4">
      <w:pPr>
        <w:rPr>
          <w:rFonts w:cs="Times New Roman"/>
        </w:rPr>
      </w:pPr>
      <m:oMathPara>
        <m:oMath>
          <m:f>
            <m:fPr>
              <m:ctrlPr>
                <w:rPr>
                  <w:rFonts w:ascii="Cambria Math" w:hAnsi="Cambria Math" w:cs="Times New Roman"/>
                </w:rPr>
              </m:ctrlPr>
            </m:fPr>
            <m:num>
              <m:r>
                <w:rPr>
                  <w:rFonts w:ascii="Cambria Math" w:hAnsi="Cambria Math" w:cs="Times New Roman"/>
                </w:rPr>
                <m:t>Число стран в регионе x со страновой классификацией y</m:t>
              </m:r>
            </m:num>
            <m:den>
              <m:r>
                <w:rPr>
                  <w:rFonts w:ascii="Cambria Math" w:hAnsi="Cambria Math" w:cs="Times New Roman"/>
                </w:rPr>
                <m:t>количество  стран региона х</m:t>
              </m:r>
            </m:den>
          </m:f>
          <m:r>
            <w:rPr>
              <w:rFonts w:ascii="Cambria Math" w:hAnsi="Cambria Math" w:cs="Times New Roman"/>
            </w:rPr>
            <m:t>*100</m:t>
          </m:r>
        </m:oMath>
      </m:oMathPara>
    </w:p>
    <w:p w:rsidR="00721BE4" w:rsidRPr="00721BE4" w:rsidRDefault="00721BE4" w:rsidP="00B27639">
      <w:pPr>
        <w:rPr>
          <w:rFonts w:cs="Times New Roman"/>
        </w:rPr>
      </w:pPr>
      <w:r w:rsidRPr="00721BE4">
        <w:rPr>
          <w:rFonts w:cs="Times New Roman"/>
        </w:rPr>
        <w:t xml:space="preserve">Где </w:t>
      </w:r>
      <w:r w:rsidRPr="00721BE4">
        <w:rPr>
          <w:rFonts w:cs="Times New Roman"/>
          <w:b/>
        </w:rPr>
        <w:t>x</w:t>
      </w:r>
      <w:r w:rsidRPr="00721BE4">
        <w:rPr>
          <w:rFonts w:cs="Times New Roman"/>
        </w:rPr>
        <w:t xml:space="preserve"> относится к области анализа, а </w:t>
      </w:r>
      <w:r w:rsidRPr="00721BE4">
        <w:rPr>
          <w:rFonts w:cs="Times New Roman"/>
          <w:b/>
        </w:rPr>
        <w:t>y</w:t>
      </w:r>
      <w:r w:rsidRPr="00721BE4">
        <w:rPr>
          <w:rFonts w:cs="Times New Roman"/>
        </w:rPr>
        <w:t xml:space="preserve"> относится к классификации стран на основе вопросника</w:t>
      </w:r>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721BE4" w:rsidRDefault="00721BE4" w:rsidP="00721BE4">
      <w:r w:rsidRPr="00721BE4">
        <w:t xml:space="preserve">В руководстве и инструкциях по представлению отчетности по этому показателю рекомендуется </w:t>
      </w:r>
      <w:r>
        <w:t>поддерживать координацию</w:t>
      </w:r>
      <w:r w:rsidRPr="00721BE4">
        <w:t xml:space="preserve"> между Министерством финансов, национальными механизмами</w:t>
      </w:r>
      <w:r>
        <w:t xml:space="preserve"> по делам женщин</w:t>
      </w:r>
      <w:r w:rsidRPr="00721BE4">
        <w:t xml:space="preserve"> и/или национальным статистическим учреждением. Процессом </w:t>
      </w:r>
      <w:proofErr w:type="spellStart"/>
      <w:r w:rsidRPr="00721BE4">
        <w:t>валидации</w:t>
      </w:r>
      <w:proofErr w:type="spellEnd"/>
      <w:r w:rsidRPr="00721BE4">
        <w:t xml:space="preserve"> руководят правительства стран в соответствии с существующими стандартами и механизмами. Организация "ООН-женщины", как </w:t>
      </w:r>
      <w:r w:rsidRPr="00721BE4">
        <w:lastRenderedPageBreak/>
        <w:t xml:space="preserve">ведущий </w:t>
      </w:r>
      <w:r>
        <w:t>куратор</w:t>
      </w:r>
      <w:r w:rsidRPr="00721BE4">
        <w:t>, поддерживает проверку путем рассмотрения представленных анкет и непосредственного взаимодействия с правительственными координаторами. Кроме того, запрашиваются качественные данные для подтверждения правильности ответов "да" со стороны страны.</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99173E">
        <w:rPr>
          <w:b/>
          <w:color w:val="auto"/>
          <w:sz w:val="24"/>
          <w:szCs w:val="24"/>
          <w:lang w:val="ru-RU"/>
        </w:rPr>
        <w:t>Корректировки</w:t>
      </w:r>
    </w:p>
    <w:p w:rsidR="002E15F9" w:rsidRPr="00BD29EC" w:rsidRDefault="00F92D6F" w:rsidP="0075371E">
      <w:pPr>
        <w:pStyle w:val="MText"/>
        <w:rPr>
          <w:color w:val="auto"/>
          <w:sz w:val="24"/>
          <w:szCs w:val="24"/>
          <w:lang w:val="ru-RU"/>
        </w:rPr>
      </w:pPr>
      <w:r>
        <w:rPr>
          <w:color w:val="auto"/>
          <w:sz w:val="24"/>
          <w:szCs w:val="24"/>
          <w:lang w:val="ru-RU"/>
        </w:rPr>
        <w:t>Не применимо</w:t>
      </w:r>
      <w:r w:rsidR="00694160" w:rsidRPr="00BD29EC">
        <w:rPr>
          <w:color w:val="auto"/>
          <w:sz w:val="24"/>
          <w:szCs w:val="24"/>
          <w:lang w:val="ru-RU"/>
        </w:rPr>
        <w:t>.</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уровне страны</w:t>
      </w:r>
    </w:p>
    <w:p w:rsidR="002E15F9" w:rsidRPr="00BD29EC" w:rsidRDefault="0099173E" w:rsidP="0075371E">
      <w:pPr>
        <w:pStyle w:val="MText"/>
        <w:rPr>
          <w:color w:val="auto"/>
          <w:sz w:val="24"/>
          <w:szCs w:val="24"/>
          <w:lang w:val="ru-RU"/>
        </w:rPr>
      </w:pPr>
      <w:r>
        <w:rPr>
          <w:color w:val="auto"/>
          <w:sz w:val="24"/>
          <w:szCs w:val="24"/>
          <w:lang w:val="ru-RU"/>
        </w:rPr>
        <w:t xml:space="preserve">Не производится. </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региональном и глобальном уровнях</w:t>
      </w:r>
    </w:p>
    <w:p w:rsidR="00694160" w:rsidRPr="00BD29EC" w:rsidRDefault="0099173E" w:rsidP="0075371E">
      <w:pPr>
        <w:pStyle w:val="MHeader2"/>
        <w:rPr>
          <w:color w:val="auto"/>
          <w:sz w:val="24"/>
          <w:szCs w:val="24"/>
          <w:lang w:val="ru-RU"/>
        </w:rPr>
      </w:pPr>
      <w:r>
        <w:rPr>
          <w:color w:val="auto"/>
          <w:sz w:val="24"/>
          <w:szCs w:val="24"/>
          <w:lang w:val="ru-RU"/>
        </w:rPr>
        <w:t xml:space="preserve">Не производится. </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2E15F9" w:rsidRPr="00BD29EC" w:rsidRDefault="0099173E" w:rsidP="0099173E">
      <w:r w:rsidRPr="0099173E">
        <w:t xml:space="preserve">Глобальные агрегированные данные представляют собой средневзвешенные значения всех </w:t>
      </w:r>
      <w:proofErr w:type="spellStart"/>
      <w:r w:rsidRPr="0099173E">
        <w:t>субрегионов</w:t>
      </w:r>
      <w:proofErr w:type="spellEnd"/>
      <w:r>
        <w:t xml:space="preserve"> в мире</w:t>
      </w:r>
      <w:proofErr w:type="gramStart"/>
      <w:r>
        <w:t>.</w:t>
      </w:r>
      <w:proofErr w:type="gramEnd"/>
      <w:r w:rsidRPr="0099173E">
        <w:t xml:space="preserve"> Региональные агрегированные данные представляют собой средневзвешенные значения по всем странам региона. Данные на уровне стран обновляются на периодической основе. В тех случаях, когда данные не обновляются, для глобальных и/или региональных агрегированных показателей может использоваться последний отчетный год.</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99173E" w:rsidRPr="00BD29EC" w:rsidRDefault="0099173E" w:rsidP="0099173E">
      <w:r w:rsidRPr="0099173E">
        <w:t>Методология, используемая странами для сбора данных на национальном уровне: вопросник с руководством по мониторингу, включающим определения и инструкции.</w:t>
      </w:r>
    </w:p>
    <w:p w:rsidR="002E15F9" w:rsidRDefault="002E15F9" w:rsidP="0075371E">
      <w:pPr>
        <w:pStyle w:val="MHeader2"/>
        <w:rPr>
          <w:b/>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084A6A" w:rsidRPr="00BD29EC" w:rsidRDefault="00084A6A" w:rsidP="00084A6A">
      <w:r w:rsidRPr="00084A6A">
        <w:t xml:space="preserve">См. раздел 4.d </w:t>
      </w:r>
      <w:proofErr w:type="spellStart"/>
      <w:r>
        <w:t>Валидация</w:t>
      </w:r>
      <w:proofErr w:type="spellEnd"/>
    </w:p>
    <w:p w:rsidR="002E15F9" w:rsidRDefault="002E15F9" w:rsidP="0075371E">
      <w:pPr>
        <w:pStyle w:val="MHeader2"/>
        <w:rPr>
          <w:b/>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084A6A" w:rsidRPr="00040034" w:rsidRDefault="00084A6A" w:rsidP="00084A6A">
      <w:r w:rsidRPr="00084A6A">
        <w:t xml:space="preserve">См. раздел 4.d </w:t>
      </w:r>
      <w:proofErr w:type="spellStart"/>
      <w:r>
        <w:t>Валидация</w:t>
      </w:r>
      <w:proofErr w:type="spellEnd"/>
    </w:p>
    <w:p w:rsidR="002E15F9"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084A6A" w:rsidRPr="00BD29EC" w:rsidRDefault="00084A6A" w:rsidP="00084A6A">
      <w:r w:rsidRPr="00084A6A">
        <w:t xml:space="preserve">См. раздел 4.d </w:t>
      </w:r>
      <w:proofErr w:type="spellStart"/>
      <w:r>
        <w:t>Валидация</w:t>
      </w:r>
      <w:proofErr w:type="spellEnd"/>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 xml:space="preserve">Доступность и </w:t>
      </w:r>
      <w:proofErr w:type="spellStart"/>
      <w:r w:rsidR="0075371E" w:rsidRPr="00BD29EC">
        <w:rPr>
          <w:b/>
          <w:color w:val="auto"/>
          <w:sz w:val="24"/>
          <w:szCs w:val="24"/>
          <w:lang w:val="ru-RU"/>
        </w:rPr>
        <w:t>дезагрегирование</w:t>
      </w:r>
      <w:proofErr w:type="spellEnd"/>
      <w:r w:rsidR="0075371E" w:rsidRPr="00BD29EC">
        <w:rPr>
          <w:b/>
          <w:color w:val="auto"/>
          <w:sz w:val="24"/>
          <w:szCs w:val="24"/>
          <w:lang w:val="ru-RU"/>
        </w:rPr>
        <w:t xml:space="preserve"> данных</w:t>
      </w:r>
    </w:p>
    <w:p w:rsidR="0075371E" w:rsidRDefault="0075371E" w:rsidP="0075371E">
      <w:pPr>
        <w:pStyle w:val="MText"/>
        <w:rPr>
          <w:color w:val="auto"/>
          <w:sz w:val="24"/>
          <w:szCs w:val="24"/>
          <w:lang w:val="ru-RU"/>
        </w:rPr>
      </w:pPr>
      <w:r w:rsidRPr="00BD29EC">
        <w:rPr>
          <w:color w:val="auto"/>
          <w:sz w:val="24"/>
          <w:szCs w:val="24"/>
          <w:lang w:val="ru-RU"/>
        </w:rPr>
        <w:t>Доступность данных:</w:t>
      </w:r>
    </w:p>
    <w:p w:rsidR="00084A6A" w:rsidRPr="00BD29EC" w:rsidRDefault="00084A6A" w:rsidP="0075371E">
      <w:pPr>
        <w:pStyle w:val="MText"/>
        <w:rPr>
          <w:color w:val="auto"/>
          <w:sz w:val="24"/>
          <w:szCs w:val="24"/>
          <w:lang w:val="ru-RU"/>
        </w:rPr>
      </w:pPr>
      <w:r w:rsidRPr="00084A6A">
        <w:rPr>
          <w:color w:val="auto"/>
          <w:sz w:val="24"/>
          <w:szCs w:val="24"/>
          <w:lang w:val="ru-RU"/>
        </w:rPr>
        <w:t>Как было опред</w:t>
      </w:r>
      <w:r>
        <w:rPr>
          <w:color w:val="auto"/>
          <w:sz w:val="24"/>
          <w:szCs w:val="24"/>
          <w:lang w:val="ru-RU"/>
        </w:rPr>
        <w:t xml:space="preserve">елено в ходе эксперимента </w:t>
      </w:r>
      <w:r w:rsidRPr="00084A6A">
        <w:rPr>
          <w:color w:val="auto"/>
          <w:sz w:val="24"/>
          <w:szCs w:val="24"/>
          <w:lang w:val="ru-RU"/>
        </w:rPr>
        <w:t>по показателю 5.c.1, информация, собираемая посредством заполнения вопросника, доступна Министерствам финансов и/или бюджетным управлениям.</w:t>
      </w:r>
    </w:p>
    <w:p w:rsidR="0075371E" w:rsidRDefault="0075371E" w:rsidP="0075371E">
      <w:pPr>
        <w:pStyle w:val="MText"/>
        <w:rPr>
          <w:color w:val="auto"/>
          <w:sz w:val="24"/>
          <w:szCs w:val="24"/>
          <w:lang w:val="ru-RU"/>
        </w:rPr>
      </w:pPr>
      <w:r w:rsidRPr="00BD29EC">
        <w:rPr>
          <w:color w:val="auto"/>
          <w:sz w:val="24"/>
          <w:szCs w:val="24"/>
          <w:lang w:val="ru-RU"/>
        </w:rPr>
        <w:t>Временные ряды:</w:t>
      </w:r>
    </w:p>
    <w:p w:rsidR="00084A6A" w:rsidRPr="00BD29EC" w:rsidRDefault="00084A6A" w:rsidP="0075371E">
      <w:pPr>
        <w:pStyle w:val="MText"/>
        <w:rPr>
          <w:color w:val="auto"/>
          <w:sz w:val="24"/>
          <w:szCs w:val="24"/>
          <w:lang w:val="ru-RU"/>
        </w:rPr>
      </w:pPr>
      <w:r w:rsidRPr="00084A6A">
        <w:rPr>
          <w:color w:val="auto"/>
          <w:sz w:val="24"/>
          <w:szCs w:val="24"/>
          <w:lang w:val="ru-RU"/>
        </w:rPr>
        <w:t>Первый выпуск данных состоялся в 2019 году</w:t>
      </w:r>
    </w:p>
    <w:p w:rsidR="0075371E" w:rsidRDefault="0075371E" w:rsidP="0075371E">
      <w:pPr>
        <w:pStyle w:val="MText"/>
        <w:rPr>
          <w:color w:val="auto"/>
          <w:sz w:val="24"/>
          <w:szCs w:val="24"/>
          <w:lang w:val="ru-RU"/>
        </w:rPr>
      </w:pPr>
      <w:r w:rsidRPr="00BD29EC">
        <w:rPr>
          <w:color w:val="auto"/>
          <w:sz w:val="24"/>
          <w:szCs w:val="24"/>
          <w:lang w:val="ru-RU"/>
        </w:rPr>
        <w:t>Разбивка:</w:t>
      </w:r>
    </w:p>
    <w:p w:rsidR="00084A6A" w:rsidRPr="00BD29EC" w:rsidRDefault="00084A6A" w:rsidP="0075371E">
      <w:pPr>
        <w:pStyle w:val="MText"/>
        <w:rPr>
          <w:color w:val="auto"/>
          <w:sz w:val="24"/>
          <w:szCs w:val="24"/>
          <w:lang w:val="ru-RU"/>
        </w:rPr>
      </w:pPr>
      <w:r>
        <w:rPr>
          <w:color w:val="auto"/>
          <w:sz w:val="24"/>
          <w:szCs w:val="24"/>
          <w:lang w:val="ru-RU"/>
        </w:rPr>
        <w:lastRenderedPageBreak/>
        <w:t xml:space="preserve">Не применимо. </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084A6A" w:rsidRDefault="00084A6A" w:rsidP="00084A6A">
      <w:pPr>
        <w:rPr>
          <w:lang w:eastAsia="en-GB"/>
        </w:rPr>
      </w:pPr>
      <w:r w:rsidRPr="00084A6A">
        <w:rPr>
          <w:lang w:eastAsia="en-GB"/>
        </w:rPr>
        <w:t>Поскольку данные представляются странами с помощью проверенного вопросника, расхождений быть не должно.</w:t>
      </w:r>
    </w:p>
    <w:p w:rsidR="00040034" w:rsidRDefault="00040034" w:rsidP="00040034">
      <w:pPr>
        <w:pBdr>
          <w:bottom w:val="single" w:sz="12" w:space="4" w:color="DDDDDD"/>
        </w:pBdr>
        <w:shd w:val="clear" w:color="auto" w:fill="FFFFFF"/>
        <w:spacing w:after="100"/>
        <w:outlineLvl w:val="2"/>
        <w:rPr>
          <w:rFonts w:eastAsia="Times New Roman" w:cs="Times New Roman"/>
          <w:b/>
          <w:szCs w:val="24"/>
          <w:lang w:eastAsia="en-GB"/>
        </w:rPr>
      </w:pPr>
      <w:r w:rsidRPr="00084A6A">
        <w:rPr>
          <w:rFonts w:eastAsia="Times New Roman" w:cs="Times New Roman"/>
          <w:b/>
          <w:szCs w:val="24"/>
          <w:lang w:eastAsia="en-GB"/>
        </w:rPr>
        <w:t xml:space="preserve">7. </w:t>
      </w:r>
      <w:r>
        <w:rPr>
          <w:rFonts w:eastAsia="Times New Roman" w:cs="Times New Roman"/>
          <w:b/>
          <w:szCs w:val="24"/>
          <w:lang w:eastAsia="en-GB"/>
        </w:rPr>
        <w:t>Ссылки</w:t>
      </w:r>
      <w:r w:rsidRPr="00084A6A">
        <w:rPr>
          <w:rFonts w:eastAsia="Times New Roman" w:cs="Times New Roman"/>
          <w:b/>
          <w:szCs w:val="24"/>
          <w:lang w:eastAsia="en-GB"/>
        </w:rPr>
        <w:t xml:space="preserve"> </w:t>
      </w:r>
      <w:r>
        <w:rPr>
          <w:rFonts w:eastAsia="Times New Roman" w:cs="Times New Roman"/>
          <w:b/>
          <w:szCs w:val="24"/>
          <w:lang w:eastAsia="en-GB"/>
        </w:rPr>
        <w:t>и</w:t>
      </w:r>
      <w:r w:rsidRPr="00084A6A">
        <w:rPr>
          <w:rFonts w:eastAsia="Times New Roman" w:cs="Times New Roman"/>
          <w:b/>
          <w:szCs w:val="24"/>
          <w:lang w:eastAsia="en-GB"/>
        </w:rPr>
        <w:t xml:space="preserve"> </w:t>
      </w:r>
      <w:r>
        <w:rPr>
          <w:rFonts w:eastAsia="Times New Roman" w:cs="Times New Roman"/>
          <w:b/>
          <w:szCs w:val="24"/>
          <w:lang w:eastAsia="en-GB"/>
        </w:rPr>
        <w:t>документы</w:t>
      </w:r>
    </w:p>
    <w:p w:rsidR="00084A6A" w:rsidRPr="00084A6A" w:rsidRDefault="00084A6A" w:rsidP="00084A6A">
      <w:pPr>
        <w:rPr>
          <w:sz w:val="23"/>
          <w:szCs w:val="23"/>
        </w:rPr>
      </w:pPr>
      <w:r w:rsidRPr="00084A6A">
        <w:t>Корпорация Глобального партнерства для эффективного развития</w:t>
      </w:r>
      <w:r w:rsidRPr="00084A6A">
        <w:t xml:space="preserve">: </w:t>
      </w:r>
      <w:r w:rsidRPr="00084A6A">
        <w:rPr>
          <w:sz w:val="23"/>
          <w:szCs w:val="23"/>
          <w:lang w:val="en-US"/>
        </w:rPr>
        <w:t>http</w:t>
      </w:r>
      <w:r w:rsidRPr="00084A6A">
        <w:rPr>
          <w:sz w:val="23"/>
          <w:szCs w:val="23"/>
        </w:rPr>
        <w:t>://</w:t>
      </w:r>
      <w:proofErr w:type="spellStart"/>
      <w:r w:rsidRPr="00084A6A">
        <w:rPr>
          <w:sz w:val="23"/>
          <w:szCs w:val="23"/>
          <w:lang w:val="en-US"/>
        </w:rPr>
        <w:t>effectivecooperation</w:t>
      </w:r>
      <w:proofErr w:type="spellEnd"/>
      <w:r w:rsidRPr="00084A6A">
        <w:rPr>
          <w:sz w:val="23"/>
          <w:szCs w:val="23"/>
        </w:rPr>
        <w:t>.</w:t>
      </w:r>
      <w:r w:rsidRPr="00084A6A">
        <w:rPr>
          <w:sz w:val="23"/>
          <w:szCs w:val="23"/>
          <w:lang w:val="en-US"/>
        </w:rPr>
        <w:t>org</w:t>
      </w:r>
      <w:r w:rsidRPr="00084A6A">
        <w:rPr>
          <w:sz w:val="23"/>
          <w:szCs w:val="23"/>
        </w:rPr>
        <w:t xml:space="preserve"> </w:t>
      </w:r>
    </w:p>
    <w:p w:rsidR="00084A6A" w:rsidRPr="00084A6A" w:rsidRDefault="00084A6A" w:rsidP="00084A6A">
      <w:pPr>
        <w:rPr>
          <w:sz w:val="23"/>
          <w:szCs w:val="23"/>
        </w:rPr>
      </w:pPr>
      <w:r w:rsidRPr="00084A6A">
        <w:t>Технические материалы о том, как включить гендерное равенство в системы управления государственными финансами</w:t>
      </w:r>
      <w:r w:rsidRPr="00084A6A">
        <w:t xml:space="preserve">: </w:t>
      </w:r>
      <w:r w:rsidRPr="00084A6A">
        <w:rPr>
          <w:sz w:val="23"/>
          <w:szCs w:val="23"/>
          <w:lang w:val="en-US"/>
        </w:rPr>
        <w:t>http</w:t>
      </w:r>
      <w:r w:rsidRPr="00084A6A">
        <w:rPr>
          <w:sz w:val="23"/>
          <w:szCs w:val="23"/>
        </w:rPr>
        <w:t>://</w:t>
      </w:r>
      <w:r w:rsidRPr="00084A6A">
        <w:rPr>
          <w:sz w:val="23"/>
          <w:szCs w:val="23"/>
          <w:lang w:val="en-US"/>
        </w:rPr>
        <w:t>gender</w:t>
      </w:r>
      <w:r w:rsidRPr="00084A6A">
        <w:rPr>
          <w:sz w:val="23"/>
          <w:szCs w:val="23"/>
        </w:rPr>
        <w:t>-</w:t>
      </w:r>
      <w:r w:rsidRPr="00084A6A">
        <w:rPr>
          <w:sz w:val="23"/>
          <w:szCs w:val="23"/>
          <w:lang w:val="en-US"/>
        </w:rPr>
        <w:t>financing</w:t>
      </w:r>
      <w:r w:rsidRPr="00084A6A">
        <w:rPr>
          <w:sz w:val="23"/>
          <w:szCs w:val="23"/>
        </w:rPr>
        <w:t>.</w:t>
      </w:r>
      <w:proofErr w:type="spellStart"/>
      <w:r w:rsidRPr="00084A6A">
        <w:rPr>
          <w:sz w:val="23"/>
          <w:szCs w:val="23"/>
          <w:lang w:val="en-US"/>
        </w:rPr>
        <w:t>unwomen</w:t>
      </w:r>
      <w:proofErr w:type="spellEnd"/>
      <w:r w:rsidRPr="00084A6A">
        <w:rPr>
          <w:sz w:val="23"/>
          <w:szCs w:val="23"/>
        </w:rPr>
        <w:t>.</w:t>
      </w:r>
      <w:r w:rsidRPr="00084A6A">
        <w:rPr>
          <w:sz w:val="23"/>
          <w:szCs w:val="23"/>
          <w:lang w:val="en-US"/>
        </w:rPr>
        <w:t>org</w:t>
      </w:r>
      <w:r w:rsidRPr="00084A6A">
        <w:rPr>
          <w:sz w:val="23"/>
          <w:szCs w:val="23"/>
        </w:rPr>
        <w:t>/</w:t>
      </w:r>
      <w:proofErr w:type="spellStart"/>
      <w:r w:rsidRPr="00084A6A">
        <w:rPr>
          <w:sz w:val="23"/>
          <w:szCs w:val="23"/>
          <w:lang w:val="en-US"/>
        </w:rPr>
        <w:t>en</w:t>
      </w:r>
      <w:proofErr w:type="spellEnd"/>
      <w:r w:rsidRPr="00084A6A">
        <w:rPr>
          <w:sz w:val="23"/>
          <w:szCs w:val="23"/>
        </w:rPr>
        <w:t xml:space="preserve"> </w:t>
      </w:r>
    </w:p>
    <w:p w:rsidR="00084A6A" w:rsidRPr="00084A6A" w:rsidRDefault="00084A6A" w:rsidP="00084A6A">
      <w:pPr>
        <w:rPr>
          <w:sz w:val="23"/>
          <w:szCs w:val="23"/>
        </w:rPr>
      </w:pPr>
      <w:r w:rsidRPr="00084A6A">
        <w:t>Исследование МВФ по составлению бюджета и системам отслеживания с учетом гендерных факторов</w:t>
      </w:r>
      <w:r w:rsidRPr="00084A6A">
        <w:t xml:space="preserve">: </w:t>
      </w:r>
      <w:r w:rsidRPr="00084A6A">
        <w:rPr>
          <w:sz w:val="23"/>
          <w:szCs w:val="23"/>
          <w:lang w:val="en-US"/>
        </w:rPr>
        <w:t>https</w:t>
      </w:r>
      <w:r w:rsidRPr="00084A6A">
        <w:rPr>
          <w:sz w:val="23"/>
          <w:szCs w:val="23"/>
        </w:rPr>
        <w:t>://</w:t>
      </w:r>
      <w:r w:rsidRPr="00084A6A">
        <w:rPr>
          <w:sz w:val="23"/>
          <w:szCs w:val="23"/>
          <w:lang w:val="en-US"/>
        </w:rPr>
        <w:t>www</w:t>
      </w:r>
      <w:r w:rsidRPr="00084A6A">
        <w:rPr>
          <w:sz w:val="23"/>
          <w:szCs w:val="23"/>
        </w:rPr>
        <w:t>.</w:t>
      </w:r>
      <w:proofErr w:type="spellStart"/>
      <w:r w:rsidRPr="00084A6A">
        <w:rPr>
          <w:sz w:val="23"/>
          <w:szCs w:val="23"/>
          <w:lang w:val="en-US"/>
        </w:rPr>
        <w:t>imf</w:t>
      </w:r>
      <w:proofErr w:type="spellEnd"/>
      <w:r w:rsidRPr="00084A6A">
        <w:rPr>
          <w:sz w:val="23"/>
          <w:szCs w:val="23"/>
        </w:rPr>
        <w:t>.</w:t>
      </w:r>
      <w:r w:rsidRPr="00084A6A">
        <w:rPr>
          <w:sz w:val="23"/>
          <w:szCs w:val="23"/>
          <w:lang w:val="en-US"/>
        </w:rPr>
        <w:t>org</w:t>
      </w:r>
      <w:r w:rsidRPr="00084A6A">
        <w:rPr>
          <w:sz w:val="23"/>
          <w:szCs w:val="23"/>
        </w:rPr>
        <w:t>/</w:t>
      </w:r>
      <w:r w:rsidRPr="00084A6A">
        <w:rPr>
          <w:sz w:val="23"/>
          <w:szCs w:val="23"/>
          <w:lang w:val="en-US"/>
        </w:rPr>
        <w:t>external</w:t>
      </w:r>
      <w:r w:rsidRPr="00084A6A">
        <w:rPr>
          <w:sz w:val="23"/>
          <w:szCs w:val="23"/>
        </w:rPr>
        <w:t>/</w:t>
      </w:r>
      <w:r w:rsidRPr="00084A6A">
        <w:rPr>
          <w:sz w:val="23"/>
          <w:szCs w:val="23"/>
          <w:lang w:val="en-US"/>
        </w:rPr>
        <w:t>np</w:t>
      </w:r>
      <w:r w:rsidRPr="00084A6A">
        <w:rPr>
          <w:sz w:val="23"/>
          <w:szCs w:val="23"/>
        </w:rPr>
        <w:t>/</w:t>
      </w:r>
      <w:r w:rsidRPr="00084A6A">
        <w:rPr>
          <w:sz w:val="23"/>
          <w:szCs w:val="23"/>
          <w:lang w:val="en-US"/>
        </w:rPr>
        <w:t>res</w:t>
      </w:r>
      <w:r w:rsidRPr="00084A6A">
        <w:rPr>
          <w:sz w:val="23"/>
          <w:szCs w:val="23"/>
        </w:rPr>
        <w:t>/</w:t>
      </w:r>
      <w:proofErr w:type="spellStart"/>
      <w:r w:rsidRPr="00084A6A">
        <w:rPr>
          <w:sz w:val="23"/>
          <w:szCs w:val="23"/>
          <w:lang w:val="en-US"/>
        </w:rPr>
        <w:t>dfidimf</w:t>
      </w:r>
      <w:proofErr w:type="spellEnd"/>
      <w:r w:rsidRPr="00084A6A">
        <w:rPr>
          <w:sz w:val="23"/>
          <w:szCs w:val="23"/>
        </w:rPr>
        <w:t>/</w:t>
      </w:r>
      <w:r w:rsidRPr="00084A6A">
        <w:rPr>
          <w:sz w:val="23"/>
          <w:szCs w:val="23"/>
          <w:lang w:val="en-US"/>
        </w:rPr>
        <w:t>topic</w:t>
      </w:r>
      <w:r w:rsidRPr="00084A6A">
        <w:rPr>
          <w:sz w:val="23"/>
          <w:szCs w:val="23"/>
        </w:rPr>
        <w:t>7.</w:t>
      </w:r>
      <w:proofErr w:type="spellStart"/>
      <w:r w:rsidRPr="00084A6A">
        <w:rPr>
          <w:sz w:val="23"/>
          <w:szCs w:val="23"/>
          <w:lang w:val="en-US"/>
        </w:rPr>
        <w:t>htm</w:t>
      </w:r>
      <w:proofErr w:type="spellEnd"/>
      <w:r w:rsidRPr="00084A6A">
        <w:rPr>
          <w:sz w:val="23"/>
          <w:szCs w:val="23"/>
        </w:rPr>
        <w:t xml:space="preserve"> </w:t>
      </w:r>
    </w:p>
    <w:p w:rsidR="00084A6A" w:rsidRPr="00084A6A" w:rsidRDefault="00084A6A" w:rsidP="00084A6A">
      <w:pPr>
        <w:rPr>
          <w:sz w:val="23"/>
          <w:szCs w:val="23"/>
          <w:lang w:val="en-US"/>
        </w:rPr>
      </w:pPr>
      <w:r w:rsidRPr="00084A6A">
        <w:rPr>
          <w:sz w:val="23"/>
          <w:szCs w:val="23"/>
          <w:lang w:val="en-US"/>
        </w:rPr>
        <w:t xml:space="preserve">https://www.imf.org/external/pubs/ft/wp/2016/wp16149.pdf </w:t>
      </w:r>
    </w:p>
    <w:p w:rsidR="00084A6A" w:rsidRPr="00084A6A" w:rsidRDefault="00084A6A" w:rsidP="00084A6A">
      <w:r w:rsidRPr="00084A6A">
        <w:t>Гендерное бюджетирование и отслеживание в странах ОЭСР</w:t>
      </w:r>
      <w:r w:rsidRPr="00084A6A">
        <w:t xml:space="preserve">: </w:t>
      </w:r>
    </w:p>
    <w:p w:rsidR="00084A6A" w:rsidRPr="00084A6A" w:rsidRDefault="00084A6A" w:rsidP="00084A6A">
      <w:pPr>
        <w:rPr>
          <w:sz w:val="23"/>
          <w:szCs w:val="23"/>
          <w:lang w:val="en-US"/>
        </w:rPr>
      </w:pPr>
      <w:r w:rsidRPr="00084A6A">
        <w:rPr>
          <w:sz w:val="23"/>
          <w:szCs w:val="23"/>
          <w:lang w:val="en-US"/>
        </w:rPr>
        <w:t xml:space="preserve">https://www.imf.org/external/pubs/ft/wp/2016/wp16149.pdf </w:t>
      </w:r>
    </w:p>
    <w:p w:rsidR="00084A6A" w:rsidRPr="00084A6A" w:rsidRDefault="00084A6A" w:rsidP="00084A6A">
      <w:pPr>
        <w:rPr>
          <w:sz w:val="23"/>
          <w:szCs w:val="23"/>
          <w:lang w:val="en-US"/>
        </w:rPr>
      </w:pPr>
      <w:r w:rsidRPr="00084A6A">
        <w:rPr>
          <w:sz w:val="23"/>
          <w:szCs w:val="23"/>
          <w:lang w:val="en-US"/>
        </w:rPr>
        <w:t xml:space="preserve">https://www.oecd.org/gender/Gender-Budgeting-in-OECD-countries.pdf </w:t>
      </w:r>
    </w:p>
    <w:p w:rsidR="00084A6A" w:rsidRPr="00084A6A" w:rsidRDefault="00084A6A" w:rsidP="00084A6A">
      <w:pPr>
        <w:rPr>
          <w:rFonts w:eastAsia="Times New Roman" w:cs="Times New Roman"/>
          <w:b/>
          <w:szCs w:val="24"/>
          <w:lang w:eastAsia="en-GB"/>
        </w:rPr>
      </w:pPr>
      <w:r w:rsidRPr="00084A6A">
        <w:t>С программой государственных расходов и финансовой отчетности (</w:t>
      </w:r>
      <w:r w:rsidRPr="00084A6A">
        <w:rPr>
          <w:lang w:val="en-US"/>
        </w:rPr>
        <w:t>PEFA</w:t>
      </w:r>
      <w:r w:rsidRPr="00084A6A">
        <w:t>), которая предоставляет рекомендации по оценке систем управления государственными финансами, можно ознакомиться здесь</w:t>
      </w:r>
      <w:bookmarkStart w:id="5" w:name="_GoBack"/>
      <w:bookmarkEnd w:id="5"/>
      <w:r w:rsidRPr="00084A6A">
        <w:t xml:space="preserve">: </w:t>
      </w:r>
      <w:r w:rsidRPr="00084A6A">
        <w:rPr>
          <w:sz w:val="23"/>
          <w:szCs w:val="23"/>
          <w:lang w:val="en-US"/>
        </w:rPr>
        <w:t>http</w:t>
      </w:r>
      <w:r w:rsidRPr="00084A6A">
        <w:rPr>
          <w:sz w:val="23"/>
          <w:szCs w:val="23"/>
        </w:rPr>
        <w:t>://</w:t>
      </w:r>
      <w:r w:rsidRPr="00084A6A">
        <w:rPr>
          <w:sz w:val="23"/>
          <w:szCs w:val="23"/>
          <w:lang w:val="en-US"/>
        </w:rPr>
        <w:t>www</w:t>
      </w:r>
      <w:r w:rsidRPr="00084A6A">
        <w:rPr>
          <w:sz w:val="23"/>
          <w:szCs w:val="23"/>
        </w:rPr>
        <w:t>.</w:t>
      </w:r>
      <w:r w:rsidRPr="00084A6A">
        <w:rPr>
          <w:sz w:val="23"/>
          <w:szCs w:val="23"/>
          <w:lang w:val="en-US"/>
        </w:rPr>
        <w:t>pefa</w:t>
      </w:r>
      <w:r w:rsidRPr="00084A6A">
        <w:rPr>
          <w:sz w:val="23"/>
          <w:szCs w:val="23"/>
        </w:rPr>
        <w:t>.</w:t>
      </w:r>
      <w:r w:rsidRPr="00084A6A">
        <w:rPr>
          <w:sz w:val="23"/>
          <w:szCs w:val="23"/>
          <w:lang w:val="en-US"/>
        </w:rPr>
        <w:t>org</w:t>
      </w:r>
      <w:r w:rsidRPr="00084A6A">
        <w:rPr>
          <w:sz w:val="23"/>
          <w:szCs w:val="23"/>
        </w:rPr>
        <w:t>/</w:t>
      </w:r>
      <w:r w:rsidRPr="00084A6A">
        <w:rPr>
          <w:sz w:val="23"/>
          <w:szCs w:val="23"/>
          <w:lang w:val="en-US"/>
        </w:rPr>
        <w:t>en</w:t>
      </w:r>
    </w:p>
    <w:sectPr w:rsidR="00084A6A" w:rsidRPr="00084A6A">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708" w:rsidRDefault="00C90708" w:rsidP="00F73DBC">
      <w:pPr>
        <w:spacing w:after="0" w:line="240" w:lineRule="auto"/>
      </w:pPr>
      <w:r>
        <w:separator/>
      </w:r>
    </w:p>
  </w:endnote>
  <w:endnote w:type="continuationSeparator" w:id="0">
    <w:p w:rsidR="00C90708" w:rsidRDefault="00C90708"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Helvetica Neue">
    <w:altName w:val="Segoe Print"/>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708" w:rsidRDefault="00C90708" w:rsidP="00F73DBC">
      <w:pPr>
        <w:spacing w:after="0" w:line="240" w:lineRule="auto"/>
      </w:pPr>
      <w:r>
        <w:separator/>
      </w:r>
    </w:p>
  </w:footnote>
  <w:footnote w:type="continuationSeparator" w:id="0">
    <w:p w:rsidR="00C90708" w:rsidRDefault="00C90708" w:rsidP="00F73DBC">
      <w:pPr>
        <w:spacing w:after="0" w:line="240" w:lineRule="auto"/>
      </w:pPr>
      <w:r>
        <w:continuationSeparator/>
      </w:r>
    </w:p>
  </w:footnote>
  <w:footnote w:id="1">
    <w:p w:rsidR="001F28C9" w:rsidRPr="00A803D1" w:rsidRDefault="001F28C9" w:rsidP="001F28C9">
      <w:pPr>
        <w:pStyle w:val="a4"/>
        <w:rPr>
          <w:rFonts w:cs="Times New Roman"/>
        </w:rPr>
      </w:pPr>
      <w:r w:rsidRPr="00A803D1">
        <w:rPr>
          <w:rStyle w:val="a6"/>
          <w:rFonts w:cs="Times New Roman"/>
        </w:rPr>
        <w:footnoteRef/>
      </w:r>
      <w:r w:rsidRPr="00A803D1">
        <w:rPr>
          <w:rFonts w:cs="Times New Roman"/>
        </w:rPr>
        <w:t xml:space="preserve"> Там же</w:t>
      </w:r>
    </w:p>
  </w:footnote>
  <w:footnote w:id="2">
    <w:p w:rsidR="001F28C9" w:rsidRPr="00A803D1" w:rsidRDefault="001F28C9" w:rsidP="001F28C9">
      <w:pPr>
        <w:pStyle w:val="a4"/>
        <w:rPr>
          <w:rFonts w:cs="Times New Roman"/>
        </w:rPr>
      </w:pPr>
      <w:r w:rsidRPr="00A803D1">
        <w:rPr>
          <w:rStyle w:val="a6"/>
          <w:rFonts w:cs="Times New Roman"/>
        </w:rPr>
        <w:footnoteRef/>
      </w:r>
      <w:r w:rsidRPr="00A803D1">
        <w:rPr>
          <w:rFonts w:cs="Times New Roman"/>
        </w:rPr>
        <w:t xml:space="preserve"> «Планирование бюджета с учетом гендерных факторов в странах-членах ОЭСР», ОЭСР, 2016</w:t>
      </w:r>
    </w:p>
  </w:footnote>
  <w:footnote w:id="3">
    <w:p w:rsidR="001F28C9" w:rsidRPr="00A803D1" w:rsidRDefault="001F28C9" w:rsidP="001F28C9">
      <w:pPr>
        <w:pStyle w:val="a4"/>
        <w:rPr>
          <w:rFonts w:cs="Times New Roman"/>
        </w:rPr>
      </w:pPr>
      <w:r w:rsidRPr="00A803D1">
        <w:rPr>
          <w:rStyle w:val="a6"/>
          <w:rFonts w:cs="Times New Roman"/>
        </w:rPr>
        <w:footnoteRef/>
      </w:r>
      <w:r w:rsidRPr="00A803D1">
        <w:rPr>
          <w:rFonts w:cs="Times New Roman"/>
        </w:rPr>
        <w:t xml:space="preserve"> Там же</w:t>
      </w:r>
    </w:p>
  </w:footnote>
  <w:footnote w:id="4">
    <w:p w:rsidR="001F28C9" w:rsidRPr="00A803D1" w:rsidRDefault="001F28C9" w:rsidP="001F28C9">
      <w:pPr>
        <w:pStyle w:val="a4"/>
        <w:rPr>
          <w:rFonts w:cs="Times New Roman"/>
        </w:rPr>
      </w:pPr>
      <w:r w:rsidRPr="00A803D1">
        <w:rPr>
          <w:rStyle w:val="a6"/>
          <w:rFonts w:cs="Times New Roman"/>
        </w:rPr>
        <w:footnoteRef/>
      </w:r>
      <w:r w:rsidRPr="00A803D1">
        <w:rPr>
          <w:rFonts w:cs="Times New Roman"/>
        </w:rPr>
        <w:t xml:space="preserve"> «Бюджетные циркуляры и отчеты о гендерном бюджете в Азиатско-Тихоокеанском регионе: обзор», ООН-Женщины, 2015.</w:t>
      </w:r>
    </w:p>
  </w:footnote>
  <w:footnote w:id="5">
    <w:p w:rsidR="001F28C9" w:rsidRPr="00A803D1" w:rsidRDefault="001F28C9" w:rsidP="001F28C9">
      <w:pPr>
        <w:pStyle w:val="a4"/>
        <w:rPr>
          <w:rFonts w:cs="Times New Roman"/>
        </w:rPr>
      </w:pPr>
      <w:r w:rsidRPr="00A803D1">
        <w:rPr>
          <w:rStyle w:val="a6"/>
          <w:rFonts w:cs="Times New Roman"/>
        </w:rPr>
        <w:footnoteRef/>
      </w:r>
      <w:r w:rsidRPr="00A803D1">
        <w:rPr>
          <w:rFonts w:cs="Times New Roman"/>
        </w:rPr>
        <w:t xml:space="preserve"> «Бюджетная классификация», МВФ, 2009.</w:t>
      </w:r>
    </w:p>
  </w:footnote>
  <w:footnote w:id="6">
    <w:p w:rsidR="001F28C9" w:rsidRPr="00A803D1" w:rsidRDefault="001F28C9" w:rsidP="001F28C9">
      <w:pPr>
        <w:pStyle w:val="a4"/>
        <w:rPr>
          <w:rFonts w:cs="Times New Roman"/>
        </w:rPr>
      </w:pPr>
      <w:r w:rsidRPr="00A803D1">
        <w:rPr>
          <w:rStyle w:val="a6"/>
          <w:rFonts w:cs="Times New Roman"/>
        </w:rPr>
        <w:footnoteRef/>
      </w:r>
      <w:r w:rsidRPr="00A803D1">
        <w:rPr>
          <w:rFonts w:cs="Times New Roman"/>
        </w:rPr>
        <w:t xml:space="preserve"> Там же</w:t>
      </w:r>
    </w:p>
  </w:footnote>
  <w:footnote w:id="7">
    <w:p w:rsidR="001F28C9" w:rsidRDefault="001F28C9" w:rsidP="001F28C9">
      <w:pPr>
        <w:pStyle w:val="a4"/>
      </w:pPr>
      <w:r w:rsidRPr="00A803D1">
        <w:rPr>
          <w:rStyle w:val="a6"/>
          <w:rFonts w:cs="Times New Roman"/>
        </w:rPr>
        <w:footnoteRef/>
      </w:r>
      <w:r w:rsidRPr="00A803D1">
        <w:rPr>
          <w:rFonts w:cs="Times New Roman"/>
        </w:rPr>
        <w:t xml:space="preserve"> Там же</w:t>
      </w:r>
    </w:p>
  </w:footnote>
  <w:footnote w:id="8">
    <w:p w:rsidR="008124F2" w:rsidRPr="00A803D1" w:rsidRDefault="008124F2" w:rsidP="008124F2">
      <w:pPr>
        <w:pStyle w:val="a4"/>
        <w:rPr>
          <w:rFonts w:cs="Times New Roman"/>
        </w:rPr>
      </w:pPr>
      <w:r>
        <w:rPr>
          <w:rStyle w:val="a6"/>
        </w:rPr>
        <w:footnoteRef/>
      </w:r>
      <w:r>
        <w:t xml:space="preserve"> </w:t>
      </w:r>
      <w:proofErr w:type="spellStart"/>
      <w:r w:rsidRPr="00A803D1">
        <w:rPr>
          <w:rFonts w:cs="Times New Roman"/>
        </w:rPr>
        <w:t>Аддис-Абебская</w:t>
      </w:r>
      <w:proofErr w:type="spellEnd"/>
      <w:r w:rsidRPr="00A803D1">
        <w:rPr>
          <w:rFonts w:cs="Times New Roman"/>
        </w:rPr>
        <w:t xml:space="preserve"> Программа Действий, параграфы 30 и 53</w:t>
      </w:r>
      <w:r>
        <w:rPr>
          <w:rFonts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Pr="00087B96" w:rsidRDefault="009508D1" w:rsidP="009508D1">
    <w:pPr>
      <w:pStyle w:val="ae"/>
      <w:jc w:val="right"/>
      <w:rPr>
        <w:rFonts w:cs="Times New Roman"/>
        <w:i/>
      </w:rPr>
    </w:pPr>
    <w:r w:rsidRPr="00087B96">
      <w:rPr>
        <w:rFonts w:cs="Times New Roman"/>
        <w:i/>
      </w:rPr>
      <w:t xml:space="preserve">Неофициальный перевод </w:t>
    </w:r>
  </w:p>
  <w:p w:rsidR="009508D1" w:rsidRPr="00087B96" w:rsidRDefault="009508D1" w:rsidP="009508D1">
    <w:pPr>
      <w:pStyle w:val="ae"/>
      <w:jc w:val="right"/>
      <w:rPr>
        <w:rFonts w:cs="Times New Roman"/>
      </w:rPr>
    </w:pPr>
    <w:r w:rsidRPr="00087B96">
      <w:rPr>
        <w:rFonts w:cs="Times New Roman"/>
      </w:rPr>
      <w:t xml:space="preserve">Последнее обновление: </w:t>
    </w:r>
    <w:r w:rsidR="00087B96" w:rsidRPr="00087B96">
      <w:rPr>
        <w:rFonts w:cs="Times New Roman"/>
      </w:rPr>
      <w:t>апрель</w:t>
    </w:r>
    <w:r w:rsidR="00781DE7" w:rsidRPr="00087B96">
      <w:rPr>
        <w:rFonts w:cs="Times New Roman"/>
      </w:rPr>
      <w:t xml:space="preserve"> 2022</w:t>
    </w:r>
  </w:p>
  <w:p w:rsidR="009508D1" w:rsidRDefault="009508D1">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5D0189"/>
    <w:multiLevelType w:val="hybridMultilevel"/>
    <w:tmpl w:val="0F46309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582AFB"/>
    <w:multiLevelType w:val="hybridMultilevel"/>
    <w:tmpl w:val="153C162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88791D"/>
    <w:multiLevelType w:val="hybridMultilevel"/>
    <w:tmpl w:val="2BE074C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40034"/>
    <w:rsid w:val="000476F9"/>
    <w:rsid w:val="00053D20"/>
    <w:rsid w:val="00084A6A"/>
    <w:rsid w:val="00087B96"/>
    <w:rsid w:val="000A210D"/>
    <w:rsid w:val="000A229E"/>
    <w:rsid w:val="000C5EF5"/>
    <w:rsid w:val="00116248"/>
    <w:rsid w:val="001470A2"/>
    <w:rsid w:val="00165896"/>
    <w:rsid w:val="0018774A"/>
    <w:rsid w:val="001A163A"/>
    <w:rsid w:val="001E2FC9"/>
    <w:rsid w:val="001F28C9"/>
    <w:rsid w:val="002064C4"/>
    <w:rsid w:val="00291FA0"/>
    <w:rsid w:val="002C77F5"/>
    <w:rsid w:val="002E122C"/>
    <w:rsid w:val="002E15F9"/>
    <w:rsid w:val="002F63E5"/>
    <w:rsid w:val="00303D71"/>
    <w:rsid w:val="003143BC"/>
    <w:rsid w:val="00346988"/>
    <w:rsid w:val="003746BC"/>
    <w:rsid w:val="003859BD"/>
    <w:rsid w:val="003D58DC"/>
    <w:rsid w:val="00407E4E"/>
    <w:rsid w:val="004143B4"/>
    <w:rsid w:val="00421928"/>
    <w:rsid w:val="004E087E"/>
    <w:rsid w:val="00587D0B"/>
    <w:rsid w:val="005E47BD"/>
    <w:rsid w:val="005F2C0B"/>
    <w:rsid w:val="0064144C"/>
    <w:rsid w:val="006704C2"/>
    <w:rsid w:val="00694160"/>
    <w:rsid w:val="006B260E"/>
    <w:rsid w:val="006B3939"/>
    <w:rsid w:val="006D7049"/>
    <w:rsid w:val="00702333"/>
    <w:rsid w:val="00705161"/>
    <w:rsid w:val="00721BE4"/>
    <w:rsid w:val="007248F8"/>
    <w:rsid w:val="0075371E"/>
    <w:rsid w:val="00780F08"/>
    <w:rsid w:val="00781DE7"/>
    <w:rsid w:val="007B07B2"/>
    <w:rsid w:val="007B0CFD"/>
    <w:rsid w:val="007C27E0"/>
    <w:rsid w:val="007D1185"/>
    <w:rsid w:val="007F06DF"/>
    <w:rsid w:val="008124F2"/>
    <w:rsid w:val="00836F3E"/>
    <w:rsid w:val="00853C09"/>
    <w:rsid w:val="009508D1"/>
    <w:rsid w:val="00957A62"/>
    <w:rsid w:val="009655B4"/>
    <w:rsid w:val="00980F79"/>
    <w:rsid w:val="00982FE8"/>
    <w:rsid w:val="0099173E"/>
    <w:rsid w:val="009C064B"/>
    <w:rsid w:val="00A10A9E"/>
    <w:rsid w:val="00A53D4B"/>
    <w:rsid w:val="00A618FC"/>
    <w:rsid w:val="00A71EC6"/>
    <w:rsid w:val="00A82CD3"/>
    <w:rsid w:val="00A91FDE"/>
    <w:rsid w:val="00AC1A97"/>
    <w:rsid w:val="00B0378B"/>
    <w:rsid w:val="00B27639"/>
    <w:rsid w:val="00B72F77"/>
    <w:rsid w:val="00BD29EC"/>
    <w:rsid w:val="00BE2C5D"/>
    <w:rsid w:val="00BE415C"/>
    <w:rsid w:val="00C100FD"/>
    <w:rsid w:val="00C47A4A"/>
    <w:rsid w:val="00C8596F"/>
    <w:rsid w:val="00C90708"/>
    <w:rsid w:val="00C95AB2"/>
    <w:rsid w:val="00CA0091"/>
    <w:rsid w:val="00CA1CB1"/>
    <w:rsid w:val="00D05466"/>
    <w:rsid w:val="00D14C5C"/>
    <w:rsid w:val="00D2619D"/>
    <w:rsid w:val="00D93145"/>
    <w:rsid w:val="00DA19D7"/>
    <w:rsid w:val="00DA75FD"/>
    <w:rsid w:val="00DC18AA"/>
    <w:rsid w:val="00E123F7"/>
    <w:rsid w:val="00E21B43"/>
    <w:rsid w:val="00E27922"/>
    <w:rsid w:val="00E33CA8"/>
    <w:rsid w:val="00E90BD4"/>
    <w:rsid w:val="00EB362A"/>
    <w:rsid w:val="00EB389E"/>
    <w:rsid w:val="00EE0900"/>
    <w:rsid w:val="00F1516B"/>
    <w:rsid w:val="00F22669"/>
    <w:rsid w:val="00F6371F"/>
    <w:rsid w:val="00F73DBC"/>
    <w:rsid w:val="00F84FF1"/>
    <w:rsid w:val="00F92D6F"/>
    <w:rsid w:val="00FB66D9"/>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639"/>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D9314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639"/>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D9314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D41CF-94C7-4CD5-8CCF-93FA1BB15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3842</Words>
  <Characters>21902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14</cp:revision>
  <dcterms:created xsi:type="dcterms:W3CDTF">2022-04-14T13:00:00Z</dcterms:created>
  <dcterms:modified xsi:type="dcterms:W3CDTF">2022-04-14T14:24:00Z</dcterms:modified>
</cp:coreProperties>
</file>