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C95AB2">
        <w:rPr>
          <w:rFonts w:eastAsia="Arial Unicode MS" w:cs="Times New Roman"/>
          <w:szCs w:val="24"/>
          <w:bdr w:val="nil"/>
          <w:lang w:eastAsia="ru-RU"/>
        </w:rPr>
        <w:t>5</w:t>
      </w:r>
      <w:r w:rsidR="00780F08" w:rsidRPr="00BD29EC">
        <w:rPr>
          <w:rFonts w:eastAsia="Arial Unicode MS" w:cs="Times New Roman"/>
          <w:szCs w:val="24"/>
          <w:bdr w:val="nil"/>
          <w:lang w:eastAsia="ru-RU"/>
        </w:rPr>
        <w:t xml:space="preserve">: </w:t>
      </w:r>
      <w:r w:rsidR="002D3C7F" w:rsidRPr="002D3C7F">
        <w:rPr>
          <w:lang w:eastAsia="ru-RU"/>
        </w:rPr>
        <w:t>Обеспечение гендерного равенства и расширение прав и возможностей всех женщин и девочек</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95AB2" w:rsidP="00781DE7">
      <w:pPr>
        <w:pBdr>
          <w:top w:val="nil"/>
          <w:left w:val="nil"/>
          <w:bottom w:val="nil"/>
          <w:right w:val="nil"/>
          <w:between w:val="nil"/>
          <w:bar w:val="nil"/>
        </w:pBdr>
        <w:spacing w:after="0"/>
        <w:rPr>
          <w:rFonts w:cs="Times New Roman"/>
          <w:szCs w:val="24"/>
        </w:rPr>
      </w:pPr>
      <w:r>
        <w:rPr>
          <w:rFonts w:cs="Times New Roman"/>
          <w:szCs w:val="24"/>
        </w:rPr>
        <w:t>5</w:t>
      </w:r>
      <w:r w:rsidR="00780F08" w:rsidRPr="00BD29EC">
        <w:rPr>
          <w:rFonts w:cs="Times New Roman"/>
          <w:szCs w:val="24"/>
        </w:rPr>
        <w:t>.</w:t>
      </w:r>
      <w:r w:rsidR="002D3C7F">
        <w:rPr>
          <w:rFonts w:cs="Times New Roman"/>
          <w:szCs w:val="24"/>
        </w:rPr>
        <w:t>6</w:t>
      </w:r>
      <w:r w:rsidR="00780F08" w:rsidRPr="00BD29EC">
        <w:rPr>
          <w:rFonts w:cs="Times New Roman"/>
          <w:szCs w:val="24"/>
        </w:rPr>
        <w:t xml:space="preserve">.  </w:t>
      </w:r>
      <w:r w:rsidR="002D3C7F" w:rsidRPr="002D3C7F">
        <w:t>Обеспечить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2D3C7F" w:rsidRDefault="003143BC" w:rsidP="00853C09">
      <w:pPr>
        <w:pBdr>
          <w:top w:val="nil"/>
          <w:left w:val="nil"/>
          <w:bottom w:val="nil"/>
          <w:right w:val="nil"/>
          <w:between w:val="nil"/>
          <w:bar w:val="nil"/>
        </w:pBdr>
        <w:spacing w:after="0"/>
      </w:pPr>
      <w:r w:rsidRPr="00BD29EC">
        <w:rPr>
          <w:rFonts w:cs="Times New Roman"/>
          <w:szCs w:val="24"/>
        </w:rPr>
        <w:t xml:space="preserve">Показатель </w:t>
      </w:r>
      <w:r w:rsidR="00C95AB2">
        <w:rPr>
          <w:rFonts w:cs="Times New Roman"/>
          <w:szCs w:val="24"/>
        </w:rPr>
        <w:t>5</w:t>
      </w:r>
      <w:r w:rsidR="00780F08" w:rsidRPr="00BD29EC">
        <w:rPr>
          <w:rFonts w:cs="Times New Roman"/>
          <w:szCs w:val="24"/>
        </w:rPr>
        <w:t>.</w:t>
      </w:r>
      <w:r w:rsidR="002D3C7F">
        <w:rPr>
          <w:rFonts w:cs="Times New Roman"/>
          <w:szCs w:val="24"/>
        </w:rPr>
        <w:t>6</w:t>
      </w:r>
      <w:r w:rsidR="002064C4">
        <w:rPr>
          <w:rFonts w:cs="Times New Roman"/>
          <w:szCs w:val="24"/>
        </w:rPr>
        <w:t>.</w:t>
      </w:r>
      <w:r w:rsidR="002D3C7F">
        <w:rPr>
          <w:rFonts w:cs="Times New Roman"/>
          <w:szCs w:val="24"/>
        </w:rPr>
        <w:t>2</w:t>
      </w:r>
      <w:r w:rsidR="00C95AB2">
        <w:rPr>
          <w:rFonts w:cs="Times New Roman"/>
          <w:szCs w:val="24"/>
        </w:rPr>
        <w:t>.</w:t>
      </w:r>
      <w:r w:rsidR="00780F08" w:rsidRPr="00BD29EC">
        <w:rPr>
          <w:rFonts w:cs="Times New Roman"/>
          <w:szCs w:val="24"/>
        </w:rPr>
        <w:t xml:space="preserve"> </w:t>
      </w:r>
      <w:r w:rsidR="002D3C7F" w:rsidRPr="002D3C7F">
        <w:t>Число стран, где действуют законы и нормативные акты,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9A6E5B" w:rsidRPr="009A6E5B" w:rsidRDefault="009A6E5B" w:rsidP="009A6E5B">
      <w:pPr>
        <w:rPr>
          <w:bdr w:val="nil"/>
          <w:lang w:eastAsia="ru-RU"/>
        </w:rPr>
      </w:pPr>
      <w:r w:rsidRPr="009A6E5B">
        <w:rPr>
          <w:bdr w:val="nil"/>
          <w:lang w:eastAsia="ru-RU"/>
        </w:rPr>
        <w:t>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 SH_LGR_ACSRHE</w:t>
      </w:r>
    </w:p>
    <w:p w:rsidR="009A6E5B" w:rsidRPr="009A6E5B" w:rsidRDefault="009A6E5B" w:rsidP="009A6E5B">
      <w:pPr>
        <w:rPr>
          <w:bdr w:val="nil"/>
          <w:lang w:eastAsia="ru-RU"/>
        </w:rPr>
      </w:pPr>
      <w:r w:rsidRPr="009A6E5B">
        <w:rPr>
          <w:bdr w:val="nil"/>
          <w:lang w:eastAsia="ru-RU"/>
        </w:rPr>
        <w:t xml:space="preserve">(S.1) Степень, в которой в странах действуют законы и нормативные акты, гарантирующие полный и равный доступ женщинам и мужчинам в возрасте 15 лет и старше в области охраны сексуального и репродуктивного здоровья, информации и образования: Раздел 1: Охрана материнства (%) SH_LGR_ACSRHES1 </w:t>
      </w:r>
    </w:p>
    <w:p w:rsidR="009A6E5B" w:rsidRPr="009A6E5B" w:rsidRDefault="009A6E5B" w:rsidP="009A6E5B">
      <w:pPr>
        <w:rPr>
          <w:bdr w:val="nil"/>
          <w:lang w:eastAsia="ru-RU"/>
        </w:rPr>
      </w:pPr>
      <w:r w:rsidRPr="009A6E5B">
        <w:rPr>
          <w:bdr w:val="nil"/>
          <w:lang w:eastAsia="ru-RU"/>
        </w:rPr>
        <w:t>(S.2)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Раздел 2: Противозачаточные средства и планирование семьи (%) SH_LGR_ACSRHES2</w:t>
      </w:r>
    </w:p>
    <w:p w:rsidR="009A6E5B" w:rsidRPr="009A6E5B" w:rsidRDefault="009A6E5B" w:rsidP="009A6E5B">
      <w:pPr>
        <w:rPr>
          <w:bdr w:val="nil"/>
          <w:lang w:eastAsia="ru-RU"/>
        </w:rPr>
      </w:pPr>
      <w:r w:rsidRPr="009A6E5B">
        <w:rPr>
          <w:bdr w:val="nil"/>
          <w:lang w:eastAsia="ru-RU"/>
        </w:rPr>
        <w:t xml:space="preserve">(S.3) Степень, в которой в странах действуют законы и правила,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Раздел 3: Сексуальное просвещение (%) SH_LGR_ACSRHES3 </w:t>
      </w:r>
    </w:p>
    <w:p w:rsidR="009A6E5B" w:rsidRPr="009A6E5B" w:rsidRDefault="009A6E5B" w:rsidP="009A6E5B">
      <w:pPr>
        <w:rPr>
          <w:bdr w:val="nil"/>
          <w:lang w:eastAsia="ru-RU"/>
        </w:rPr>
      </w:pPr>
      <w:r w:rsidRPr="009A6E5B">
        <w:rPr>
          <w:bdr w:val="nil"/>
          <w:lang w:eastAsia="ru-RU"/>
        </w:rPr>
        <w:t>(S.4)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Раздел 4: ВИЧ и ВПЧ (%) SH_LGR_ACSRHES4</w:t>
      </w:r>
    </w:p>
    <w:p w:rsidR="009A6E5B" w:rsidRPr="009A6E5B" w:rsidRDefault="009A6E5B" w:rsidP="009A6E5B">
      <w:pPr>
        <w:rPr>
          <w:bdr w:val="nil"/>
          <w:lang w:eastAsia="ru-RU"/>
        </w:rPr>
      </w:pPr>
      <w:r w:rsidRPr="009A6E5B">
        <w:rPr>
          <w:bdr w:val="nil"/>
          <w:lang w:eastAsia="ru-RU"/>
        </w:rPr>
        <w:t xml:space="preserve">(S.1.C.1) Степень, в которой страны иметь законы и нормативные акты, гарантирующие полный и равный доступ женщин и мужчин в возрасте 15 лет и старше к услугам в </w:t>
      </w:r>
      <w:r w:rsidRPr="009A6E5B">
        <w:rPr>
          <w:bdr w:val="nil"/>
          <w:lang w:eastAsia="ru-RU"/>
        </w:rPr>
        <w:lastRenderedPageBreak/>
        <w:t>области сексуального и репродуктивного здоровья, информации и образовани</w:t>
      </w:r>
      <w:r w:rsidR="005823CA">
        <w:rPr>
          <w:bdr w:val="nil"/>
          <w:lang w:eastAsia="ru-RU"/>
        </w:rPr>
        <w:t>ю</w:t>
      </w:r>
      <w:r w:rsidRPr="009A6E5B">
        <w:rPr>
          <w:bdr w:val="nil"/>
          <w:lang w:eastAsia="ru-RU"/>
        </w:rPr>
        <w:t xml:space="preserve">: Компонент 1: Охрана материнства (%) SH_LGR_ACSRHEC1 </w:t>
      </w:r>
    </w:p>
    <w:p w:rsidR="009A6E5B" w:rsidRPr="009A6E5B" w:rsidRDefault="009A6E5B" w:rsidP="009A6E5B">
      <w:pPr>
        <w:rPr>
          <w:bdr w:val="nil"/>
          <w:lang w:eastAsia="ru-RU"/>
        </w:rPr>
      </w:pPr>
      <w:r w:rsidRPr="009A6E5B">
        <w:rPr>
          <w:bdr w:val="nil"/>
          <w:lang w:eastAsia="ru-RU"/>
        </w:rPr>
        <w:t>(S.1.C.2)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2: Товары, спасающие жизни (%) SH_LGR_ACSRHEC2</w:t>
      </w:r>
    </w:p>
    <w:p w:rsidR="009A6E5B" w:rsidRPr="009A6E5B" w:rsidRDefault="009A6E5B" w:rsidP="009A6E5B">
      <w:pPr>
        <w:rPr>
          <w:bdr w:val="nil"/>
          <w:lang w:eastAsia="ru-RU"/>
        </w:rPr>
      </w:pPr>
      <w:r w:rsidRPr="009A6E5B">
        <w:rPr>
          <w:bdr w:val="nil"/>
          <w:lang w:eastAsia="ru-RU"/>
        </w:rPr>
        <w:t xml:space="preserve">(S.1.C.3)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3: Аборты SH_LGR_ACSRHEC3 </w:t>
      </w:r>
    </w:p>
    <w:p w:rsidR="009A6E5B" w:rsidRDefault="009A6E5B" w:rsidP="009A6E5B">
      <w:pPr>
        <w:rPr>
          <w:bdr w:val="nil"/>
          <w:lang w:eastAsia="ru-RU"/>
        </w:rPr>
      </w:pPr>
      <w:r w:rsidRPr="009A6E5B">
        <w:rPr>
          <w:bdr w:val="nil"/>
          <w:lang w:eastAsia="ru-RU"/>
        </w:rPr>
        <w:t>(S.1.C.4)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4: Уход после аборта (%) SH_LGR_ACSRHEC4</w:t>
      </w:r>
    </w:p>
    <w:p w:rsidR="005823CA" w:rsidRPr="005823CA" w:rsidRDefault="005823CA" w:rsidP="005823CA">
      <w:pPr>
        <w:rPr>
          <w:bdr w:val="nil"/>
          <w:lang w:eastAsia="ru-RU"/>
        </w:rPr>
      </w:pPr>
      <w:r w:rsidRPr="005823CA">
        <w:rPr>
          <w:bdr w:val="nil"/>
          <w:lang w:eastAsia="ru-RU"/>
        </w:rPr>
        <w:t>(S.2.C.5)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w:t>
      </w:r>
      <w:r>
        <w:rPr>
          <w:bdr w:val="nil"/>
          <w:lang w:eastAsia="ru-RU"/>
        </w:rPr>
        <w:t>ю</w:t>
      </w:r>
      <w:r w:rsidRPr="005823CA">
        <w:rPr>
          <w:bdr w:val="nil"/>
          <w:lang w:eastAsia="ru-RU"/>
        </w:rPr>
        <w:t>: Компонент 5: Услуги по контрацепции (%) SH_LGR_ACSRHEC5</w:t>
      </w:r>
    </w:p>
    <w:p w:rsidR="005823CA" w:rsidRPr="005823CA" w:rsidRDefault="005823CA" w:rsidP="005823CA">
      <w:pPr>
        <w:rPr>
          <w:bdr w:val="nil"/>
          <w:lang w:eastAsia="ru-RU"/>
        </w:rPr>
      </w:pPr>
      <w:r w:rsidRPr="005823CA">
        <w:rPr>
          <w:bdr w:val="nil"/>
          <w:lang w:eastAsia="ru-RU"/>
        </w:rPr>
        <w:t xml:space="preserve">(S.2.C.6) </w:t>
      </w:r>
      <w:proofErr w:type="gramStart"/>
      <w:r w:rsidRPr="005823CA">
        <w:rPr>
          <w:bdr w:val="nil"/>
          <w:lang w:eastAsia="ru-RU"/>
        </w:rPr>
        <w:t>Степень</w:t>
      </w:r>
      <w:proofErr w:type="gramEnd"/>
      <w:r w:rsidRPr="005823CA">
        <w:rPr>
          <w:bdr w:val="nil"/>
          <w:lang w:eastAsia="ru-RU"/>
        </w:rPr>
        <w:t xml:space="preserve"> в каких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6: Согласие на контрацепцию (%) SH_LGR_ACSRHEC6 </w:t>
      </w:r>
    </w:p>
    <w:p w:rsidR="005823CA" w:rsidRPr="005823CA" w:rsidRDefault="005823CA" w:rsidP="005823CA">
      <w:pPr>
        <w:rPr>
          <w:bdr w:val="nil"/>
          <w:lang w:eastAsia="ru-RU"/>
        </w:rPr>
      </w:pPr>
      <w:r w:rsidRPr="005823CA">
        <w:rPr>
          <w:bdr w:val="nil"/>
          <w:lang w:eastAsia="ru-RU"/>
        </w:rPr>
        <w:t>(S.2.C.7)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7: Экстренная контрацепция (%) SH_LGR_ACSRHEC7</w:t>
      </w:r>
    </w:p>
    <w:p w:rsidR="005823CA" w:rsidRPr="005823CA" w:rsidRDefault="005823CA" w:rsidP="005823CA">
      <w:pPr>
        <w:rPr>
          <w:bdr w:val="nil"/>
          <w:lang w:eastAsia="ru-RU"/>
        </w:rPr>
      </w:pPr>
      <w:r w:rsidRPr="005823CA">
        <w:rPr>
          <w:bdr w:val="nil"/>
          <w:lang w:eastAsia="ru-RU"/>
        </w:rPr>
        <w:t xml:space="preserve">(S.3.C.8) </w:t>
      </w:r>
      <w:proofErr w:type="gramStart"/>
      <w:r w:rsidRPr="005823CA">
        <w:rPr>
          <w:bdr w:val="nil"/>
          <w:lang w:eastAsia="ru-RU"/>
        </w:rPr>
        <w:t>Степень</w:t>
      </w:r>
      <w:proofErr w:type="gramEnd"/>
      <w:r w:rsidRPr="005823CA">
        <w:rPr>
          <w:bdr w:val="nil"/>
          <w:lang w:eastAsia="ru-RU"/>
        </w:rPr>
        <w:t xml:space="preserve"> в каких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8: Законы о программах сексуального образования (%) SH_LGR_ACSRHEC8 </w:t>
      </w:r>
    </w:p>
    <w:p w:rsidR="00C7506A" w:rsidRDefault="005823CA" w:rsidP="005823CA">
      <w:pPr>
        <w:rPr>
          <w:bdr w:val="nil"/>
          <w:lang w:eastAsia="ru-RU"/>
        </w:rPr>
      </w:pPr>
      <w:r w:rsidRPr="005823CA">
        <w:rPr>
          <w:bdr w:val="nil"/>
          <w:lang w:eastAsia="ru-RU"/>
        </w:rPr>
        <w:t xml:space="preserve">(S.3.C.9)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9: Темы учебной программы сексуального образования (%) SH_LGR_ACSRHEC9 </w:t>
      </w:r>
    </w:p>
    <w:p w:rsidR="005823CA" w:rsidRPr="005823CA" w:rsidRDefault="005823CA" w:rsidP="005823CA">
      <w:pPr>
        <w:rPr>
          <w:bdr w:val="nil"/>
          <w:lang w:eastAsia="ru-RU"/>
        </w:rPr>
      </w:pPr>
      <w:r w:rsidRPr="005823CA">
        <w:rPr>
          <w:bdr w:val="nil"/>
          <w:lang w:eastAsia="ru-RU"/>
        </w:rPr>
        <w:t>(S.4.C.10)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w:t>
      </w:r>
      <w:r w:rsidR="00C7506A">
        <w:rPr>
          <w:bdr w:val="nil"/>
          <w:lang w:eastAsia="ru-RU"/>
        </w:rPr>
        <w:t>ю</w:t>
      </w:r>
      <w:r w:rsidRPr="005823CA">
        <w:rPr>
          <w:bdr w:val="nil"/>
          <w:lang w:eastAsia="ru-RU"/>
        </w:rPr>
        <w:t xml:space="preserve">: </w:t>
      </w:r>
      <w:r w:rsidRPr="005823CA">
        <w:rPr>
          <w:bdr w:val="nil"/>
          <w:lang w:eastAsia="ru-RU"/>
        </w:rPr>
        <w:lastRenderedPageBreak/>
        <w:t xml:space="preserve">Компонент 10: Услуги по консультированию и тестированию на ВИЧ SH_LGR_ACSRHEC10 </w:t>
      </w:r>
    </w:p>
    <w:p w:rsidR="005823CA" w:rsidRPr="005823CA" w:rsidRDefault="005823CA" w:rsidP="005823CA">
      <w:pPr>
        <w:rPr>
          <w:bdr w:val="nil"/>
          <w:lang w:eastAsia="ru-RU"/>
        </w:rPr>
      </w:pPr>
      <w:r w:rsidRPr="005823CA">
        <w:rPr>
          <w:bdr w:val="nil"/>
          <w:lang w:eastAsia="ru-RU"/>
        </w:rPr>
        <w:t>(S.4.C.11)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w:t>
      </w:r>
      <w:r w:rsidR="00C7506A">
        <w:rPr>
          <w:bdr w:val="nil"/>
          <w:lang w:eastAsia="ru-RU"/>
        </w:rPr>
        <w:t>ю</w:t>
      </w:r>
      <w:r w:rsidRPr="005823CA">
        <w:rPr>
          <w:bdr w:val="nil"/>
          <w:lang w:eastAsia="ru-RU"/>
        </w:rPr>
        <w:t>: Компонент 11: Услуги по лечению и уходу в связи с ВИЧ (%) SH_LGR_ACSRHEC11</w:t>
      </w:r>
    </w:p>
    <w:p w:rsidR="005823CA" w:rsidRPr="005823CA" w:rsidRDefault="005823CA" w:rsidP="005823CA">
      <w:pPr>
        <w:rPr>
          <w:bdr w:val="nil"/>
          <w:lang w:eastAsia="ru-RU"/>
        </w:rPr>
      </w:pPr>
      <w:r w:rsidRPr="005823CA">
        <w:rPr>
          <w:bdr w:val="nil"/>
          <w:lang w:eastAsia="ru-RU"/>
        </w:rPr>
        <w:t xml:space="preserve">(S.4.C.12)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12: Конфиденциальность при ВИЧ (%) SH_LGR_ACSRHEC12 </w:t>
      </w:r>
    </w:p>
    <w:p w:rsidR="005823CA" w:rsidRPr="00BD29EC" w:rsidRDefault="005823CA" w:rsidP="009A6E5B">
      <w:pPr>
        <w:rPr>
          <w:bdr w:val="nil"/>
          <w:lang w:eastAsia="ru-RU"/>
        </w:rPr>
      </w:pPr>
      <w:r w:rsidRPr="005823CA">
        <w:rPr>
          <w:bdr w:val="nil"/>
          <w:lang w:eastAsia="ru-RU"/>
        </w:rPr>
        <w:t>(S.4.C.13) Степень, в которой в странах действуют законы и нормативные акты, гарантирующие полный и равный доступ женщин и мужчин в возрасте 15 лет и старше к услугам в области сексуального и репродуктивного здоровья, информации и образованию: Компонент 13: Вакцина против ВПЧ (%) SH_LGR_ACSRHEC13</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7506A" w:rsidRPr="00BD29EC" w:rsidRDefault="00C7506A" w:rsidP="00C7506A">
      <w:pPr>
        <w:rPr>
          <w:rFonts w:eastAsia="Arial Unicode MS" w:cs="Times New Roman"/>
          <w:b/>
          <w:szCs w:val="24"/>
          <w:bdr w:val="nil"/>
          <w:lang w:eastAsia="ru-RU"/>
        </w:rPr>
      </w:pPr>
      <w:r>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C7506A" w:rsidRPr="00C7506A" w:rsidRDefault="00C7506A" w:rsidP="00C7506A">
      <w:pPr>
        <w:rPr>
          <w:lang w:val="en-US"/>
        </w:rPr>
      </w:pPr>
      <w:r w:rsidRPr="00C7506A">
        <w:rPr>
          <w:lang w:val="en-US"/>
        </w:rPr>
        <w:t xml:space="preserve">3.1.1: </w:t>
      </w:r>
      <w:r w:rsidRPr="00C7506A">
        <w:t>Коэффициент материнской смертности</w:t>
      </w:r>
      <w:r>
        <w:t>.</w:t>
      </w:r>
    </w:p>
    <w:p w:rsidR="00C7506A" w:rsidRPr="00C7506A" w:rsidRDefault="00C7506A" w:rsidP="00C7506A">
      <w:r w:rsidRPr="00C7506A">
        <w:t xml:space="preserve">3.1.2: </w:t>
      </w:r>
      <w:r w:rsidRPr="00C7506A">
        <w:t>Доля родов, принятых квалифицированными медицинскими работниками</w:t>
      </w:r>
      <w:r>
        <w:t>.</w:t>
      </w:r>
    </w:p>
    <w:p w:rsidR="00C7506A" w:rsidRPr="00C7506A" w:rsidRDefault="00C7506A" w:rsidP="00C7506A">
      <w:r w:rsidRPr="00C7506A">
        <w:t xml:space="preserve">3.3.1: </w:t>
      </w:r>
      <w:r w:rsidRPr="00C7506A">
        <w:t>Число новых заражений ВИЧ на 1000 неинфицированных в разбивке по полу, возрасту и принадлежности к основным группам населения</w:t>
      </w:r>
      <w:r>
        <w:t>.</w:t>
      </w:r>
    </w:p>
    <w:p w:rsidR="00C7506A" w:rsidRPr="00C7506A" w:rsidRDefault="00C7506A" w:rsidP="00C7506A">
      <w:r w:rsidRPr="00C7506A">
        <w:t xml:space="preserve">3.7.1: </w:t>
      </w:r>
      <w:r w:rsidRPr="00C7506A">
        <w:t>Доля женщин репродуктивного возраста (от 15 до 49 лет), чьи потребности по планированию семьи удовлетворяются современными методами</w:t>
      </w:r>
      <w:r>
        <w:t>.</w:t>
      </w:r>
    </w:p>
    <w:p w:rsidR="00C7506A" w:rsidRPr="00C7506A" w:rsidRDefault="00C7506A" w:rsidP="00C7506A">
      <w:r w:rsidRPr="00C7506A">
        <w:t xml:space="preserve">3.7.2: </w:t>
      </w:r>
      <w:r w:rsidRPr="00C7506A">
        <w:t>Рождаемость среди подростков (в возрасте от 10 до 14 лет и в возрасте от 15 до 19 лет) на 1000 женщин в данной возрастной группе</w:t>
      </w:r>
      <w:r>
        <w:t>.</w:t>
      </w:r>
    </w:p>
    <w:p w:rsidR="00C7506A" w:rsidRPr="00C7506A" w:rsidRDefault="00C7506A" w:rsidP="00C7506A">
      <w:r w:rsidRPr="00C7506A">
        <w:t xml:space="preserve">5.2.1: </w:t>
      </w:r>
      <w:proofErr w:type="gramStart"/>
      <w:r w:rsidRPr="00C7506A">
        <w:t>Доля когда-либо имевших партнера женщин и девочек в возрасте от 15 лет, подвергавшихся физическому, сексуальному или психологическому насилию со стороны нынешнего или бывшего интимного партнера в последние 12 месяцев, в разбивке по формам насилия и возрасту</w:t>
      </w:r>
      <w:r>
        <w:t>.</w:t>
      </w:r>
      <w:proofErr w:type="gramEnd"/>
    </w:p>
    <w:p w:rsidR="00C7506A" w:rsidRDefault="00C7506A" w:rsidP="00C7506A">
      <w:r w:rsidRPr="00C7506A">
        <w:t xml:space="preserve">5.6.1: </w:t>
      </w:r>
      <w:r w:rsidRPr="00C7506A">
        <w:t>Доля женщин в возрасте от 15 до 49 лет, самостоятельно принимающих обдуманные решения о сексуальных отношениях, применении противозачаточных средств и обращении за услугами по охране репродуктивного здоровья</w:t>
      </w:r>
      <w:r>
        <w:t>.</w:t>
      </w:r>
    </w:p>
    <w:p w:rsidR="00A91FDE" w:rsidRPr="00BD29EC" w:rsidRDefault="00E33CA8" w:rsidP="00C7506A">
      <w:pPr>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A64941" w:rsidP="0075371E">
      <w:pPr>
        <w:pBdr>
          <w:top w:val="nil"/>
          <w:left w:val="nil"/>
          <w:bottom w:val="nil"/>
          <w:right w:val="nil"/>
          <w:between w:val="nil"/>
          <w:bar w:val="nil"/>
        </w:pBdr>
        <w:spacing w:after="0"/>
        <w:rPr>
          <w:rFonts w:cs="Times New Roman"/>
          <w:szCs w:val="24"/>
        </w:rPr>
      </w:pPr>
      <w:r w:rsidRPr="00A64941">
        <w:rPr>
          <w:rFonts w:cs="Times New Roman"/>
          <w:szCs w:val="24"/>
        </w:rPr>
        <w:t>Фонд Организации Объединенных Наций в области народонаселения (ЮНФПА)</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64941" w:rsidRPr="00BD29EC" w:rsidRDefault="00A64941" w:rsidP="00A64941">
      <w:r w:rsidRPr="00A64941">
        <w:lastRenderedPageBreak/>
        <w:t>Фонд Организации Объединенных Наций в области народонаселения (ЮНФПА)</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64941" w:rsidRPr="001E4431" w:rsidRDefault="00A64941" w:rsidP="00A64941">
      <w:pPr>
        <w:spacing w:line="360" w:lineRule="auto"/>
        <w:rPr>
          <w:rFonts w:cs="Times New Roman"/>
          <w:szCs w:val="24"/>
        </w:rPr>
      </w:pPr>
      <w:r w:rsidRPr="001E4431">
        <w:rPr>
          <w:rFonts w:cs="Times New Roman"/>
          <w:szCs w:val="24"/>
        </w:rPr>
        <w:t>Показатель 5.6.2 целей в области устойчивого развития (ЦУР) направлен на измерение того, в какой степени страны имеют национальные законы и положения, гарантирующие полный и равный доступ женщин и мужчин в возрасте 15 лет и старше к услугам, информации и образованию в области сексуального и репродуктивного здоровья.</w:t>
      </w:r>
    </w:p>
    <w:p w:rsidR="00A64941" w:rsidRPr="00A64941" w:rsidRDefault="00A64941" w:rsidP="00A64941">
      <w:pPr>
        <w:spacing w:line="360" w:lineRule="auto"/>
        <w:rPr>
          <w:rFonts w:cs="Times New Roman"/>
          <w:szCs w:val="24"/>
        </w:rPr>
      </w:pPr>
      <w:r w:rsidRPr="001E4431">
        <w:rPr>
          <w:rFonts w:cs="Times New Roman"/>
          <w:szCs w:val="24"/>
        </w:rPr>
        <w:t>Показатель представляет собой процентный показатель</w:t>
      </w:r>
      <w:proofErr w:type="gramStart"/>
      <w:r w:rsidRPr="001E4431">
        <w:rPr>
          <w:rFonts w:cs="Times New Roman"/>
          <w:szCs w:val="24"/>
        </w:rPr>
        <w:t xml:space="preserve"> (%) </w:t>
      </w:r>
      <w:proofErr w:type="gramEnd"/>
      <w:r w:rsidRPr="001E4431">
        <w:rPr>
          <w:rFonts w:cs="Times New Roman"/>
          <w:szCs w:val="24"/>
        </w:rPr>
        <w:t xml:space="preserve">от 0 до 100 (национальные законы и нормативные акты существуют для обеспечения полного и равного доступа), указывающий на статус страны и прогресс в существовании таких национальных законов и нормативных актов.  Показатель 5.6.2 измеряет только </w:t>
      </w:r>
      <w:r w:rsidRPr="001E4431">
        <w:rPr>
          <w:rFonts w:cs="Times New Roman"/>
          <w:i/>
          <w:szCs w:val="24"/>
        </w:rPr>
        <w:t>наличие</w:t>
      </w:r>
      <w:r w:rsidRPr="001E4431">
        <w:rPr>
          <w:rFonts w:cs="Times New Roman"/>
          <w:szCs w:val="24"/>
        </w:rPr>
        <w:t xml:space="preserve"> законов и нормативных актов; он не измеряет их </w:t>
      </w:r>
      <w:r w:rsidRPr="001E4431">
        <w:rPr>
          <w:rFonts w:cs="Times New Roman"/>
          <w:i/>
          <w:szCs w:val="24"/>
        </w:rPr>
        <w:t>осуществление</w:t>
      </w:r>
      <w:r w:rsidRPr="001E4431">
        <w:rPr>
          <w:rFonts w:cs="Times New Roman"/>
          <w:szCs w:val="24"/>
        </w:rPr>
        <w:t>.</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A64941" w:rsidRPr="001E4431" w:rsidRDefault="00A64941" w:rsidP="00A64941">
      <w:pPr>
        <w:spacing w:line="360" w:lineRule="auto"/>
        <w:rPr>
          <w:rFonts w:cs="Times New Roman"/>
          <w:szCs w:val="24"/>
        </w:rPr>
      </w:pPr>
      <w:r w:rsidRPr="001E4431">
        <w:rPr>
          <w:rFonts w:cs="Times New Roman"/>
          <w:szCs w:val="24"/>
        </w:rPr>
        <w:t>Законы: законы и уставы – это официальные правила поведения или действия, предписанные или официально признанные обязательными или применяемые контролирующим органом, который регулирует поведение субъектов (включая людей, корпорации, ассоциации, правительственные учреждения).  Они принимаются или ратифицируются законодательной ветвью власти и могут официально признаваться в Конституции или толковаться судами.  Законы, регулирующие сексуальное и репродуктивное здоровье, необязательно содержатся в одном законе.</w:t>
      </w:r>
    </w:p>
    <w:p w:rsidR="00A64941" w:rsidRPr="001E4431" w:rsidRDefault="00A64941" w:rsidP="00A64941">
      <w:pPr>
        <w:spacing w:line="360" w:lineRule="auto"/>
        <w:rPr>
          <w:rFonts w:cs="Times New Roman"/>
          <w:szCs w:val="24"/>
        </w:rPr>
      </w:pPr>
      <w:r w:rsidRPr="001E4431">
        <w:rPr>
          <w:rFonts w:cs="Times New Roman"/>
          <w:szCs w:val="24"/>
        </w:rPr>
        <w:t>Правила: считаются исполнительными, министерскими или иными административными распоряжениями или указами. На муниципальном уровне нормативные акты иногда называют постановлениями.  Правила и предписания государственных органов имеют силу закона, хотя и ограниченную по уровню полномочий.  В соответствии с этой методологией рассматриваются только правила, применяемые на национальном уровне.</w:t>
      </w:r>
    </w:p>
    <w:p w:rsidR="00A64941" w:rsidRPr="001E4431" w:rsidRDefault="00A64941" w:rsidP="00A64941">
      <w:pPr>
        <w:spacing w:line="360" w:lineRule="auto"/>
        <w:rPr>
          <w:rFonts w:cs="Times New Roman"/>
          <w:szCs w:val="24"/>
        </w:rPr>
      </w:pPr>
      <w:r w:rsidRPr="001E4431">
        <w:rPr>
          <w:rFonts w:cs="Times New Roman"/>
          <w:szCs w:val="24"/>
        </w:rPr>
        <w:t xml:space="preserve">Ограничения: многие законы и нормативные акты содержат ограничения в сфере их применения.  Такие ограничения, которые включают, хотя и не ограничиваются ими, ограничения по возрасту, полу, семейному положению и требованию получения разрешения для третьей стороны, препятствуют </w:t>
      </w:r>
      <w:r w:rsidRPr="001E4431">
        <w:rPr>
          <w:rFonts w:cs="Times New Roman"/>
          <w:i/>
          <w:szCs w:val="24"/>
        </w:rPr>
        <w:t>полному и равному доступу к услугам, информации и образованию в области сексуального и репродуктивного здоровья.</w:t>
      </w:r>
      <w:r w:rsidRPr="001E4431">
        <w:rPr>
          <w:rFonts w:cs="Times New Roman"/>
          <w:szCs w:val="24"/>
        </w:rPr>
        <w:t xml:space="preserve"> </w:t>
      </w:r>
    </w:p>
    <w:p w:rsidR="00A64941" w:rsidRPr="001E4431" w:rsidRDefault="00A64941" w:rsidP="00A64941">
      <w:pPr>
        <w:spacing w:line="360" w:lineRule="auto"/>
        <w:rPr>
          <w:rFonts w:cs="Times New Roman"/>
          <w:szCs w:val="24"/>
        </w:rPr>
      </w:pPr>
      <w:r w:rsidRPr="001E4431">
        <w:rPr>
          <w:rFonts w:cs="Times New Roman"/>
          <w:szCs w:val="24"/>
        </w:rPr>
        <w:lastRenderedPageBreak/>
        <w:t xml:space="preserve">Множество правовых систем: определяются как правовые системы, в которых сосуществуют несколько источников права.  Такие правовые системы, как правило, развивались в течение определенного периода времени в результате колониального наследования, религии и других социально-культурных факторов. Примеры источников права, которые могут сосуществовать в рамках множественной правовой системы, включают: английское общее право, французское гражданское или иное право, статутное право, обычное и религиозное право.  Сосуществование многочисленных источников права может привести к возникновению фундаментальных противоречий в правовой системе, что создает препятствия </w:t>
      </w:r>
      <w:r w:rsidRPr="001E4431">
        <w:rPr>
          <w:rFonts w:cs="Times New Roman"/>
          <w:i/>
          <w:szCs w:val="24"/>
        </w:rPr>
        <w:t>для полного и равного доступа к услугам в области сексуального и репродуктивного здоровья, информации и образования</w:t>
      </w:r>
      <w:r w:rsidRPr="001E4431">
        <w:rPr>
          <w:rFonts w:cs="Times New Roman"/>
          <w:szCs w:val="24"/>
        </w:rPr>
        <w:t>.</w:t>
      </w:r>
    </w:p>
    <w:p w:rsidR="00A64941" w:rsidRPr="00A64941" w:rsidRDefault="00A64941" w:rsidP="00A64941">
      <w:pPr>
        <w:spacing w:line="360" w:lineRule="auto"/>
        <w:rPr>
          <w:rFonts w:cs="Times New Roman"/>
          <w:szCs w:val="24"/>
        </w:rPr>
      </w:pPr>
      <w:r w:rsidRPr="001E4431">
        <w:rPr>
          <w:rFonts w:cs="Times New Roman"/>
          <w:szCs w:val="24"/>
        </w:rPr>
        <w:t>«Гарантия» (доступ): для этой методологии «гарантия» понимается в отношении закона или правила, которые обеспечивают определенный результат или условие. В методологии признается, что законы могут это гарантировать только «теоретически»; чтобы результаты были полностью реализованы на практике, необходимо будет предпринять дополнительные шаги, включая политические и бюджетные меры.</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A64941"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A64941" w:rsidP="0075371E">
      <w:pPr>
        <w:pStyle w:val="MText"/>
        <w:rPr>
          <w:color w:val="auto"/>
          <w:sz w:val="24"/>
          <w:szCs w:val="24"/>
          <w:lang w:val="ru-RU"/>
        </w:rPr>
      </w:pPr>
      <w:r w:rsidRPr="00A64941">
        <w:rPr>
          <w:color w:val="auto"/>
          <w:sz w:val="24"/>
          <w:szCs w:val="24"/>
          <w:lang w:val="ru-RU"/>
        </w:rPr>
        <w:t>Принятая 179 правительствами Программа действий (ПД) Международной конференции по народонаселению и развитию (МКНР) 1994 года ознаменовала фундаментальный сдвиг в глобальном мышлении по вопросам народонаселения и развития. Акцент сместился с достижения конкретных демографических целей на удовлетворение индивидуальных потребностей, ст</w:t>
      </w:r>
      <w:r w:rsidR="00064F33">
        <w:rPr>
          <w:color w:val="auto"/>
          <w:sz w:val="24"/>
          <w:szCs w:val="24"/>
          <w:lang w:val="ru-RU"/>
        </w:rPr>
        <w:t>ремлений и прав женщин и мужчин</w:t>
      </w:r>
      <w:r w:rsidRPr="00A64941">
        <w:rPr>
          <w:color w:val="auto"/>
          <w:sz w:val="24"/>
          <w:szCs w:val="24"/>
          <w:lang w:val="ru-RU"/>
        </w:rPr>
        <w:t xml:space="preserve">. В ПД утверждалось, что важен каждый, что истинным фокусом политики в области развития должно быть улучшение жизни отдельных людей, а мерой прогресса должна быть степень, в которой мы устраняем неравенство. Для получения дополнительной информации о Программе действий МКНР, пожалуйста, </w:t>
      </w:r>
      <w:r w:rsidR="00064F33">
        <w:rPr>
          <w:color w:val="auto"/>
          <w:sz w:val="24"/>
          <w:szCs w:val="24"/>
          <w:lang w:val="ru-RU"/>
        </w:rPr>
        <w:t>см.</w:t>
      </w:r>
      <w:r w:rsidRPr="00A64941">
        <w:rPr>
          <w:color w:val="auto"/>
          <w:sz w:val="24"/>
          <w:szCs w:val="24"/>
          <w:lang w:val="ru-RU"/>
        </w:rPr>
        <w:t xml:space="preserve"> </w:t>
      </w:r>
      <w:hyperlink r:id="rId9" w:history="1">
        <w:r w:rsidRPr="00064F33">
          <w:rPr>
            <w:rStyle w:val="ac"/>
            <w:sz w:val="24"/>
            <w:szCs w:val="24"/>
            <w:lang w:val="ru-RU"/>
          </w:rPr>
          <w:t>https://www.unfpa.org/sites/default/files/pub-pdf/programme_of_action_Web%20ENGLISH.pdf</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707F56" w:rsidRPr="001E4431" w:rsidRDefault="00707F56" w:rsidP="00707F56">
      <w:r w:rsidRPr="001E4431">
        <w:t>Показатель 5.6.2 рассчитывается на основе официальных правительственных ответов, собранных в результате опроса</w:t>
      </w:r>
      <w:r w:rsidRPr="001E4431">
        <w:rPr>
          <w:color w:val="000000"/>
          <w:shd w:val="clear" w:color="auto" w:fill="FFFFFF"/>
        </w:rPr>
        <w:t xml:space="preserve"> правительств Организации Объединенных Наций по вопросам народонаселения и развития</w:t>
      </w:r>
      <w:r w:rsidRPr="001E4431">
        <w:t>. Опрос, предусмотренный Генеральной Ассамблеей в ее резолюции 1838 (XVII) от 18 декабря 1962 года, проводится Генеральным секретарем с 1963 года. Все вопросы, необходимые для показателя 5.6.2, включены в Модуль II Опроса по рождаемости, планированию семьи и репродуктивному здоровью.</w:t>
      </w:r>
    </w:p>
    <w:p w:rsidR="00707F56" w:rsidRPr="00BD29EC" w:rsidRDefault="00707F56" w:rsidP="0075371E">
      <w:pPr>
        <w:pStyle w:val="MHeader2"/>
        <w:rPr>
          <w:color w:val="auto"/>
          <w:sz w:val="24"/>
          <w:szCs w:val="24"/>
          <w:lang w:val="ru-RU"/>
        </w:rPr>
      </w:pP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707F56" w:rsidRPr="00BD29EC" w:rsidRDefault="00707F56" w:rsidP="00707F56">
      <w:r>
        <w:t>Опрос</w:t>
      </w:r>
      <w:r w:rsidRPr="00707F56">
        <w:t xml:space="preserve"> направляется Постоянным представительствам Отделом народонаселения ООН (ДЭСВ). Затем ЮНФПА взаимодействует со </w:t>
      </w:r>
      <w:proofErr w:type="spellStart"/>
      <w:r w:rsidRPr="00707F56">
        <w:t>страновыми</w:t>
      </w:r>
      <w:proofErr w:type="spellEnd"/>
      <w:r w:rsidRPr="00707F56">
        <w:t xml:space="preserve"> отделениями ЮНФПА в целях содействия представлению данных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07F56" w:rsidRPr="00BD29EC" w:rsidRDefault="00707F56" w:rsidP="00707F56">
      <w:r w:rsidRPr="00707F56">
        <w:t>Исходные данные были собраны в 2019 году в ходе 12-го опроса, и был проведен второй раунд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A51C4F" w:rsidRPr="00BD29EC" w:rsidRDefault="00A51C4F" w:rsidP="00A51C4F">
      <w:r>
        <w:t>Каждые 4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A51C4F" w:rsidRPr="00A71EC6" w:rsidRDefault="00A51C4F" w:rsidP="00A51C4F">
      <w:r w:rsidRPr="00A51C4F">
        <w:t>Данные будут предоставлены соответствующими правительственными министерствами, ведомствами и агентствами.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51C4F" w:rsidRPr="00BD29EC" w:rsidRDefault="00A51C4F" w:rsidP="00A51C4F">
      <w:r w:rsidRPr="00A51C4F">
        <w:t>Фонд Организации Объединенных Наций в области народонаселения (ЮНФПА) в сотрудничестве с Отделом народонаселения 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A51C4F" w:rsidRPr="00A51C4F" w:rsidRDefault="00A51C4F" w:rsidP="00A51C4F">
      <w:r w:rsidRPr="00A51C4F">
        <w:t xml:space="preserve">Мандат ЮНФПА, установленный Экономическим и Социальным Советом Организации Объединенных Наций (ЭКОСОС) в 1973 году и подтвержденный в 1993 году, заключается в (1) наращивании знаний и потенциала для удовлетворения потребностей в области народонаселения и планирования семьи; (2) повышении </w:t>
      </w:r>
      <w:proofErr w:type="gramStart"/>
      <w:r w:rsidRPr="00A51C4F">
        <w:t>осведомленности</w:t>
      </w:r>
      <w:proofErr w:type="gramEnd"/>
      <w:r w:rsidRPr="00A51C4F">
        <w:t xml:space="preserve"> как в развитых, так и в развивающихся странах о про</w:t>
      </w:r>
      <w:r w:rsidR="00FD0A5E">
        <w:t>блемах в части народонаселения</w:t>
      </w:r>
      <w:r w:rsidRPr="00A51C4F">
        <w:t xml:space="preserve"> и </w:t>
      </w:r>
      <w:r w:rsidR="00FD0A5E">
        <w:t>о возможных стратегиях</w:t>
      </w:r>
      <w:r w:rsidRPr="00A51C4F">
        <w:t xml:space="preserve"> решения этих проблем; </w:t>
      </w:r>
      <w:proofErr w:type="gramStart"/>
      <w:r w:rsidRPr="00A51C4F">
        <w:t>(3) оказ</w:t>
      </w:r>
      <w:r w:rsidR="00D254A4">
        <w:t>ании помощи</w:t>
      </w:r>
      <w:r w:rsidRPr="00A51C4F">
        <w:t xml:space="preserve"> в решении их демографических проблем в формах и средствами, наиболее подходящими для потребностей отдельных стран; (4) взят</w:t>
      </w:r>
      <w:r w:rsidR="00D254A4">
        <w:t>ии</w:t>
      </w:r>
      <w:r w:rsidRPr="00A51C4F">
        <w:t xml:space="preserve"> на себя ведущ</w:t>
      </w:r>
      <w:r w:rsidR="00D254A4">
        <w:t>ей</w:t>
      </w:r>
      <w:r w:rsidRPr="00A51C4F">
        <w:t xml:space="preserve"> рол</w:t>
      </w:r>
      <w:r w:rsidR="00D254A4">
        <w:t>и</w:t>
      </w:r>
      <w:r w:rsidRPr="00A51C4F">
        <w:t xml:space="preserve"> в системе Организации Объединенных Наций в продвижении программ в области народонаселения и координ</w:t>
      </w:r>
      <w:r w:rsidR="00D254A4">
        <w:t>ации</w:t>
      </w:r>
      <w:r w:rsidRPr="00A51C4F">
        <w:t xml:space="preserve"> проект</w:t>
      </w:r>
      <w:r w:rsidR="00D254A4">
        <w:t>ов</w:t>
      </w:r>
      <w:r w:rsidRPr="00A51C4F">
        <w:t>, поддерживаемы</w:t>
      </w:r>
      <w:r w:rsidR="00D254A4">
        <w:t>х</w:t>
      </w:r>
      <w:r w:rsidRPr="00A51C4F">
        <w:t xml:space="preserve"> Фондом.</w:t>
      </w:r>
      <w:proofErr w:type="gramEnd"/>
    </w:p>
    <w:p w:rsidR="00A51C4F" w:rsidRDefault="00A51C4F" w:rsidP="00A51C4F">
      <w:r w:rsidRPr="00A51C4F">
        <w:t xml:space="preserve">На Международной конференции по народонаселению и развитию (МКНР), состоявшейся в Каире в 1994 году, эти общие идеи были разработаны с целью </w:t>
      </w:r>
      <w:proofErr w:type="gramStart"/>
      <w:r w:rsidRPr="00A51C4F">
        <w:t>подчеркнуть</w:t>
      </w:r>
      <w:proofErr w:type="gramEnd"/>
      <w:r w:rsidRPr="00A51C4F">
        <w:t xml:space="preserve"> гендерные и правозащитные аспекты народонаселения. ЮНФПА была отведена ведущая роль в оказании помощи странам в осуществлении Программы действий (ПД), принятой правительствами 179 стран на Каирской конференции. В 2010 году Генеральная Ассамблея Организации Объединенных Наций продлила МКНР на период после 2014 года, который был первоначальной датой окончания 20-летней Программы действий.</w:t>
      </w:r>
      <w:r w:rsidRPr="00A51C4F">
        <w:t xml:space="preserve"> </w:t>
      </w:r>
    </w:p>
    <w:p w:rsidR="002E15F9" w:rsidRPr="00BD29EC" w:rsidRDefault="002E15F9" w:rsidP="00A51C4F">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D254A4" w:rsidRPr="00D254A4" w:rsidRDefault="00D254A4" w:rsidP="00D254A4">
      <w:pPr>
        <w:pStyle w:val="MText"/>
        <w:rPr>
          <w:color w:val="auto"/>
          <w:sz w:val="24"/>
          <w:szCs w:val="24"/>
          <w:lang w:val="ru-RU"/>
        </w:rPr>
      </w:pPr>
      <w:r w:rsidRPr="00D254A4">
        <w:rPr>
          <w:color w:val="auto"/>
          <w:sz w:val="24"/>
          <w:szCs w:val="24"/>
          <w:lang w:val="ru-RU"/>
        </w:rPr>
        <w:lastRenderedPageBreak/>
        <w:t>Показатель 5.6.2 призван обеспечить первую всеобъемлющую глобальную оценку нормативно-правовой базы в соответствии с Программой действий (ПД) Международной конференции по народонаселению и развитию (МКНР) 1994 года</w:t>
      </w:r>
      <w:r w:rsidR="00D41E33">
        <w:rPr>
          <w:rStyle w:val="a6"/>
          <w:color w:val="auto"/>
          <w:sz w:val="24"/>
          <w:szCs w:val="24"/>
          <w:lang w:val="ru-RU"/>
        </w:rPr>
        <w:footnoteReference w:id="1"/>
      </w:r>
      <w:r w:rsidRPr="00D254A4">
        <w:rPr>
          <w:color w:val="auto"/>
          <w:sz w:val="24"/>
          <w:szCs w:val="24"/>
          <w:lang w:val="ru-RU"/>
        </w:rPr>
        <w:t>, Пекинской платформой действий</w:t>
      </w:r>
      <w:proofErr w:type="gramStart"/>
      <w:r w:rsidRPr="00D254A4">
        <w:rPr>
          <w:color w:val="auto"/>
          <w:sz w:val="24"/>
          <w:szCs w:val="24"/>
          <w:lang w:val="ru-RU"/>
        </w:rPr>
        <w:t>2</w:t>
      </w:r>
      <w:proofErr w:type="gramEnd"/>
      <w:r w:rsidR="00D41E33">
        <w:rPr>
          <w:rStyle w:val="a6"/>
          <w:color w:val="auto"/>
          <w:sz w:val="24"/>
          <w:szCs w:val="24"/>
          <w:lang w:val="ru-RU"/>
        </w:rPr>
        <w:footnoteReference w:id="2"/>
      </w:r>
      <w:r w:rsidRPr="00D254A4">
        <w:rPr>
          <w:color w:val="auto"/>
          <w:sz w:val="24"/>
          <w:szCs w:val="24"/>
          <w:lang w:val="ru-RU"/>
        </w:rPr>
        <w:t xml:space="preserve"> и международными стандартами в области прав человека</w:t>
      </w:r>
      <w:r w:rsidR="00D41E33">
        <w:rPr>
          <w:rStyle w:val="a6"/>
          <w:color w:val="auto"/>
          <w:sz w:val="24"/>
          <w:szCs w:val="24"/>
          <w:lang w:val="ru-RU"/>
        </w:rPr>
        <w:footnoteReference w:id="3"/>
      </w:r>
      <w:r w:rsidRPr="00D254A4">
        <w:rPr>
          <w:color w:val="auto"/>
          <w:sz w:val="24"/>
          <w:szCs w:val="24"/>
          <w:lang w:val="ru-RU"/>
        </w:rPr>
        <w:t xml:space="preserve">. Показатель измеряет правовую и нормативную среду по четырем тематическим разделам, определенным как ключевые параметры охраны сексуального и репродуктивного здоровья, информации и образования в соответствии с этими международными </w:t>
      </w:r>
      <w:proofErr w:type="spellStart"/>
      <w:r w:rsidRPr="00D254A4">
        <w:rPr>
          <w:color w:val="auto"/>
          <w:sz w:val="24"/>
          <w:szCs w:val="24"/>
          <w:lang w:val="ru-RU"/>
        </w:rPr>
        <w:t>консенсусными</w:t>
      </w:r>
      <w:proofErr w:type="spellEnd"/>
      <w:r w:rsidRPr="00D254A4">
        <w:rPr>
          <w:color w:val="auto"/>
          <w:sz w:val="24"/>
          <w:szCs w:val="24"/>
          <w:lang w:val="ru-RU"/>
        </w:rPr>
        <w:t xml:space="preserve"> документами и стандартами в области прав человека: </w:t>
      </w:r>
    </w:p>
    <w:p w:rsidR="00D254A4" w:rsidRPr="00D254A4" w:rsidRDefault="00D254A4" w:rsidP="00D254A4">
      <w:pPr>
        <w:pStyle w:val="MText"/>
        <w:rPr>
          <w:color w:val="auto"/>
          <w:sz w:val="24"/>
          <w:szCs w:val="24"/>
          <w:lang w:val="ru-RU"/>
        </w:rPr>
      </w:pPr>
      <w:r w:rsidRPr="00D254A4">
        <w:rPr>
          <w:color w:val="auto"/>
          <w:sz w:val="24"/>
          <w:szCs w:val="24"/>
          <w:lang w:val="ru-RU"/>
        </w:rPr>
        <w:t xml:space="preserve">• Уход за беременными женщинами </w:t>
      </w:r>
    </w:p>
    <w:p w:rsidR="00D254A4" w:rsidRPr="00D254A4" w:rsidRDefault="00D254A4" w:rsidP="00D254A4">
      <w:pPr>
        <w:pStyle w:val="MText"/>
        <w:rPr>
          <w:color w:val="auto"/>
          <w:sz w:val="24"/>
          <w:szCs w:val="24"/>
          <w:lang w:val="ru-RU"/>
        </w:rPr>
      </w:pPr>
      <w:r w:rsidRPr="00D254A4">
        <w:rPr>
          <w:color w:val="auto"/>
          <w:sz w:val="24"/>
          <w:szCs w:val="24"/>
          <w:lang w:val="ru-RU"/>
        </w:rPr>
        <w:t xml:space="preserve">• Услуги </w:t>
      </w:r>
      <w:r w:rsidR="00D41E33">
        <w:rPr>
          <w:color w:val="auto"/>
          <w:sz w:val="24"/>
          <w:szCs w:val="24"/>
          <w:lang w:val="ru-RU"/>
        </w:rPr>
        <w:t>в части</w:t>
      </w:r>
      <w:r w:rsidRPr="00D254A4">
        <w:rPr>
          <w:color w:val="auto"/>
          <w:sz w:val="24"/>
          <w:szCs w:val="24"/>
          <w:lang w:val="ru-RU"/>
        </w:rPr>
        <w:t xml:space="preserve"> контрацепции </w:t>
      </w:r>
    </w:p>
    <w:p w:rsidR="00D254A4" w:rsidRPr="00D254A4" w:rsidRDefault="00D254A4" w:rsidP="00D254A4">
      <w:pPr>
        <w:pStyle w:val="MText"/>
        <w:rPr>
          <w:color w:val="auto"/>
          <w:sz w:val="24"/>
          <w:szCs w:val="24"/>
          <w:lang w:val="ru-RU"/>
        </w:rPr>
      </w:pPr>
      <w:r w:rsidRPr="00D254A4">
        <w:rPr>
          <w:color w:val="auto"/>
          <w:sz w:val="24"/>
          <w:szCs w:val="24"/>
          <w:lang w:val="ru-RU"/>
        </w:rPr>
        <w:t xml:space="preserve">• Сексуальное просвещение </w:t>
      </w:r>
    </w:p>
    <w:p w:rsidR="00D41E33" w:rsidRDefault="00D254A4" w:rsidP="00D254A4">
      <w:pPr>
        <w:pStyle w:val="MText"/>
        <w:rPr>
          <w:color w:val="auto"/>
          <w:sz w:val="24"/>
          <w:szCs w:val="24"/>
          <w:lang w:val="ru-RU"/>
        </w:rPr>
      </w:pPr>
      <w:r w:rsidRPr="00D254A4">
        <w:rPr>
          <w:color w:val="auto"/>
          <w:sz w:val="24"/>
          <w:szCs w:val="24"/>
          <w:lang w:val="ru-RU"/>
        </w:rPr>
        <w:t xml:space="preserve">• ВИЧ и ВПЧ </w:t>
      </w:r>
    </w:p>
    <w:p w:rsidR="002E15F9" w:rsidRDefault="00D254A4" w:rsidP="00D254A4">
      <w:pPr>
        <w:pStyle w:val="MText"/>
        <w:rPr>
          <w:color w:val="auto"/>
          <w:sz w:val="24"/>
          <w:szCs w:val="24"/>
          <w:lang w:val="ru-RU"/>
        </w:rPr>
      </w:pPr>
      <w:proofErr w:type="gramStart"/>
      <w:r w:rsidRPr="00D254A4">
        <w:rPr>
          <w:color w:val="auto"/>
          <w:sz w:val="24"/>
          <w:szCs w:val="24"/>
          <w:lang w:val="ru-RU"/>
        </w:rPr>
        <w:t xml:space="preserve">Каждая из четырех тематических областей (разделов) представлена отдельными компонентами, отражающими темы, которые: i) имеют решающее значение с точки зрения существа, </w:t>
      </w:r>
      <w:proofErr w:type="spellStart"/>
      <w:r w:rsidRPr="00D254A4">
        <w:rPr>
          <w:color w:val="auto"/>
          <w:sz w:val="24"/>
          <w:szCs w:val="24"/>
          <w:lang w:val="ru-RU"/>
        </w:rPr>
        <w:t>ii</w:t>
      </w:r>
      <w:proofErr w:type="spellEnd"/>
      <w:r w:rsidRPr="00D254A4">
        <w:rPr>
          <w:color w:val="auto"/>
          <w:sz w:val="24"/>
          <w:szCs w:val="24"/>
          <w:lang w:val="ru-RU"/>
        </w:rPr>
        <w:t xml:space="preserve">) охватывают широкий спектр услуг в области сексуального и репродуктивного здоровья, информации и образования, и </w:t>
      </w:r>
      <w:proofErr w:type="spellStart"/>
      <w:r w:rsidRPr="00D254A4">
        <w:rPr>
          <w:color w:val="auto"/>
          <w:sz w:val="24"/>
          <w:szCs w:val="24"/>
          <w:lang w:val="ru-RU"/>
        </w:rPr>
        <w:t>iii</w:t>
      </w:r>
      <w:proofErr w:type="spellEnd"/>
      <w:r w:rsidRPr="00D254A4">
        <w:rPr>
          <w:color w:val="auto"/>
          <w:sz w:val="24"/>
          <w:szCs w:val="24"/>
          <w:lang w:val="ru-RU"/>
        </w:rPr>
        <w:t>) являются предметом национальных правовых и нормативных рамки.</w:t>
      </w:r>
      <w:proofErr w:type="gramEnd"/>
      <w:r w:rsidRPr="00D254A4">
        <w:rPr>
          <w:color w:val="auto"/>
          <w:sz w:val="24"/>
          <w:szCs w:val="24"/>
          <w:lang w:val="ru-RU"/>
        </w:rPr>
        <w:t xml:space="preserve"> В общей сложности показатель 5.6.2 измеряет 13 компонентов, классифицированных следующим образом:</w:t>
      </w:r>
    </w:p>
    <w:p w:rsidR="006E1FBA" w:rsidRPr="006E1FBA" w:rsidRDefault="006E1FBA" w:rsidP="006E1FBA">
      <w:pPr>
        <w:pStyle w:val="MText"/>
        <w:rPr>
          <w:color w:val="auto"/>
          <w:sz w:val="24"/>
          <w:szCs w:val="24"/>
          <w:lang w:val="ru-RU"/>
        </w:rPr>
      </w:pPr>
      <w:r w:rsidRPr="006E1FBA">
        <w:rPr>
          <w:color w:val="auto"/>
          <w:sz w:val="24"/>
          <w:szCs w:val="24"/>
          <w:lang w:val="ru-RU"/>
        </w:rPr>
        <w:t>РАЗДЕЛ I: УХОД ЗА БЕРЕМЕННЫМИ ЖЕНЩИНАМИ</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1. Охрана материнства</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2. Товары, спасающие жизни</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3. Аборт</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4. Уход после аборта</w:t>
      </w:r>
    </w:p>
    <w:p w:rsidR="006E1FBA" w:rsidRPr="006E1FBA" w:rsidRDefault="006E1FBA" w:rsidP="006E1FBA">
      <w:pPr>
        <w:pStyle w:val="MText"/>
        <w:rPr>
          <w:color w:val="auto"/>
          <w:sz w:val="24"/>
          <w:szCs w:val="24"/>
          <w:lang w:val="ru-RU"/>
        </w:rPr>
      </w:pPr>
      <w:r w:rsidRPr="006E1FBA">
        <w:rPr>
          <w:color w:val="auto"/>
          <w:sz w:val="24"/>
          <w:szCs w:val="24"/>
          <w:lang w:val="ru-RU"/>
        </w:rPr>
        <w:t>РАЗДЕЛ II: УСЛУГИ ПО КОНТРАЦЕПЦИИ</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5. Контрацепция</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6. Согласие на услуги по контрацепции</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7. Экстренная контрацепция</w:t>
      </w:r>
    </w:p>
    <w:p w:rsidR="006E1FBA" w:rsidRPr="006E1FBA" w:rsidRDefault="006E1FBA" w:rsidP="006E1FBA">
      <w:pPr>
        <w:pStyle w:val="MText"/>
        <w:rPr>
          <w:color w:val="auto"/>
          <w:sz w:val="24"/>
          <w:szCs w:val="24"/>
          <w:lang w:val="ru-RU"/>
        </w:rPr>
      </w:pPr>
      <w:r w:rsidRPr="006E1FBA">
        <w:rPr>
          <w:color w:val="auto"/>
          <w:sz w:val="24"/>
          <w:szCs w:val="24"/>
          <w:lang w:val="ru-RU"/>
        </w:rPr>
        <w:t>РАЗДЕЛ III: СЕКСУАЛЬНОЕ ПРОСВЕЩЕНИЕ</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8. ПРЕЦЕДЕНТНОЕ право</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9. Учебный план ЕГЭ</w:t>
      </w:r>
    </w:p>
    <w:p w:rsidR="006E1FBA" w:rsidRPr="006E1FBA" w:rsidRDefault="006E1FBA" w:rsidP="006E1FBA">
      <w:pPr>
        <w:pStyle w:val="MText"/>
        <w:rPr>
          <w:color w:val="auto"/>
          <w:sz w:val="24"/>
          <w:szCs w:val="24"/>
          <w:lang w:val="ru-RU"/>
        </w:rPr>
      </w:pPr>
      <w:r w:rsidRPr="006E1FBA">
        <w:rPr>
          <w:color w:val="auto"/>
          <w:sz w:val="24"/>
          <w:szCs w:val="24"/>
          <w:lang w:val="ru-RU"/>
        </w:rPr>
        <w:t>РАЗДЕЛ IV: ВИЧ и ВПЧ</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10. Тестирование и консультирование на ВИЧ</w:t>
      </w:r>
    </w:p>
    <w:p w:rsidR="006E1FBA" w:rsidRPr="006E1FBA" w:rsidRDefault="006E1FBA" w:rsidP="006E1FBA">
      <w:pPr>
        <w:pStyle w:val="MText"/>
        <w:rPr>
          <w:color w:val="auto"/>
          <w:sz w:val="24"/>
          <w:szCs w:val="24"/>
          <w:lang w:val="ru-RU"/>
        </w:rPr>
      </w:pPr>
      <w:r w:rsidRPr="006E1FBA">
        <w:rPr>
          <w:color w:val="auto"/>
          <w:sz w:val="24"/>
          <w:szCs w:val="24"/>
          <w:lang w:val="ru-RU"/>
        </w:rPr>
        <w:t>Компонент 11. Лечение и уход при ВИЧ</w:t>
      </w:r>
    </w:p>
    <w:p w:rsidR="006E1FBA" w:rsidRPr="006E1FBA" w:rsidRDefault="006E1FBA" w:rsidP="006E1FBA">
      <w:pPr>
        <w:pStyle w:val="MText"/>
        <w:rPr>
          <w:color w:val="auto"/>
          <w:sz w:val="24"/>
          <w:szCs w:val="24"/>
          <w:lang w:val="ru-RU"/>
        </w:rPr>
      </w:pPr>
      <w:r w:rsidRPr="006E1FBA">
        <w:rPr>
          <w:color w:val="auto"/>
          <w:sz w:val="24"/>
          <w:szCs w:val="24"/>
          <w:lang w:val="ru-RU"/>
        </w:rPr>
        <w:lastRenderedPageBreak/>
        <w:t>Компонент 12. Конфиденциальность состояния здоровья мужчин и женщин, живущих с ВИЧ</w:t>
      </w:r>
    </w:p>
    <w:p w:rsidR="006E1FBA" w:rsidRDefault="006E1FBA" w:rsidP="006E1FBA">
      <w:pPr>
        <w:pStyle w:val="MText"/>
        <w:rPr>
          <w:color w:val="auto"/>
          <w:sz w:val="24"/>
          <w:szCs w:val="24"/>
          <w:lang w:val="ru-RU"/>
        </w:rPr>
      </w:pPr>
      <w:r w:rsidRPr="006E1FBA">
        <w:rPr>
          <w:color w:val="auto"/>
          <w:sz w:val="24"/>
          <w:szCs w:val="24"/>
          <w:lang w:val="ru-RU"/>
        </w:rPr>
        <w:t>Компонент 13. Вакцина против ВПЧ</w:t>
      </w:r>
    </w:p>
    <w:p w:rsidR="0014459A" w:rsidRDefault="0014459A" w:rsidP="006E1FBA">
      <w:pPr>
        <w:pStyle w:val="MText"/>
        <w:rPr>
          <w:color w:val="auto"/>
          <w:sz w:val="24"/>
          <w:szCs w:val="24"/>
          <w:lang w:val="ru-RU"/>
        </w:rPr>
      </w:pPr>
      <w:proofErr w:type="gramStart"/>
      <w:r w:rsidRPr="0014459A">
        <w:rPr>
          <w:color w:val="auto"/>
          <w:sz w:val="24"/>
          <w:szCs w:val="24"/>
          <w:lang w:val="ru-RU"/>
        </w:rPr>
        <w:t xml:space="preserve">Для каждого из 13 компонентов собирается информация о существовании i) конкретных правовых факторов (позитивных законов и нормативных актов) и </w:t>
      </w:r>
      <w:proofErr w:type="spellStart"/>
      <w:r w:rsidRPr="0014459A">
        <w:rPr>
          <w:color w:val="auto"/>
          <w:sz w:val="24"/>
          <w:szCs w:val="24"/>
          <w:lang w:val="ru-RU"/>
        </w:rPr>
        <w:t>ii</w:t>
      </w:r>
      <w:proofErr w:type="spellEnd"/>
      <w:r w:rsidRPr="0014459A">
        <w:rPr>
          <w:color w:val="auto"/>
          <w:sz w:val="24"/>
          <w:szCs w:val="24"/>
          <w:lang w:val="ru-RU"/>
        </w:rPr>
        <w:t>) конкретных правовых барьеров</w:t>
      </w:r>
      <w:r>
        <w:rPr>
          <w:rStyle w:val="a6"/>
          <w:color w:val="auto"/>
          <w:sz w:val="24"/>
          <w:szCs w:val="24"/>
          <w:lang w:val="ru-RU"/>
        </w:rPr>
        <w:footnoteReference w:id="4"/>
      </w:r>
      <w:r w:rsidRPr="0014459A">
        <w:rPr>
          <w:color w:val="auto"/>
          <w:sz w:val="24"/>
          <w:szCs w:val="24"/>
          <w:lang w:val="ru-RU"/>
        </w:rPr>
        <w:t>. Такие барьеры включают ограничения на позитивные законы и правила (например, по возрасту, полу, семейному положению и требованию разрешения третьей стороны), а также множественные правовые системы, которые противоречат сосуществующим позитивным законам и правилам.</w:t>
      </w:r>
      <w:proofErr w:type="gramEnd"/>
      <w:r w:rsidRPr="0014459A">
        <w:rPr>
          <w:color w:val="auto"/>
          <w:sz w:val="24"/>
          <w:szCs w:val="24"/>
          <w:lang w:val="ru-RU"/>
        </w:rPr>
        <w:t xml:space="preserve"> Для каждого компонента конкретные факторы и барьеры, по которым собираются данные, определяются как основные факторы и барьеры для этого компонента. Даже там, где действуют позитивные законы, правовые барьеры могут подорвать полный и равный доступ к услугам в области сексуального и репродуктивного здоровья, информации и образованию; методология разработана для учета этого.</w:t>
      </w:r>
    </w:p>
    <w:p w:rsidR="00A61B06" w:rsidRPr="00BD29EC" w:rsidRDefault="00A61B06" w:rsidP="006E1FBA">
      <w:pPr>
        <w:pStyle w:val="MText"/>
        <w:rPr>
          <w:color w:val="auto"/>
          <w:sz w:val="24"/>
          <w:szCs w:val="24"/>
          <w:lang w:val="ru-RU"/>
        </w:rPr>
      </w:pPr>
      <w:r w:rsidRPr="00A61B06">
        <w:rPr>
          <w:color w:val="auto"/>
          <w:sz w:val="24"/>
          <w:szCs w:val="24"/>
          <w:lang w:val="ru-RU"/>
        </w:rPr>
        <w:t xml:space="preserve">Процентное значение отражает статус страны и прогресс в существовании национальных законов и нормативных актов, гарантирующих полный и равный доступ к услугам в области сексуального и репродуктивного здоровья, информации и образования. Отражая “степень, в которой” страны гарантируют полный и равный доступ к услугам в области сексуального и репродуктивного здоровья, информации и образованию, этот показатель позволяет проводить </w:t>
      </w:r>
      <w:proofErr w:type="spellStart"/>
      <w:r w:rsidRPr="00A61B06">
        <w:rPr>
          <w:color w:val="auto"/>
          <w:sz w:val="24"/>
          <w:szCs w:val="24"/>
          <w:lang w:val="ru-RU"/>
        </w:rPr>
        <w:t>межстрановые</w:t>
      </w:r>
      <w:proofErr w:type="spellEnd"/>
      <w:r w:rsidRPr="00A61B06">
        <w:rPr>
          <w:color w:val="auto"/>
          <w:sz w:val="24"/>
          <w:szCs w:val="24"/>
          <w:lang w:val="ru-RU"/>
        </w:rPr>
        <w:t xml:space="preserve"> сравнения и фиксировать прогресс внутри страны с течением времени.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A61B06" w:rsidRPr="00A61B06" w:rsidRDefault="00A61B06" w:rsidP="00A61B06">
      <w:r w:rsidRPr="001E4431">
        <w:t xml:space="preserve">Показатель 5.6.2 измеряет исключительно </w:t>
      </w:r>
      <w:r w:rsidRPr="001E4431">
        <w:rPr>
          <w:i/>
        </w:rPr>
        <w:t>наличие</w:t>
      </w:r>
      <w:r w:rsidRPr="001E4431">
        <w:t xml:space="preserve"> законов и нормативных актов и препятствия для их исполнения.  Он не измеряет </w:t>
      </w:r>
      <w:r w:rsidRPr="001E4431">
        <w:rPr>
          <w:i/>
        </w:rPr>
        <w:t>осуществление</w:t>
      </w:r>
      <w:r w:rsidRPr="001E4431">
        <w:t xml:space="preserve"> таких законов/положений. Кроме того, 13 компонентов призваны служить ориентировочными показателями охраны сексуального и репродуктивного здоровья, информации и образования в этой сфере, а не полным или исчерпывающим перечнем услуг, информации и образования. Эти компоненты были отобраны, поскольку они были определены в качестве ключевых параметров в соответствии с международными </w:t>
      </w:r>
      <w:proofErr w:type="spellStart"/>
      <w:r w:rsidRPr="001E4431">
        <w:t>консенсусными</w:t>
      </w:r>
      <w:proofErr w:type="spellEnd"/>
      <w:r w:rsidRPr="001E4431">
        <w:t xml:space="preserve"> документами и стандартами в области прав человека.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A61B06" w:rsidRPr="001E4431" w:rsidRDefault="00A61B06" w:rsidP="00A61B06">
      <w:r w:rsidRPr="001E4431">
        <w:t>Показатель измеряет конкретные юридические механизмы и препятствия для 13 компонентов по четырем тематическим областям. Для расчета показателя требуются данные для всех 13 компонентов.</w:t>
      </w:r>
    </w:p>
    <w:p w:rsidR="00A61B06" w:rsidRPr="001E4431" w:rsidRDefault="00A61B06" w:rsidP="00A61B06">
      <w:r w:rsidRPr="001E4431">
        <w:t xml:space="preserve">13 компонентов </w:t>
      </w:r>
      <w:proofErr w:type="gramStart"/>
      <w:r w:rsidRPr="001E4431">
        <w:t>размещены</w:t>
      </w:r>
      <w:proofErr w:type="gramEnd"/>
      <w:r w:rsidRPr="001E4431">
        <w:t xml:space="preserve"> в одном и том же масштабе, причем 0% - самое низкое значение, а 100% - наиболее оптимальное значение. Каждый компонент оценивается независимо и взвешенно одинаково. Каждый </w:t>
      </w:r>
      <w:r w:rsidRPr="001E4431">
        <w:rPr>
          <w:u w:val="single"/>
        </w:rPr>
        <w:t>компонент</w:t>
      </w:r>
      <w:r w:rsidRPr="001E4431">
        <w:t xml:space="preserve"> рассчитывается как:</w:t>
      </w:r>
    </w:p>
    <w:p w:rsidR="00A61B06" w:rsidRPr="00A61B06" w:rsidRDefault="00A61B06" w:rsidP="00A61B06"/>
    <w:p w:rsidR="00A61B06" w:rsidRPr="00A61B06" w:rsidRDefault="00A61B06" w:rsidP="00A61B06">
      <w:r w:rsidRPr="001E4431">
        <w:rPr>
          <w:noProof/>
          <w:lang w:eastAsia="ru-RU"/>
        </w:rPr>
        <w:lastRenderedPageBreak/>
        <mc:AlternateContent>
          <mc:Choice Requires="wps">
            <w:drawing>
              <wp:anchor distT="0" distB="0" distL="114300" distR="114300" simplePos="0" relativeHeight="251660288" behindDoc="0" locked="0" layoutInCell="1" allowOverlap="1" wp14:anchorId="09352334" wp14:editId="569434D7">
                <wp:simplePos x="0" y="0"/>
                <wp:positionH relativeFrom="column">
                  <wp:posOffset>2154555</wp:posOffset>
                </wp:positionH>
                <wp:positionV relativeFrom="paragraph">
                  <wp:posOffset>33655</wp:posOffset>
                </wp:positionV>
                <wp:extent cx="3898900" cy="1146810"/>
                <wp:effectExtent l="0" t="0" r="6350" b="0"/>
                <wp:wrapNone/>
                <wp:docPr id="9"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92DCA3-7ADF-6C4C-976E-C13525BC69F6}"/>
                    </a:ext>
                  </a:extLst>
                </wp:docPr>
                <wp:cNvGraphicFramePr/>
                <a:graphic xmlns:a="http://schemas.openxmlformats.org/drawingml/2006/main">
                  <a:graphicData uri="http://schemas.microsoft.com/office/word/2010/wordprocessingShape">
                    <wps:wsp>
                      <wps:cNvSpPr/>
                      <wps:spPr>
                        <a:xfrm>
                          <a:off x="0" y="0"/>
                          <a:ext cx="3898900" cy="1146810"/>
                        </a:xfrm>
                        <a:prstGeom prst="rect">
                          <a:avLst/>
                        </a:prstGeom>
                        <a:solidFill>
                          <a:srgbClr val="F0E8F3"/>
                        </a:solidFill>
                      </wps:spPr>
                      <wps:txbx>
                        <w:txbxContent>
                          <w:p w:rsidR="00A61B06" w:rsidRPr="00A61B06" w:rsidRDefault="00A61B06" w:rsidP="00A61B06">
                            <w:pPr>
                              <w:spacing w:after="0"/>
                              <w:rPr>
                                <w:rFonts w:cs="Times New Roman"/>
                                <w:sz w:val="18"/>
                              </w:rPr>
                            </w:pPr>
                            <m:oMath>
                              <m:r>
                                <w:rPr>
                                  <w:rFonts w:ascii="Cambria Math" w:eastAsia="Cambria Math" w:hAnsi="Cambria Math" w:cs="Times New Roman"/>
                                  <w:sz w:val="18"/>
                                </w:rPr>
                                <m:t>C</m:t>
                              </m:r>
                              <m:r>
                                <w:rPr>
                                  <w:rFonts w:ascii="Cambria Math" w:eastAsia="Cambria Math" w:hAnsi="Cambria Math" w:cs="Times New Roman"/>
                                  <w:position w:val="-7"/>
                                  <w:sz w:val="18"/>
                                  <w:vertAlign w:val="subscript"/>
                                </w:rPr>
                                <m:t>i</m:t>
                              </m:r>
                            </m:oMath>
                            <w:r w:rsidRPr="00A61B06">
                              <w:rPr>
                                <w:rFonts w:cs="Times New Roman"/>
                                <w:sz w:val="18"/>
                              </w:rPr>
                              <w:t xml:space="preserve">: Данные по компоненту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E</m:t>
                              </m:r>
                              <m:r>
                                <w:rPr>
                                  <w:rFonts w:ascii="Cambria Math" w:hAnsi="Cambria Math" w:cs="Times New Roman"/>
                                  <w:position w:val="-7"/>
                                  <w:sz w:val="18"/>
                                  <w:vertAlign w:val="subscript"/>
                                </w:rPr>
                                <m:t>i</m:t>
                              </m:r>
                            </m:oMath>
                            <w:r w:rsidRPr="00A61B06">
                              <w:rPr>
                                <w:rFonts w:cs="Times New Roman"/>
                                <w:sz w:val="18"/>
                              </w:rPr>
                              <w:t xml:space="preserve">: Общее количество инструментов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eastAsia="Cambria Math" w:hAnsi="Cambria Math" w:cs="Times New Roman"/>
                                  <w:sz w:val="18"/>
                                </w:rPr>
                                <m:t>e</m:t>
                              </m:r>
                              <m:r>
                                <w:rPr>
                                  <w:rFonts w:ascii="Cambria Math" w:eastAsia="Cambria Math" w:hAnsi="Cambria Math" w:cs="Times New Roman"/>
                                  <w:position w:val="-7"/>
                                  <w:sz w:val="18"/>
                                  <w:vertAlign w:val="subscript"/>
                                </w:rPr>
                                <m:t>i</m:t>
                              </m:r>
                            </m:oMath>
                            <w:r w:rsidRPr="00A61B06">
                              <w:rPr>
                                <w:rFonts w:cs="Times New Roman"/>
                                <w:sz w:val="18"/>
                              </w:rPr>
                              <w:t xml:space="preserve">: Количество инструментов, существующих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xml:space="preserve">: Общее количество препятствий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xml:space="preserve">: Количество препятствий, существующих в компоненте </w:t>
                            </w:r>
                            <w:proofErr w:type="spellStart"/>
                            <w:r w:rsidRPr="00A61B06">
                              <w:rPr>
                                <w:rFonts w:cs="Times New Roman"/>
                                <w:sz w:val="18"/>
                              </w:rPr>
                              <w:t>i</w:t>
                            </w:r>
                            <w:proofErr w:type="spellEnd"/>
                          </w:p>
                        </w:txbxContent>
                      </wps:txbx>
                      <wps:bodyPr wrap="square" lIns="182880" tIns="182880" rIns="182880" bIns="18288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69.65pt;margin-top:2.65pt;width:307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" fillcolor="#f0e8f3" stroked="f">
                <v:textbox inset="14.4pt,14.4pt,14.4pt,14.4pt">
                  <w:txbxContent>
                    <w:p w:rsidR="00A61B06" w:rsidRPr="00A61B06" w:rsidRDefault="00A61B06" w:rsidP="00A61B06">
                      <w:pPr>
                        <w:spacing w:after="0"/>
                        <w:rPr>
                          <w:rFonts w:cs="Times New Roman"/>
                          <w:sz w:val="18"/>
                        </w:rPr>
                      </w:pPr>
                      <m:oMath>
                        <m:r>
                          <w:rPr>
                            <w:rFonts w:ascii="Cambria Math" w:eastAsia="Cambria Math" w:hAnsi="Cambria Math" w:cs="Times New Roman"/>
                            <w:sz w:val="18"/>
                          </w:rPr>
                          <m:t>C</m:t>
                        </m:r>
                        <m:r>
                          <w:rPr>
                            <w:rFonts w:ascii="Cambria Math" w:eastAsia="Cambria Math" w:hAnsi="Cambria Math" w:cs="Times New Roman"/>
                            <w:position w:val="-7"/>
                            <w:sz w:val="18"/>
                            <w:vertAlign w:val="subscript"/>
                          </w:rPr>
                          <m:t>i</m:t>
                        </m:r>
                      </m:oMath>
                      <w:r w:rsidRPr="00A61B06">
                        <w:rPr>
                          <w:rFonts w:cs="Times New Roman"/>
                          <w:sz w:val="18"/>
                        </w:rPr>
                        <w:t xml:space="preserve">: Данные по компоненту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E</m:t>
                        </m:r>
                        <m:r>
                          <w:rPr>
                            <w:rFonts w:ascii="Cambria Math" w:hAnsi="Cambria Math" w:cs="Times New Roman"/>
                            <w:position w:val="-7"/>
                            <w:sz w:val="18"/>
                            <w:vertAlign w:val="subscript"/>
                          </w:rPr>
                          <m:t>i</m:t>
                        </m:r>
                      </m:oMath>
                      <w:r w:rsidRPr="00A61B06">
                        <w:rPr>
                          <w:rFonts w:cs="Times New Roman"/>
                          <w:sz w:val="18"/>
                        </w:rPr>
                        <w:t xml:space="preserve">: Общее количество инструментов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eastAsia="Cambria Math" w:hAnsi="Cambria Math" w:cs="Times New Roman"/>
                            <w:sz w:val="18"/>
                          </w:rPr>
                          <m:t>e</m:t>
                        </m:r>
                        <m:r>
                          <w:rPr>
                            <w:rFonts w:ascii="Cambria Math" w:eastAsia="Cambria Math" w:hAnsi="Cambria Math" w:cs="Times New Roman"/>
                            <w:position w:val="-7"/>
                            <w:sz w:val="18"/>
                            <w:vertAlign w:val="subscript"/>
                          </w:rPr>
                          <m:t>i</m:t>
                        </m:r>
                      </m:oMath>
                      <w:r w:rsidRPr="00A61B06">
                        <w:rPr>
                          <w:rFonts w:cs="Times New Roman"/>
                          <w:sz w:val="18"/>
                        </w:rPr>
                        <w:t xml:space="preserve">: Количество инструментов, существующих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xml:space="preserve">: Общее количество препятствий в компоненте </w:t>
                      </w:r>
                      <w:proofErr w:type="spellStart"/>
                      <w:r w:rsidRPr="00A61B06">
                        <w:rPr>
                          <w:rFonts w:cs="Times New Roman"/>
                          <w:sz w:val="18"/>
                        </w:rPr>
                        <w:t>i</w:t>
                      </w:r>
                      <w:proofErr w:type="spellEnd"/>
                    </w:p>
                    <w:p w:rsidR="00A61B06" w:rsidRPr="00A61B06" w:rsidRDefault="00A61B06" w:rsidP="00A61B06">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xml:space="preserve">: Количество препятствий, существующих в компоненте </w:t>
                      </w:r>
                      <w:proofErr w:type="spellStart"/>
                      <w:r w:rsidRPr="00A61B06">
                        <w:rPr>
                          <w:rFonts w:cs="Times New Roman"/>
                          <w:sz w:val="18"/>
                        </w:rPr>
                        <w:t>i</w:t>
                      </w:r>
                      <w:proofErr w:type="spellEnd"/>
                    </w:p>
                  </w:txbxContent>
                </v:textbox>
              </v:rect>
            </w:pict>
          </mc:Fallback>
        </mc:AlternateContent>
      </w:r>
    </w:p>
    <w:p w:rsidR="00A61B06" w:rsidRPr="00A61B06" w:rsidRDefault="00A61B06" w:rsidP="00A61B06">
      <w:r w:rsidRPr="001E4431">
        <w:rPr>
          <w:noProof/>
          <w:lang w:eastAsia="ru-RU"/>
        </w:rPr>
        <mc:AlternateContent>
          <mc:Choice Requires="wps">
            <w:drawing>
              <wp:anchor distT="0" distB="0" distL="114300" distR="114300" simplePos="0" relativeHeight="251659264" behindDoc="0" locked="0" layoutInCell="1" allowOverlap="1" wp14:anchorId="52D570E4" wp14:editId="6158AFA5">
                <wp:simplePos x="0" y="0"/>
                <wp:positionH relativeFrom="margin">
                  <wp:posOffset>40943</wp:posOffset>
                </wp:positionH>
                <wp:positionV relativeFrom="paragraph">
                  <wp:posOffset>39399</wp:posOffset>
                </wp:positionV>
                <wp:extent cx="2129050" cy="477672"/>
                <wp:effectExtent l="0" t="0" r="0" b="0"/>
                <wp:wrapNone/>
                <wp:docPr id="8" name="TextBox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B53F66-3702-4A42-8B5D-78EE40838716}"/>
                    </a:ext>
                  </a:extLst>
                </wp:docPr>
                <wp:cNvGraphicFramePr/>
                <a:graphic xmlns:a="http://schemas.openxmlformats.org/drawingml/2006/main">
                  <a:graphicData uri="http://schemas.microsoft.com/office/word/2010/wordprocessingShape">
                    <wps:wsp>
                      <wps:cNvSpPr txBox="1"/>
                      <wps:spPr>
                        <a:xfrm>
                          <a:off x="0" y="0"/>
                          <a:ext cx="2129050" cy="477672"/>
                        </a:xfrm>
                        <a:prstGeom prst="rect">
                          <a:avLst/>
                        </a:prstGeom>
                        <a:noFill/>
                      </wps:spPr>
                      <wps:txbx>
                        <w:txbxContent>
                          <w:p w:rsidR="00A61B06" w:rsidRPr="00BE4170" w:rsidRDefault="00A61B06" w:rsidP="00A61B06">
                            <w:pPr>
                              <w:rPr>
                                <w:sz w:val="12"/>
                              </w:rPr>
                            </w:pPr>
                            <m:oMathPara>
                              <m:oMathParaPr>
                                <m:jc m:val="centerGroup"/>
                              </m:oMathParaPr>
                              <m:oMath>
                                <m:r>
                                  <w:rPr>
                                    <w:rFonts w:ascii="Cambria Math" w:hAnsi="Cambria Math"/>
                                  </w:rPr>
                                  <m:t>C</m:t>
                                </m:r>
                                <m:r>
                                  <w:rPr>
                                    <w:rFonts w:ascii="Cambria Math" w:hAnsi="Cambria Math"/>
                                    <w:position w:val="-12"/>
                                    <w:vertAlign w:val="subscript"/>
                                  </w:rPr>
                                  <m:t>i</m:t>
                                </m:r>
                                <m:r>
                                  <m:rPr>
                                    <m:sty m:val="p"/>
                                  </m:rPr>
                                  <w:rPr>
                                    <w:rFonts w:ascii="Cambria Math" w:hAnsi="Cambria Math"/>
                                  </w:rPr>
                                  <m:t>=</m:t>
                                </m:r>
                                <m:d>
                                  <m:dPr>
                                    <m:ctrlPr>
                                      <w:rPr>
                                        <w:rFonts w:ascii="Cambria Math" w:hAnsi="Cambria Math"/>
                                        <w:iCs/>
                                      </w:rPr>
                                    </m:ctrlPr>
                                  </m:dPr>
                                  <m:e>
                                    <m:f>
                                      <m:fPr>
                                        <m:ctrlPr>
                                          <w:rPr>
                                            <w:rFonts w:ascii="Cambria Math" w:hAnsi="Cambria Math"/>
                                            <w:iCs/>
                                          </w:rPr>
                                        </m:ctrlPr>
                                      </m:fPr>
                                      <m:num>
                                        <m:r>
                                          <w:rPr>
                                            <w:rFonts w:ascii="Cambria Math" w:hAnsi="Cambria Math"/>
                                          </w:rPr>
                                          <m:t>e</m:t>
                                        </m:r>
                                        <m:r>
                                          <w:rPr>
                                            <w:rFonts w:ascii="Cambria Math" w:hAnsi="Cambria Math"/>
                                            <w:position w:val="-12"/>
                                            <w:vertAlign w:val="subscript"/>
                                          </w:rPr>
                                          <m:t>i</m:t>
                                        </m:r>
                                      </m:num>
                                      <m:den>
                                        <m:r>
                                          <w:rPr>
                                            <w:rFonts w:ascii="Cambria Math" w:hAnsi="Cambria Math"/>
                                          </w:rPr>
                                          <m:t>E</m:t>
                                        </m:r>
                                        <m:r>
                                          <w:rPr>
                                            <w:rFonts w:ascii="Cambria Math" w:hAnsi="Cambria Math"/>
                                            <w:position w:val="-12"/>
                                            <w:vertAlign w:val="subscript"/>
                                          </w:rPr>
                                          <m:t>i</m:t>
                                        </m:r>
                                      </m:den>
                                    </m:f>
                                    <m:r>
                                      <m:rPr>
                                        <m:sty m:val="p"/>
                                      </m:rPr>
                                      <w:rPr>
                                        <w:rFonts w:ascii="Cambria Math" w:hAnsi="Cambria Math"/>
                                      </w:rPr>
                                      <m:t>-</m:t>
                                    </m:r>
                                    <m:f>
                                      <m:fPr>
                                        <m:ctrlPr>
                                          <w:rPr>
                                            <w:rFonts w:ascii="Cambria Math" w:eastAsiaTheme="minorEastAsia" w:hAnsi="Cambria Math"/>
                                            <w:iCs/>
                                          </w:rPr>
                                        </m:ctrlPr>
                                      </m:fPr>
                                      <m:num>
                                        <m:r>
                                          <w:rPr>
                                            <w:rFonts w:ascii="Cambria Math" w:hAnsi="Cambria Math"/>
                                          </w:rPr>
                                          <m:t>b</m:t>
                                        </m:r>
                                        <m:r>
                                          <w:rPr>
                                            <w:rFonts w:ascii="Cambria Math" w:hAnsi="Cambria Math"/>
                                            <w:position w:val="-12"/>
                                            <w:vertAlign w:val="subscript"/>
                                          </w:rPr>
                                          <m:t>i</m:t>
                                        </m:r>
                                      </m:num>
                                      <m:den>
                                        <m:r>
                                          <w:rPr>
                                            <w:rFonts w:ascii="Cambria Math" w:hAnsi="Cambria Math"/>
                                          </w:rPr>
                                          <m:t>B</m:t>
                                        </m:r>
                                        <m:r>
                                          <w:rPr>
                                            <w:rFonts w:ascii="Cambria Math" w:hAnsi="Cambria Math"/>
                                            <w:position w:val="-12"/>
                                            <w:vertAlign w:val="subscript"/>
                                          </w:rPr>
                                          <m:t>i</m:t>
                                        </m:r>
                                      </m:den>
                                    </m:f>
                                  </m:e>
                                </m:d>
                                <m:r>
                                  <m:rPr>
                                    <m:sty m:val="p"/>
                                  </m:rPr>
                                  <w:rPr>
                                    <w:rFonts w:ascii="Cambria Math" w:hAnsi="Cambria Math"/>
                                  </w:rPr>
                                  <m:t> ×100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7" type="#_x0000_t202" style="position:absolute;left:0;text-align:left;margin-left:3.2pt;margin-top:3.1pt;width:167.65pt;height:3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" filled="f" stroked="f">
                <v:textbox inset="0,0,0,0">
                  <w:txbxContent>
                    <w:p w:rsidR="00A61B06" w:rsidRPr="00BE4170" w:rsidRDefault="00A61B06" w:rsidP="00A61B06">
                      <w:pPr>
                        <w:rPr>
                          <w:sz w:val="12"/>
                        </w:rPr>
                      </w:pPr>
                      <m:oMathPara>
                        <m:oMathParaPr>
                          <m:jc m:val="centerGroup"/>
                        </m:oMathParaPr>
                        <m:oMath>
                          <m:r>
                            <w:rPr>
                              <w:rFonts w:ascii="Cambria Math" w:hAnsi="Cambria Math"/>
                            </w:rPr>
                            <m:t>C</m:t>
                          </m:r>
                          <m:r>
                            <w:rPr>
                              <w:rFonts w:ascii="Cambria Math" w:hAnsi="Cambria Math"/>
                              <w:position w:val="-12"/>
                              <w:vertAlign w:val="subscript"/>
                            </w:rPr>
                            <m:t>i</m:t>
                          </m:r>
                          <m:r>
                            <m:rPr>
                              <m:sty m:val="p"/>
                            </m:rPr>
                            <w:rPr>
                              <w:rFonts w:ascii="Cambria Math" w:hAnsi="Cambria Math"/>
                            </w:rPr>
                            <m:t>=</m:t>
                          </m:r>
                          <m:d>
                            <m:dPr>
                              <m:ctrlPr>
                                <w:rPr>
                                  <w:rFonts w:ascii="Cambria Math" w:hAnsi="Cambria Math"/>
                                  <w:iCs/>
                                </w:rPr>
                              </m:ctrlPr>
                            </m:dPr>
                            <m:e>
                              <m:f>
                                <m:fPr>
                                  <m:ctrlPr>
                                    <w:rPr>
                                      <w:rFonts w:ascii="Cambria Math" w:hAnsi="Cambria Math"/>
                                      <w:iCs/>
                                    </w:rPr>
                                  </m:ctrlPr>
                                </m:fPr>
                                <m:num>
                                  <m:r>
                                    <w:rPr>
                                      <w:rFonts w:ascii="Cambria Math" w:hAnsi="Cambria Math"/>
                                    </w:rPr>
                                    <m:t>e</m:t>
                                  </m:r>
                                  <m:r>
                                    <w:rPr>
                                      <w:rFonts w:ascii="Cambria Math" w:hAnsi="Cambria Math"/>
                                      <w:position w:val="-12"/>
                                      <w:vertAlign w:val="subscript"/>
                                    </w:rPr>
                                    <m:t>i</m:t>
                                  </m:r>
                                </m:num>
                                <m:den>
                                  <m:r>
                                    <w:rPr>
                                      <w:rFonts w:ascii="Cambria Math" w:hAnsi="Cambria Math"/>
                                    </w:rPr>
                                    <m:t>E</m:t>
                                  </m:r>
                                  <m:r>
                                    <w:rPr>
                                      <w:rFonts w:ascii="Cambria Math" w:hAnsi="Cambria Math"/>
                                      <w:position w:val="-12"/>
                                      <w:vertAlign w:val="subscript"/>
                                    </w:rPr>
                                    <m:t>i</m:t>
                                  </m:r>
                                </m:den>
                              </m:f>
                              <m:r>
                                <m:rPr>
                                  <m:sty m:val="p"/>
                                </m:rPr>
                                <w:rPr>
                                  <w:rFonts w:ascii="Cambria Math" w:hAnsi="Cambria Math"/>
                                </w:rPr>
                                <m:t>-</m:t>
                              </m:r>
                              <m:f>
                                <m:fPr>
                                  <m:ctrlPr>
                                    <w:rPr>
                                      <w:rFonts w:ascii="Cambria Math" w:eastAsiaTheme="minorEastAsia" w:hAnsi="Cambria Math"/>
                                      <w:iCs/>
                                    </w:rPr>
                                  </m:ctrlPr>
                                </m:fPr>
                                <m:num>
                                  <m:r>
                                    <w:rPr>
                                      <w:rFonts w:ascii="Cambria Math" w:hAnsi="Cambria Math"/>
                                    </w:rPr>
                                    <m:t>b</m:t>
                                  </m:r>
                                  <m:r>
                                    <w:rPr>
                                      <w:rFonts w:ascii="Cambria Math" w:hAnsi="Cambria Math"/>
                                      <w:position w:val="-12"/>
                                      <w:vertAlign w:val="subscript"/>
                                    </w:rPr>
                                    <m:t>i</m:t>
                                  </m:r>
                                </m:num>
                                <m:den>
                                  <m:r>
                                    <w:rPr>
                                      <w:rFonts w:ascii="Cambria Math" w:hAnsi="Cambria Math"/>
                                    </w:rPr>
                                    <m:t>B</m:t>
                                  </m:r>
                                  <m:r>
                                    <w:rPr>
                                      <w:rFonts w:ascii="Cambria Math" w:hAnsi="Cambria Math"/>
                                      <w:position w:val="-12"/>
                                      <w:vertAlign w:val="subscript"/>
                                    </w:rPr>
                                    <m:t>i</m:t>
                                  </m:r>
                                </m:den>
                              </m:f>
                            </m:e>
                          </m:d>
                          <m:r>
                            <m:rPr>
                              <m:sty m:val="p"/>
                            </m:rPr>
                            <w:rPr>
                              <w:rFonts w:ascii="Cambria Math" w:hAnsi="Cambria Math"/>
                            </w:rPr>
                            <m:t> ×100</m:t>
                          </m:r>
                        </m:oMath>
                      </m:oMathPara>
                    </w:p>
                  </w:txbxContent>
                </v:textbox>
                <w10:wrap anchorx="margin"/>
              </v:shape>
            </w:pict>
          </mc:Fallback>
        </mc:AlternateContent>
      </w:r>
    </w:p>
    <w:p w:rsidR="00A61B06" w:rsidRPr="00A61B06" w:rsidRDefault="00A61B06" w:rsidP="00A61B06"/>
    <w:p w:rsidR="00A61B06" w:rsidRPr="001E4431" w:rsidRDefault="00A61B06" w:rsidP="00A61B06">
      <w:pPr>
        <w:rPr>
          <w:rFonts w:cs="Times New Roman"/>
        </w:rPr>
      </w:pPr>
      <w:r w:rsidRPr="001E4431">
        <w:rPr>
          <w:rFonts w:cs="Times New Roman"/>
        </w:rPr>
        <w:t xml:space="preserve"> </w:t>
      </w:r>
    </w:p>
    <w:p w:rsidR="00A61B06" w:rsidRDefault="00A61B06" w:rsidP="00A61B06"/>
    <w:p w:rsidR="00A61B06" w:rsidRDefault="00DA4FEC" w:rsidP="00A61B06">
      <w:r w:rsidRPr="001E4431">
        <w:rPr>
          <w:noProof/>
          <w:lang w:eastAsia="ru-RU"/>
        </w:rPr>
        <mc:AlternateContent>
          <mc:Choice Requires="wps">
            <w:drawing>
              <wp:anchor distT="0" distB="0" distL="114300" distR="114300" simplePos="0" relativeHeight="251664384" behindDoc="0" locked="0" layoutInCell="1" allowOverlap="1" wp14:anchorId="7E2EFC8B" wp14:editId="6B9B4BA4">
                <wp:simplePos x="0" y="0"/>
                <wp:positionH relativeFrom="column">
                  <wp:posOffset>2170178</wp:posOffset>
                </wp:positionH>
                <wp:positionV relativeFrom="paragraph">
                  <wp:posOffset>471805</wp:posOffset>
                </wp:positionV>
                <wp:extent cx="3458845" cy="1026160"/>
                <wp:effectExtent l="0" t="0" r="8255" b="2540"/>
                <wp:wrapNone/>
                <wp:docPr id="2"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92DCA3-7ADF-6C4C-976E-C13525BC69F6}"/>
                    </a:ext>
                  </a:extLst>
                </wp:docPr>
                <wp:cNvGraphicFramePr/>
                <a:graphic xmlns:a="http://schemas.openxmlformats.org/drawingml/2006/main">
                  <a:graphicData uri="http://schemas.microsoft.com/office/word/2010/wordprocessingShape">
                    <wps:wsp>
                      <wps:cNvSpPr/>
                      <wps:spPr>
                        <a:xfrm>
                          <a:off x="0" y="0"/>
                          <a:ext cx="3458845" cy="1026160"/>
                        </a:xfrm>
                        <a:prstGeom prst="rect">
                          <a:avLst/>
                        </a:prstGeom>
                        <a:solidFill>
                          <a:srgbClr val="F0E8F3"/>
                        </a:solidFill>
                      </wps:spPr>
                      <wps:txbx>
                        <w:txbxContent>
                          <w:p w:rsidR="00A61B06" w:rsidRPr="00A61B06" w:rsidRDefault="00A61B06" w:rsidP="00A61B06">
                            <w:pPr>
                              <w:spacing w:after="0"/>
                              <w:rPr>
                                <w:rFonts w:cs="Times New Roman"/>
                                <w:sz w:val="20"/>
                              </w:rPr>
                            </w:pPr>
                            <m:oMath>
                              <m:r>
                                <w:rPr>
                                  <w:rFonts w:ascii="Cambria Math" w:eastAsia="Cambria Math" w:hAnsi="Cambria Math" w:cs="Times New Roman"/>
                                  <w:sz w:val="20"/>
                                </w:rPr>
                                <m:t>C</m:t>
                              </m:r>
                              <m:r>
                                <w:rPr>
                                  <w:rFonts w:ascii="Cambria Math" w:eastAsia="Cambria Math" w:hAnsi="Cambria Math" w:cs="Times New Roman"/>
                                  <w:position w:val="-7"/>
                                  <w:sz w:val="20"/>
                                  <w:vertAlign w:val="subscript"/>
                                </w:rPr>
                                <m:t>i</m:t>
                              </m:r>
                            </m:oMath>
                            <w:r w:rsidRPr="00A61B06">
                              <w:rPr>
                                <w:rFonts w:cs="Times New Roman"/>
                                <w:sz w:val="20"/>
                              </w:rPr>
                              <w:t>: Данные по компоненту i</w:t>
                            </w:r>
                          </w:p>
                          <w:p w:rsidR="00A61B06" w:rsidRPr="00A61B06" w:rsidRDefault="00A61B06" w:rsidP="00A61B06">
                            <w:pPr>
                              <w:spacing w:after="0"/>
                              <w:rPr>
                                <w:rFonts w:cs="Times New Roman"/>
                                <w:sz w:val="20"/>
                              </w:rPr>
                            </w:pPr>
                            <m:oMath>
                              <m:r>
                                <w:rPr>
                                  <w:rFonts w:ascii="Cambria Math" w:hAnsi="Cambria Math" w:cs="Times New Roman"/>
                                  <w:sz w:val="20"/>
                                </w:rPr>
                                <m:t>E</m:t>
                              </m:r>
                              <m:r>
                                <w:rPr>
                                  <w:rFonts w:ascii="Cambria Math" w:hAnsi="Cambria Math" w:cs="Times New Roman"/>
                                  <w:position w:val="-7"/>
                                  <w:sz w:val="20"/>
                                  <w:vertAlign w:val="subscript"/>
                                </w:rPr>
                                <m:t>i</m:t>
                              </m:r>
                            </m:oMath>
                            <w:r w:rsidRPr="00A61B06">
                              <w:rPr>
                                <w:rFonts w:cs="Times New Roman"/>
                                <w:sz w:val="20"/>
                              </w:rPr>
                              <w:t>: Общее количество инструментов в компоненте i</w:t>
                            </w:r>
                          </w:p>
                          <w:p w:rsidR="00A61B06" w:rsidRPr="00A61B06" w:rsidRDefault="00A61B06" w:rsidP="00A61B06">
                            <w:pPr>
                              <w:spacing w:after="0"/>
                              <w:rPr>
                                <w:rFonts w:cs="Times New Roman"/>
                                <w:sz w:val="20"/>
                              </w:rPr>
                            </w:pPr>
                            <m:oMath>
                              <m:r>
                                <w:rPr>
                                  <w:rFonts w:ascii="Cambria Math" w:eastAsia="Cambria Math" w:hAnsi="Cambria Math" w:cs="Times New Roman"/>
                                  <w:sz w:val="20"/>
                                </w:rPr>
                                <m:t>e</m:t>
                              </m:r>
                              <m:r>
                                <w:rPr>
                                  <w:rFonts w:ascii="Cambria Math" w:eastAsia="Cambria Math" w:hAnsi="Cambria Math" w:cs="Times New Roman"/>
                                  <w:position w:val="-7"/>
                                  <w:sz w:val="20"/>
                                  <w:vertAlign w:val="subscript"/>
                                </w:rPr>
                                <m:t>i</m:t>
                              </m:r>
                            </m:oMath>
                            <w:r w:rsidRPr="00A61B06">
                              <w:rPr>
                                <w:rFonts w:cs="Times New Roman"/>
                                <w:sz w:val="20"/>
                              </w:rPr>
                              <w:t>: Количество инструментов, существующих в компоненте i</w:t>
                            </w:r>
                          </w:p>
                          <w:p w:rsidR="00A61B06" w:rsidRPr="00A61B06" w:rsidRDefault="00A61B06" w:rsidP="00A61B06">
                            <w:pPr>
                              <w:spacing w:after="0"/>
                              <w:rPr>
                                <w:rFonts w:cs="Times New Roman"/>
                                <w:sz w:val="20"/>
                              </w:rPr>
                            </w:pPr>
                          </w:p>
                        </w:txbxContent>
                      </wps:txbx>
                      <wps:bodyPr wrap="square" lIns="182880" tIns="182880" rIns="182880" bIns="18288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70.9pt;margin-top:37.15pt;width:272.35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" fillcolor="#f0e8f3" stroked="f">
                <v:textbox inset="14.4pt,14.4pt,14.4pt,14.4pt">
                  <w:txbxContent>
                    <w:p w:rsidR="00A61B06" w:rsidRPr="00A61B06" w:rsidRDefault="00A61B06" w:rsidP="00A61B06">
                      <w:pPr>
                        <w:spacing w:after="0"/>
                        <w:rPr>
                          <w:rFonts w:cs="Times New Roman"/>
                          <w:sz w:val="20"/>
                        </w:rPr>
                      </w:pPr>
                      <m:oMath>
                        <m:r>
                          <w:rPr>
                            <w:rFonts w:ascii="Cambria Math" w:eastAsia="Cambria Math" w:hAnsi="Cambria Math" w:cs="Times New Roman"/>
                            <w:sz w:val="20"/>
                          </w:rPr>
                          <m:t>C</m:t>
                        </m:r>
                        <m:r>
                          <w:rPr>
                            <w:rFonts w:ascii="Cambria Math" w:eastAsia="Cambria Math" w:hAnsi="Cambria Math" w:cs="Times New Roman"/>
                            <w:position w:val="-7"/>
                            <w:sz w:val="20"/>
                            <w:vertAlign w:val="subscript"/>
                          </w:rPr>
                          <m:t>i</m:t>
                        </m:r>
                      </m:oMath>
                      <w:r w:rsidRPr="00A61B06">
                        <w:rPr>
                          <w:rFonts w:cs="Times New Roman"/>
                          <w:sz w:val="20"/>
                        </w:rPr>
                        <w:t>: Данные по компоненту i</w:t>
                      </w:r>
                    </w:p>
                    <w:p w:rsidR="00A61B06" w:rsidRPr="00A61B06" w:rsidRDefault="00A61B06" w:rsidP="00A61B06">
                      <w:pPr>
                        <w:spacing w:after="0"/>
                        <w:rPr>
                          <w:rFonts w:cs="Times New Roman"/>
                          <w:sz w:val="20"/>
                        </w:rPr>
                      </w:pPr>
                      <m:oMath>
                        <m:r>
                          <w:rPr>
                            <w:rFonts w:ascii="Cambria Math" w:hAnsi="Cambria Math" w:cs="Times New Roman"/>
                            <w:sz w:val="20"/>
                          </w:rPr>
                          <m:t>E</m:t>
                        </m:r>
                        <m:r>
                          <w:rPr>
                            <w:rFonts w:ascii="Cambria Math" w:hAnsi="Cambria Math" w:cs="Times New Roman"/>
                            <w:position w:val="-7"/>
                            <w:sz w:val="20"/>
                            <w:vertAlign w:val="subscript"/>
                          </w:rPr>
                          <m:t>i</m:t>
                        </m:r>
                      </m:oMath>
                      <w:r w:rsidRPr="00A61B06">
                        <w:rPr>
                          <w:rFonts w:cs="Times New Roman"/>
                          <w:sz w:val="20"/>
                        </w:rPr>
                        <w:t>: Общее количество инструментов в компоненте i</w:t>
                      </w:r>
                    </w:p>
                    <w:p w:rsidR="00A61B06" w:rsidRPr="00A61B06" w:rsidRDefault="00A61B06" w:rsidP="00A61B06">
                      <w:pPr>
                        <w:spacing w:after="0"/>
                        <w:rPr>
                          <w:rFonts w:cs="Times New Roman"/>
                          <w:sz w:val="20"/>
                        </w:rPr>
                      </w:pPr>
                      <m:oMath>
                        <m:r>
                          <w:rPr>
                            <w:rFonts w:ascii="Cambria Math" w:eastAsia="Cambria Math" w:hAnsi="Cambria Math" w:cs="Times New Roman"/>
                            <w:sz w:val="20"/>
                          </w:rPr>
                          <m:t>e</m:t>
                        </m:r>
                        <m:r>
                          <w:rPr>
                            <w:rFonts w:ascii="Cambria Math" w:eastAsia="Cambria Math" w:hAnsi="Cambria Math" w:cs="Times New Roman"/>
                            <w:position w:val="-7"/>
                            <w:sz w:val="20"/>
                            <w:vertAlign w:val="subscript"/>
                          </w:rPr>
                          <m:t>i</m:t>
                        </m:r>
                      </m:oMath>
                      <w:r w:rsidRPr="00A61B06">
                        <w:rPr>
                          <w:rFonts w:cs="Times New Roman"/>
                          <w:sz w:val="20"/>
                        </w:rPr>
                        <w:t>: Количество инструментов, существующих в компоненте i</w:t>
                      </w:r>
                    </w:p>
                    <w:p w:rsidR="00A61B06" w:rsidRPr="00A61B06" w:rsidRDefault="00A61B06" w:rsidP="00A61B06">
                      <w:pPr>
                        <w:spacing w:after="0"/>
                        <w:rPr>
                          <w:rFonts w:cs="Times New Roman"/>
                          <w:sz w:val="20"/>
                        </w:rPr>
                      </w:pPr>
                    </w:p>
                  </w:txbxContent>
                </v:textbox>
              </v:rect>
            </w:pict>
          </mc:Fallback>
        </mc:AlternateContent>
      </w:r>
      <w:r w:rsidR="00A61B06" w:rsidRPr="00A61B06">
        <w:rPr>
          <w:noProof/>
          <w:lang w:eastAsia="ru-RU"/>
        </w:rPr>
        <mc:AlternateContent>
          <mc:Choice Requires="wps">
            <w:drawing>
              <wp:anchor distT="0" distB="0" distL="114300" distR="114300" simplePos="0" relativeHeight="251662336" behindDoc="0" locked="0" layoutInCell="1" allowOverlap="1" wp14:anchorId="7C29B819" wp14:editId="678897A8">
                <wp:simplePos x="0" y="0"/>
                <wp:positionH relativeFrom="margin">
                  <wp:posOffset>28575</wp:posOffset>
                </wp:positionH>
                <wp:positionV relativeFrom="paragraph">
                  <wp:posOffset>473710</wp:posOffset>
                </wp:positionV>
                <wp:extent cx="2128520" cy="477520"/>
                <wp:effectExtent l="0" t="0" r="0" b="0"/>
                <wp:wrapNone/>
                <wp:docPr id="1" name="TextBox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B53F66-3702-4A42-8B5D-78EE40838716}"/>
                    </a:ext>
                  </a:extLst>
                </wp:docPr>
                <wp:cNvGraphicFramePr/>
                <a:graphic xmlns:a="http://schemas.openxmlformats.org/drawingml/2006/main">
                  <a:graphicData uri="http://schemas.microsoft.com/office/word/2010/wordprocessingShape">
                    <wps:wsp>
                      <wps:cNvSpPr txBox="1"/>
                      <wps:spPr>
                        <a:xfrm>
                          <a:off x="0" y="0"/>
                          <a:ext cx="2128520" cy="477520"/>
                        </a:xfrm>
                        <a:prstGeom prst="rect">
                          <a:avLst/>
                        </a:prstGeom>
                        <a:noFill/>
                      </wps:spPr>
                      <wps:txbx>
                        <w:txbxContent>
                          <w:p w:rsidR="00A61B06" w:rsidRPr="00BE4170" w:rsidRDefault="00A61B06" w:rsidP="00A61B06">
                            <w:pPr>
                              <w:pStyle w:val="af4"/>
                              <w:rPr>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stheme="minorBidi"/>
                                    <w:color w:val="000000"/>
                                    <w:kern w:val="24"/>
                                    <w:szCs w:val="48"/>
                                  </w:rPr>
                                  <m:t>=</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e</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E</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37.3pt;width:167.6pt;height:3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" filled="f" stroked="f">
                <v:textbox inset="0,0,0,0">
                  <w:txbxContent>
                    <w:p w:rsidR="00A61B06" w:rsidRPr="00BE4170" w:rsidRDefault="00A61B06" w:rsidP="00A61B06">
                      <w:pPr>
                        <w:pStyle w:val="af4"/>
                        <w:rPr>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stheme="minorBidi"/>
                              <w:color w:val="000000"/>
                              <w:kern w:val="24"/>
                              <w:szCs w:val="48"/>
                            </w:rPr>
                            <m:t>=</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e</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E</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×100</m:t>
                          </m:r>
                        </m:oMath>
                      </m:oMathPara>
                    </w:p>
                  </w:txbxContent>
                </v:textbox>
                <w10:wrap anchorx="margin"/>
              </v:shape>
            </w:pict>
          </mc:Fallback>
        </mc:AlternateContent>
      </w:r>
      <w:r w:rsidR="00A61B06" w:rsidRPr="00A61B06">
        <w:t>Поскольку юридические барьеры не считаются применимыми для C2: товары, спасающие жизни, и C9: учебная программа CSE, они рассчитываются как:</w:t>
      </w:r>
    </w:p>
    <w:p w:rsidR="00A61B06" w:rsidRDefault="00A61B06" w:rsidP="00A61B06"/>
    <w:p w:rsidR="00A61B06" w:rsidRDefault="00A61B06" w:rsidP="00A61B06"/>
    <w:p w:rsidR="00A61B06" w:rsidRDefault="00A61B06" w:rsidP="00A61B06"/>
    <w:p w:rsidR="00A61B06" w:rsidRDefault="00DA4FEC" w:rsidP="00A61B06">
      <w:r w:rsidRPr="001E4431">
        <w:rPr>
          <w:noProof/>
          <w:lang w:eastAsia="ru-RU"/>
        </w:rPr>
        <mc:AlternateContent>
          <mc:Choice Requires="wps">
            <w:drawing>
              <wp:anchor distT="0" distB="0" distL="114300" distR="114300" simplePos="0" relativeHeight="251668480" behindDoc="0" locked="0" layoutInCell="1" allowOverlap="1" wp14:anchorId="4EEA2B11" wp14:editId="0883076B">
                <wp:simplePos x="0" y="0"/>
                <wp:positionH relativeFrom="column">
                  <wp:posOffset>2166620</wp:posOffset>
                </wp:positionH>
                <wp:positionV relativeFrom="paragraph">
                  <wp:posOffset>899795</wp:posOffset>
                </wp:positionV>
                <wp:extent cx="3898900" cy="1146810"/>
                <wp:effectExtent l="0" t="0" r="6350" b="0"/>
                <wp:wrapNone/>
                <wp:docPr id="4" name="Rectangle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92DCA3-7ADF-6C4C-976E-C13525BC69F6}"/>
                    </a:ext>
                  </a:extLst>
                </wp:docPr>
                <wp:cNvGraphicFramePr/>
                <a:graphic xmlns:a="http://schemas.openxmlformats.org/drawingml/2006/main">
                  <a:graphicData uri="http://schemas.microsoft.com/office/word/2010/wordprocessingShape">
                    <wps:wsp>
                      <wps:cNvSpPr/>
                      <wps:spPr>
                        <a:xfrm>
                          <a:off x="0" y="0"/>
                          <a:ext cx="3898900" cy="1146810"/>
                        </a:xfrm>
                        <a:prstGeom prst="rect">
                          <a:avLst/>
                        </a:prstGeom>
                        <a:solidFill>
                          <a:srgbClr val="F0E8F3"/>
                        </a:solidFill>
                      </wps:spPr>
                      <wps:txbx>
                        <w:txbxContent>
                          <w:p w:rsidR="00DA4FEC" w:rsidRPr="00A61B06" w:rsidRDefault="00DA4FEC" w:rsidP="00DA4FEC">
                            <w:pPr>
                              <w:spacing w:after="0"/>
                              <w:rPr>
                                <w:rFonts w:cs="Times New Roman"/>
                                <w:sz w:val="18"/>
                              </w:rPr>
                            </w:pPr>
                            <m:oMath>
                              <m:r>
                                <w:rPr>
                                  <w:rFonts w:ascii="Cambria Math" w:eastAsia="Cambria Math" w:hAnsi="Cambria Math" w:cs="Times New Roman"/>
                                  <w:sz w:val="18"/>
                                </w:rPr>
                                <m:t>C</m:t>
                              </m:r>
                              <m:r>
                                <w:rPr>
                                  <w:rFonts w:ascii="Cambria Math" w:eastAsia="Cambria Math" w:hAnsi="Cambria Math" w:cs="Times New Roman"/>
                                  <w:position w:val="-7"/>
                                  <w:sz w:val="18"/>
                                  <w:vertAlign w:val="subscript"/>
                                </w:rPr>
                                <m:t>i</m:t>
                              </m:r>
                            </m:oMath>
                            <w:r w:rsidRPr="00A61B06">
                              <w:rPr>
                                <w:rFonts w:cs="Times New Roman"/>
                                <w:sz w:val="18"/>
                              </w:rPr>
                              <w:t>: Данные по компоненту i</w:t>
                            </w:r>
                          </w:p>
                          <w:p w:rsidR="00DA4FEC" w:rsidRPr="00A61B06" w:rsidRDefault="00DA4FEC" w:rsidP="00DA4FEC">
                            <w:pPr>
                              <w:spacing w:after="0"/>
                              <w:rPr>
                                <w:rFonts w:cs="Times New Roman"/>
                                <w:sz w:val="18"/>
                              </w:rPr>
                            </w:pPr>
                            <m:oMath>
                              <m:r>
                                <w:rPr>
                                  <w:rFonts w:ascii="Cambria Math" w:hAnsi="Cambria Math" w:cs="Times New Roman"/>
                                  <w:sz w:val="18"/>
                                </w:rPr>
                                <m:t>E</m:t>
                              </m:r>
                              <m:r>
                                <w:rPr>
                                  <w:rFonts w:ascii="Cambria Math" w:hAnsi="Cambria Math" w:cs="Times New Roman"/>
                                  <w:position w:val="-7"/>
                                  <w:sz w:val="18"/>
                                  <w:vertAlign w:val="subscript"/>
                                </w:rPr>
                                <m:t>i</m:t>
                              </m:r>
                            </m:oMath>
                            <w:r w:rsidRPr="00A61B06">
                              <w:rPr>
                                <w:rFonts w:cs="Times New Roman"/>
                                <w:sz w:val="18"/>
                              </w:rPr>
                              <w:t>: Общее количество инструментов в компоненте i</w:t>
                            </w:r>
                          </w:p>
                          <w:p w:rsidR="00DA4FEC" w:rsidRPr="00A61B06" w:rsidRDefault="00DA4FEC" w:rsidP="00DA4FEC">
                            <w:pPr>
                              <w:spacing w:after="0"/>
                              <w:rPr>
                                <w:rFonts w:cs="Times New Roman"/>
                                <w:sz w:val="18"/>
                              </w:rPr>
                            </w:pPr>
                            <m:oMath>
                              <m:r>
                                <w:rPr>
                                  <w:rFonts w:ascii="Cambria Math" w:eastAsia="Cambria Math" w:hAnsi="Cambria Math" w:cs="Times New Roman"/>
                                  <w:sz w:val="18"/>
                                </w:rPr>
                                <m:t>e</m:t>
                              </m:r>
                              <m:r>
                                <w:rPr>
                                  <w:rFonts w:ascii="Cambria Math" w:eastAsia="Cambria Math" w:hAnsi="Cambria Math" w:cs="Times New Roman"/>
                                  <w:position w:val="-7"/>
                                  <w:sz w:val="18"/>
                                  <w:vertAlign w:val="subscript"/>
                                </w:rPr>
                                <m:t>i</m:t>
                              </m:r>
                            </m:oMath>
                            <w:r w:rsidRPr="00A61B06">
                              <w:rPr>
                                <w:rFonts w:cs="Times New Roman"/>
                                <w:sz w:val="18"/>
                              </w:rPr>
                              <w:t>: Количество инструментов, существующих в компоненте i</w:t>
                            </w:r>
                          </w:p>
                          <w:p w:rsidR="00DA4FEC" w:rsidRPr="00A61B06" w:rsidRDefault="00DA4FEC" w:rsidP="00DA4FEC">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Общее количество препятствий в компоненте i</w:t>
                            </w:r>
                          </w:p>
                          <w:p w:rsidR="00DA4FEC" w:rsidRPr="00A61B06" w:rsidRDefault="00DA4FEC" w:rsidP="00DA4FEC">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Количество препятствий, существующих в компоненте i</w:t>
                            </w:r>
                          </w:p>
                        </w:txbxContent>
                      </wps:txbx>
                      <wps:bodyPr wrap="square" lIns="182880" tIns="182880" rIns="182880" bIns="182880">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70.6pt;margin-top:70.85pt;width:307pt;height:9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" fillcolor="#f0e8f3" stroked="f">
                <v:textbox inset="14.4pt,14.4pt,14.4pt,14.4pt">
                  <w:txbxContent>
                    <w:p w:rsidR="00DA4FEC" w:rsidRPr="00A61B06" w:rsidRDefault="00DA4FEC" w:rsidP="00DA4FEC">
                      <w:pPr>
                        <w:spacing w:after="0"/>
                        <w:rPr>
                          <w:rFonts w:cs="Times New Roman"/>
                          <w:sz w:val="18"/>
                        </w:rPr>
                      </w:pPr>
                      <m:oMath>
                        <m:r>
                          <w:rPr>
                            <w:rFonts w:ascii="Cambria Math" w:eastAsia="Cambria Math" w:hAnsi="Cambria Math" w:cs="Times New Roman"/>
                            <w:sz w:val="18"/>
                          </w:rPr>
                          <m:t>C</m:t>
                        </m:r>
                        <m:r>
                          <w:rPr>
                            <w:rFonts w:ascii="Cambria Math" w:eastAsia="Cambria Math" w:hAnsi="Cambria Math" w:cs="Times New Roman"/>
                            <w:position w:val="-7"/>
                            <w:sz w:val="18"/>
                            <w:vertAlign w:val="subscript"/>
                          </w:rPr>
                          <m:t>i</m:t>
                        </m:r>
                      </m:oMath>
                      <w:r w:rsidRPr="00A61B06">
                        <w:rPr>
                          <w:rFonts w:cs="Times New Roman"/>
                          <w:sz w:val="18"/>
                        </w:rPr>
                        <w:t>: Данные по компоненту i</w:t>
                      </w:r>
                    </w:p>
                    <w:p w:rsidR="00DA4FEC" w:rsidRPr="00A61B06" w:rsidRDefault="00DA4FEC" w:rsidP="00DA4FEC">
                      <w:pPr>
                        <w:spacing w:after="0"/>
                        <w:rPr>
                          <w:rFonts w:cs="Times New Roman"/>
                          <w:sz w:val="18"/>
                        </w:rPr>
                      </w:pPr>
                      <m:oMath>
                        <m:r>
                          <w:rPr>
                            <w:rFonts w:ascii="Cambria Math" w:hAnsi="Cambria Math" w:cs="Times New Roman"/>
                            <w:sz w:val="18"/>
                          </w:rPr>
                          <m:t>E</m:t>
                        </m:r>
                        <m:r>
                          <w:rPr>
                            <w:rFonts w:ascii="Cambria Math" w:hAnsi="Cambria Math" w:cs="Times New Roman"/>
                            <w:position w:val="-7"/>
                            <w:sz w:val="18"/>
                            <w:vertAlign w:val="subscript"/>
                          </w:rPr>
                          <m:t>i</m:t>
                        </m:r>
                      </m:oMath>
                      <w:r w:rsidRPr="00A61B06">
                        <w:rPr>
                          <w:rFonts w:cs="Times New Roman"/>
                          <w:sz w:val="18"/>
                        </w:rPr>
                        <w:t>: Общее количество инструментов в компоненте i</w:t>
                      </w:r>
                    </w:p>
                    <w:p w:rsidR="00DA4FEC" w:rsidRPr="00A61B06" w:rsidRDefault="00DA4FEC" w:rsidP="00DA4FEC">
                      <w:pPr>
                        <w:spacing w:after="0"/>
                        <w:rPr>
                          <w:rFonts w:cs="Times New Roman"/>
                          <w:sz w:val="18"/>
                        </w:rPr>
                      </w:pPr>
                      <m:oMath>
                        <m:r>
                          <w:rPr>
                            <w:rFonts w:ascii="Cambria Math" w:eastAsia="Cambria Math" w:hAnsi="Cambria Math" w:cs="Times New Roman"/>
                            <w:sz w:val="18"/>
                          </w:rPr>
                          <m:t>e</m:t>
                        </m:r>
                        <m:r>
                          <w:rPr>
                            <w:rFonts w:ascii="Cambria Math" w:eastAsia="Cambria Math" w:hAnsi="Cambria Math" w:cs="Times New Roman"/>
                            <w:position w:val="-7"/>
                            <w:sz w:val="18"/>
                            <w:vertAlign w:val="subscript"/>
                          </w:rPr>
                          <m:t>i</m:t>
                        </m:r>
                      </m:oMath>
                      <w:r w:rsidRPr="00A61B06">
                        <w:rPr>
                          <w:rFonts w:cs="Times New Roman"/>
                          <w:sz w:val="18"/>
                        </w:rPr>
                        <w:t>: Количество инструментов, существующих в компоненте i</w:t>
                      </w:r>
                    </w:p>
                    <w:p w:rsidR="00DA4FEC" w:rsidRPr="00A61B06" w:rsidRDefault="00DA4FEC" w:rsidP="00DA4FEC">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Общее количество препятствий в компоненте i</w:t>
                      </w:r>
                    </w:p>
                    <w:p w:rsidR="00DA4FEC" w:rsidRPr="00A61B06" w:rsidRDefault="00DA4FEC" w:rsidP="00DA4FEC">
                      <w:pPr>
                        <w:spacing w:after="0"/>
                        <w:rPr>
                          <w:rFonts w:cs="Times New Roman"/>
                          <w:sz w:val="18"/>
                        </w:rPr>
                      </w:pPr>
                      <m:oMath>
                        <m:r>
                          <w:rPr>
                            <w:rFonts w:ascii="Cambria Math" w:hAnsi="Cambria Math" w:cs="Times New Roman"/>
                            <w:sz w:val="18"/>
                          </w:rPr>
                          <m:t>b</m:t>
                        </m:r>
                        <m:r>
                          <w:rPr>
                            <w:rFonts w:ascii="Cambria Math" w:hAnsi="Cambria Math" w:cs="Times New Roman"/>
                            <w:position w:val="-7"/>
                            <w:sz w:val="18"/>
                            <w:vertAlign w:val="subscript"/>
                          </w:rPr>
                          <m:t>i</m:t>
                        </m:r>
                      </m:oMath>
                      <w:r w:rsidRPr="00A61B06">
                        <w:rPr>
                          <w:rFonts w:cs="Times New Roman"/>
                          <w:sz w:val="18"/>
                        </w:rPr>
                        <w:t>: Количество препятствий, существующих в компоненте i</w:t>
                      </w:r>
                    </w:p>
                  </w:txbxContent>
                </v:textbox>
              </v:rect>
            </w:pict>
          </mc:Fallback>
        </mc:AlternateContent>
      </w:r>
      <w:r w:rsidRPr="00DA4FEC">
        <w:rPr>
          <w:noProof/>
          <w:lang w:eastAsia="ru-RU"/>
        </w:rPr>
        <mc:AlternateContent>
          <mc:Choice Requires="wps">
            <w:drawing>
              <wp:anchor distT="0" distB="0" distL="114300" distR="114300" simplePos="0" relativeHeight="251666432" behindDoc="0" locked="0" layoutInCell="1" allowOverlap="1" wp14:anchorId="21BF4688" wp14:editId="42018222">
                <wp:simplePos x="0" y="0"/>
                <wp:positionH relativeFrom="margin">
                  <wp:posOffset>-43815</wp:posOffset>
                </wp:positionH>
                <wp:positionV relativeFrom="paragraph">
                  <wp:posOffset>903617</wp:posOffset>
                </wp:positionV>
                <wp:extent cx="2128520" cy="477520"/>
                <wp:effectExtent l="0" t="0" r="0" b="0"/>
                <wp:wrapNone/>
                <wp:docPr id="3" name="TextBox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B53F66-3702-4A42-8B5D-78EE40838716}"/>
                    </a:ext>
                  </a:extLst>
                </wp:docPr>
                <wp:cNvGraphicFramePr/>
                <a:graphic xmlns:a="http://schemas.openxmlformats.org/drawingml/2006/main">
                  <a:graphicData uri="http://schemas.microsoft.com/office/word/2010/wordprocessingShape">
                    <wps:wsp>
                      <wps:cNvSpPr txBox="1"/>
                      <wps:spPr>
                        <a:xfrm>
                          <a:off x="0" y="0"/>
                          <a:ext cx="2128520" cy="477520"/>
                        </a:xfrm>
                        <a:prstGeom prst="rect">
                          <a:avLst/>
                        </a:prstGeom>
                        <a:noFill/>
                      </wps:spPr>
                      <wps:txbx>
                        <w:txbxContent>
                          <w:p w:rsidR="00DA4FEC" w:rsidRPr="00BE4170" w:rsidRDefault="00DA4FEC" w:rsidP="00DA4FEC">
                            <w:pPr>
                              <w:pStyle w:val="af4"/>
                              <w:rPr>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stheme="minorBidi"/>
                                    <w:color w:val="000000"/>
                                    <w:kern w:val="24"/>
                                    <w:szCs w:val="48"/>
                                  </w:rPr>
                                  <m:t>=</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e</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E</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(1-</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b</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B</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m:t>
                                </m:r>
                                <m:r>
                                  <w:rPr>
                                    <w:rFonts w:ascii="Cambria Math" w:eastAsia="Cambria Math" w:hAnsi="Cambria Math" w:cstheme="minorBidi"/>
                                    <w:color w:val="000000"/>
                                    <w:kern w:val="24"/>
                                    <w:szCs w:val="48"/>
                                  </w:rPr>
                                  <m:t>×100</m:t>
                                </m:r>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5pt;margin-top:71.15pt;width:167.6pt;height:3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" filled="f" stroked="f">
                <v:textbox inset="0,0,0,0">
                  <w:txbxContent>
                    <w:p w:rsidR="00DA4FEC" w:rsidRPr="00BE4170" w:rsidRDefault="00DA4FEC" w:rsidP="00DA4FEC">
                      <w:pPr>
                        <w:pStyle w:val="af4"/>
                        <w:rPr>
                          <w:sz w:val="12"/>
                        </w:rPr>
                      </w:pPr>
                      <m:oMathPara>
                        <m:oMathParaPr>
                          <m:jc m:val="centerGroup"/>
                        </m:oMathParaPr>
                        <m:oMath>
                          <m:r>
                            <w:rPr>
                              <w:rFonts w:ascii="Cambria Math" w:eastAsia="Cambria Math" w:hAnsi="Cambria Math" w:cstheme="minorBidi"/>
                              <w:color w:val="000000"/>
                              <w:kern w:val="24"/>
                              <w:szCs w:val="48"/>
                            </w:rPr>
                            <m:t>C</m:t>
                          </m:r>
                          <m:r>
                            <w:rPr>
                              <w:rFonts w:ascii="Cambria Math" w:eastAsia="Cambria Math" w:hAnsi="Cambria Math" w:cstheme="minorBidi"/>
                              <w:color w:val="000000"/>
                              <w:kern w:val="24"/>
                              <w:position w:val="-12"/>
                              <w:szCs w:val="48"/>
                              <w:vertAlign w:val="subscript"/>
                            </w:rPr>
                            <m:t>i</m:t>
                          </m:r>
                          <m:r>
                            <w:rPr>
                              <w:rFonts w:ascii="Cambria Math" w:eastAsia="Cambria Math" w:hAnsi="Cambria Math" w:cstheme="minorBidi"/>
                              <w:color w:val="000000"/>
                              <w:kern w:val="24"/>
                              <w:szCs w:val="48"/>
                            </w:rPr>
                            <m:t>=</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e</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E</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(1-</m:t>
                          </m:r>
                          <m:f>
                            <m:fPr>
                              <m:ctrlPr>
                                <w:rPr>
                                  <w:rFonts w:ascii="Cambria Math" w:eastAsia="Cambria Math" w:hAnsi="Cambria Math" w:cstheme="minorBidi"/>
                                  <w:i/>
                                  <w:iCs/>
                                  <w:color w:val="000000"/>
                                  <w:kern w:val="24"/>
                                  <w:szCs w:val="48"/>
                                </w:rPr>
                              </m:ctrlPr>
                            </m:fPr>
                            <m:num>
                              <m:r>
                                <w:rPr>
                                  <w:rFonts w:ascii="Cambria Math" w:eastAsia="Cambria Math" w:hAnsi="Cambria Math" w:cstheme="minorBidi"/>
                                  <w:color w:val="000000"/>
                                  <w:kern w:val="24"/>
                                  <w:szCs w:val="48"/>
                                </w:rPr>
                                <m:t>b</m:t>
                              </m:r>
                              <m:r>
                                <w:rPr>
                                  <w:rFonts w:ascii="Cambria Math" w:eastAsia="Cambria Math" w:hAnsi="Cambria Math" w:cstheme="minorBidi"/>
                                  <w:color w:val="000000"/>
                                  <w:kern w:val="24"/>
                                  <w:position w:val="-12"/>
                                  <w:szCs w:val="48"/>
                                  <w:vertAlign w:val="subscript"/>
                                </w:rPr>
                                <m:t>i</m:t>
                              </m:r>
                            </m:num>
                            <m:den>
                              <m:r>
                                <w:rPr>
                                  <w:rFonts w:ascii="Cambria Math" w:hAnsi="Cambria Math" w:cstheme="minorBidi"/>
                                  <w:color w:val="000000"/>
                                  <w:kern w:val="24"/>
                                  <w:szCs w:val="48"/>
                                </w:rPr>
                                <m:t>B</m:t>
                              </m:r>
                              <m:r>
                                <w:rPr>
                                  <w:rFonts w:ascii="Cambria Math" w:hAnsi="Cambria Math" w:cstheme="minorBidi"/>
                                  <w:color w:val="000000"/>
                                  <w:kern w:val="24"/>
                                  <w:position w:val="-12"/>
                                  <w:szCs w:val="48"/>
                                  <w:vertAlign w:val="subscript"/>
                                </w:rPr>
                                <m:t>i</m:t>
                              </m:r>
                            </m:den>
                          </m:f>
                          <m:r>
                            <w:rPr>
                              <w:rFonts w:ascii="Cambria Math" w:eastAsia="Cambria Math" w:hAnsi="Cambria Math" w:cstheme="minorBidi"/>
                              <w:color w:val="000000"/>
                              <w:kern w:val="24"/>
                              <w:szCs w:val="48"/>
                            </w:rPr>
                            <m:t>)</m:t>
                          </m:r>
                          <m:r>
                            <w:rPr>
                              <w:rFonts w:ascii="Cambria Math" w:eastAsia="Cambria Math" w:hAnsi="Cambria Math" w:cstheme="minorBidi"/>
                              <w:color w:val="000000"/>
                              <w:kern w:val="24"/>
                              <w:szCs w:val="48"/>
                            </w:rPr>
                            <m:t>×100</m:t>
                          </m:r>
                        </m:oMath>
                      </m:oMathPara>
                    </w:p>
                  </w:txbxContent>
                </v:textbox>
                <w10:wrap anchorx="margin"/>
              </v:shape>
            </w:pict>
          </mc:Fallback>
        </mc:AlternateContent>
      </w:r>
      <w:r w:rsidR="00A61B06" w:rsidRPr="00A61B06">
        <w:t>Кроме того, поскольку C3: Аборт собирает информацию о четырех типах правовых оснований (для спасения жизни женщины, для сохранения здоровья женщины, в случаях изнасилования и в случаях нарушения развития плода), и что правовые барьеры применяются к каждому типу, он рассчитывается как:</w:t>
      </w:r>
    </w:p>
    <w:p w:rsidR="00DA4FEC" w:rsidRDefault="00DA4FEC" w:rsidP="00A61B06"/>
    <w:p w:rsidR="00DA4FEC" w:rsidRDefault="00DA4FEC" w:rsidP="00A61B06"/>
    <w:p w:rsidR="00DA4FEC" w:rsidRDefault="00DA4FEC" w:rsidP="00A61B06">
      <w:pPr>
        <w:rPr>
          <w:lang w:val="en-US"/>
        </w:rPr>
      </w:pPr>
    </w:p>
    <w:p w:rsidR="00DA4FEC" w:rsidRPr="00DA4FEC" w:rsidRDefault="00DA4FEC" w:rsidP="00A61B06">
      <w:pPr>
        <w:rPr>
          <w:lang w:val="en-US"/>
        </w:rPr>
      </w:pPr>
    </w:p>
    <w:p w:rsidR="00A61B06" w:rsidRDefault="00DA4FEC" w:rsidP="00C36458">
      <w:r w:rsidRPr="00DA4FEC">
        <w:t xml:space="preserve">Значение показателя 5.6.2 рассчитывается как среднее арифметическое </w:t>
      </w:r>
      <w:r>
        <w:t>данных по 13 компонентам</w:t>
      </w:r>
      <w:r w:rsidRPr="00DA4FEC">
        <w:t>. Аналогично, значение для каждого раздела вычисляется как среднее арифметическое составляющих его данных компонентов.</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C36458" w:rsidRDefault="00C36458" w:rsidP="00C36458">
      <w:r w:rsidRPr="00C36458">
        <w:t xml:space="preserve">Консультации со странами проводятся для каждого раунда сбора данных. Данные по показателям и методология передаются национальным правительствам вместе с </w:t>
      </w:r>
      <w:r w:rsidR="00040834">
        <w:t>изначально предоставленными материалами</w:t>
      </w:r>
      <w:r w:rsidRPr="00C36458">
        <w:t xml:space="preserve">. Показатель 5.6.2 основан на официальных ответах, представленных национальными правительствами. ЮНФПА может связаться с национальными правительствами и запросить дополнительную информацию, если ответы отличаются от информации по конкретной стране о законодательных и нормативных изменениях по вопросам, касающимся соответствующих мандатов ключевых заинтересованных сторон, включая </w:t>
      </w:r>
      <w:proofErr w:type="spellStart"/>
      <w:r w:rsidRPr="00C36458">
        <w:t>Страновые</w:t>
      </w:r>
      <w:proofErr w:type="spellEnd"/>
      <w:r w:rsidRPr="00C36458">
        <w:t xml:space="preserve"> группы ООН и учреждения ООН. ЮНФПА также призывает каждую страну создать национальный комитет по проверке для рассмотрения и подтверждения всех материалов, полученных в ходе </w:t>
      </w:r>
      <w:r w:rsidR="00040834">
        <w:t>Обследования</w:t>
      </w:r>
      <w:r w:rsidRPr="00C36458">
        <w:t>.</w:t>
      </w:r>
    </w:p>
    <w:p w:rsidR="00D31BA3" w:rsidRDefault="00D31BA3" w:rsidP="00C36458"/>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D31BA3" w:rsidRDefault="00D31BA3" w:rsidP="00D31BA3">
      <w:r w:rsidRPr="00D31BA3">
        <w:t>На глобальном уровне никаких корректировок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D31BA3">
      <w:r w:rsidRPr="00BD29EC">
        <w:t>•</w:t>
      </w:r>
      <w:r w:rsidRPr="00BD29EC">
        <w:tab/>
      </w:r>
      <w:r w:rsidR="00694160" w:rsidRPr="00BD29EC">
        <w:t>На уровне страны</w:t>
      </w:r>
    </w:p>
    <w:p w:rsidR="002E15F9" w:rsidRPr="00BD29EC" w:rsidRDefault="00D31BA3" w:rsidP="00D31BA3">
      <w:r w:rsidRPr="00D31BA3">
        <w:t>Для страны с отсутствующими данными вменение не производится.</w:t>
      </w:r>
    </w:p>
    <w:p w:rsidR="002E15F9" w:rsidRPr="00BD29EC" w:rsidRDefault="002E15F9" w:rsidP="00D31BA3">
      <w:r w:rsidRPr="00BD29EC">
        <w:t>•</w:t>
      </w:r>
      <w:r w:rsidRPr="00BD29EC">
        <w:tab/>
      </w:r>
      <w:r w:rsidR="00694160" w:rsidRPr="00BD29EC">
        <w:t>На региональном и глобальном уровнях</w:t>
      </w:r>
    </w:p>
    <w:p w:rsidR="00D31BA3" w:rsidRDefault="00D31BA3" w:rsidP="00D31BA3">
      <w:r w:rsidRPr="00D31BA3">
        <w:t>На региональном и глобальном уровнях никаких вменений производиться не будет.</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D31BA3" w:rsidP="00D31BA3">
      <w:r w:rsidRPr="00D31BA3">
        <w:t>Глобальные и региональные агрегированные показатели рассчитываются как невзвешенные средние значения данных по конкретным странам для входящих в них стран.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D31BA3" w:rsidRPr="00BD29EC" w:rsidRDefault="00D31BA3" w:rsidP="00D31BA3">
      <w:r w:rsidRPr="00D31BA3">
        <w:t xml:space="preserve">Показатель 5.6.2 рассчитывается на основе официальных ответов правительств, собранных в рамках проведенного Организацией Объединенных Наций </w:t>
      </w:r>
      <w:r>
        <w:t>обследования</w:t>
      </w:r>
      <w:r w:rsidRPr="00D31BA3">
        <w:t xml:space="preserve"> правительств по вопросам народонаселения и развития. </w:t>
      </w:r>
      <w:r>
        <w:t>Обследование</w:t>
      </w:r>
      <w:r w:rsidRPr="00D31BA3">
        <w:t>, санкционированное Генеральной Ассамблеей в ее резолюции 1838 (XVII) от 18 декабря 1962 года, проводится Генеральным секретарем с 1963 года. Все вопросы, необходимые для показателя 5.6.2, включены в Модуль II по фертильности, планированию семьи и репродуктивному здоровью О</w:t>
      </w:r>
      <w:r>
        <w:t>бследования</w:t>
      </w:r>
      <w:r w:rsidRPr="00D31BA3">
        <w:t>.</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4F4468" w:rsidRPr="00BD29EC" w:rsidRDefault="004F4468" w:rsidP="004F4468">
      <w:r>
        <w:t>Не применимо.</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66310D" w:rsidRPr="0066310D" w:rsidRDefault="0066310D" w:rsidP="0066310D">
      <w:r w:rsidRPr="0066310D">
        <w:t xml:space="preserve">Показатель 5.6.2 опирается на официальные ответы, представленные национальными правительствами. ЮНФПА может связываться с национальными правительствами и запрашивать дополнительную информацию, если ответы отличаются от данных конкретной страны о законодательных и нормативных изменениях по вопросам, касающимся соответствующих мандатов ключевых заинтересованных сторон, включая </w:t>
      </w:r>
      <w:proofErr w:type="spellStart"/>
      <w:r w:rsidRPr="0066310D">
        <w:t>страновые</w:t>
      </w:r>
      <w:proofErr w:type="spellEnd"/>
      <w:r w:rsidRPr="0066310D">
        <w:t xml:space="preserve"> группы ООН и подразделения ООН. ЮНФПА также призывает каждую страну создать национальный комитет по утверждению для рассмотрения и проверки всех материалов, полученных в результате О</w:t>
      </w:r>
      <w:r>
        <w:t>бследования</w:t>
      </w:r>
      <w:r w:rsidRPr="0066310D">
        <w:t xml:space="preserve">. </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6310D" w:rsidRPr="00BD29EC" w:rsidRDefault="0066310D" w:rsidP="0066310D">
      <w:r>
        <w:t xml:space="preserve">Не применимо.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lastRenderedPageBreak/>
        <w:t>Доступность данных:</w:t>
      </w:r>
    </w:p>
    <w:p w:rsidR="0066310D" w:rsidRPr="00BD29EC" w:rsidRDefault="0066310D" w:rsidP="0075371E">
      <w:pPr>
        <w:pStyle w:val="MText"/>
        <w:rPr>
          <w:color w:val="auto"/>
          <w:sz w:val="24"/>
          <w:szCs w:val="24"/>
          <w:lang w:val="ru-RU"/>
        </w:rPr>
      </w:pPr>
      <w:r w:rsidRPr="0066310D">
        <w:rPr>
          <w:color w:val="auto"/>
          <w:sz w:val="24"/>
          <w:szCs w:val="24"/>
          <w:lang w:val="ru-RU"/>
        </w:rPr>
        <w:t>Полные или частичные данные по показателю 5.6.2 имеются в 153 странах, охватывающих 89 процентов населения мира. Полные данные имеются в общей сложности по 115 странам, что позволяет рассчитать данные для показателя 5.6.2.</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66310D" w:rsidRPr="00BD29EC" w:rsidRDefault="0066310D" w:rsidP="0075371E">
      <w:pPr>
        <w:pStyle w:val="MText"/>
        <w:rPr>
          <w:color w:val="auto"/>
          <w:sz w:val="24"/>
          <w:szCs w:val="24"/>
          <w:lang w:val="ru-RU"/>
        </w:rPr>
      </w:pPr>
      <w:r>
        <w:rPr>
          <w:color w:val="auto"/>
          <w:sz w:val="24"/>
          <w:szCs w:val="24"/>
          <w:lang w:val="ru-RU"/>
        </w:rPr>
        <w:t>Не применимо.</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66310D" w:rsidRDefault="0066310D" w:rsidP="0075371E">
      <w:pPr>
        <w:pStyle w:val="MText"/>
        <w:rPr>
          <w:color w:val="auto"/>
          <w:sz w:val="24"/>
          <w:szCs w:val="24"/>
          <w:lang w:val="ru-RU"/>
        </w:rPr>
      </w:pPr>
      <w:r w:rsidRPr="0066310D">
        <w:rPr>
          <w:color w:val="auto"/>
          <w:sz w:val="24"/>
          <w:szCs w:val="24"/>
          <w:lang w:val="ru-RU"/>
        </w:rPr>
        <w:t>Данные будут дезагрегированы по разделам и компонентам. Это позволит странам определить области охраны сексуального и репродуктивного здоровья, информации и образования, в которых требуется прогресс.</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66310D" w:rsidRDefault="0066310D" w:rsidP="0066310D">
      <w:pPr>
        <w:rPr>
          <w:lang w:eastAsia="en-GB"/>
        </w:rPr>
      </w:pPr>
      <w:r w:rsidRPr="0066310D">
        <w:rPr>
          <w:lang w:eastAsia="en-GB"/>
        </w:rPr>
        <w:t>Неприменимо, поскольку показатель 5.6.2 основывается на официальных данных, предоставляемых национальными правительствами, и на международном уровне оценка не производится.</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66310D">
        <w:rPr>
          <w:rFonts w:eastAsia="Times New Roman" w:cs="Times New Roman"/>
          <w:b/>
          <w:szCs w:val="24"/>
          <w:lang w:eastAsia="en-GB"/>
        </w:rPr>
        <w:t xml:space="preserve">7. </w:t>
      </w:r>
      <w:r>
        <w:rPr>
          <w:rFonts w:eastAsia="Times New Roman" w:cs="Times New Roman"/>
          <w:b/>
          <w:szCs w:val="24"/>
          <w:lang w:eastAsia="en-GB"/>
        </w:rPr>
        <w:t>Ссылки</w:t>
      </w:r>
      <w:r w:rsidRPr="0066310D">
        <w:rPr>
          <w:rFonts w:eastAsia="Times New Roman" w:cs="Times New Roman"/>
          <w:b/>
          <w:szCs w:val="24"/>
          <w:lang w:eastAsia="en-GB"/>
        </w:rPr>
        <w:t xml:space="preserve"> </w:t>
      </w:r>
      <w:r>
        <w:rPr>
          <w:rFonts w:eastAsia="Times New Roman" w:cs="Times New Roman"/>
          <w:b/>
          <w:szCs w:val="24"/>
          <w:lang w:eastAsia="en-GB"/>
        </w:rPr>
        <w:t>и</w:t>
      </w:r>
      <w:r w:rsidRPr="0066310D">
        <w:rPr>
          <w:rFonts w:eastAsia="Times New Roman" w:cs="Times New Roman"/>
          <w:b/>
          <w:szCs w:val="24"/>
          <w:lang w:eastAsia="en-GB"/>
        </w:rPr>
        <w:t xml:space="preserve"> </w:t>
      </w:r>
      <w:r>
        <w:rPr>
          <w:rFonts w:eastAsia="Times New Roman" w:cs="Times New Roman"/>
          <w:b/>
          <w:szCs w:val="24"/>
          <w:lang w:eastAsia="en-GB"/>
        </w:rPr>
        <w:t>документы</w:t>
      </w:r>
    </w:p>
    <w:p w:rsidR="0066310D" w:rsidRDefault="0066310D" w:rsidP="0066310D">
      <w:r>
        <w:t xml:space="preserve">https://www.unfpa.org/sdg-5-6 </w:t>
      </w:r>
    </w:p>
    <w:p w:rsidR="0066310D" w:rsidRPr="0066310D" w:rsidRDefault="0066310D" w:rsidP="0066310D">
      <w:r>
        <w:t>Использованные документы</w:t>
      </w:r>
      <w:r w:rsidRPr="0066310D">
        <w:t xml:space="preserve">: </w:t>
      </w:r>
    </w:p>
    <w:p w:rsidR="0066310D" w:rsidRDefault="0066310D" w:rsidP="0066310D">
      <w:r w:rsidRPr="0066310D">
        <w:t xml:space="preserve">Международная конференция Организации Объединенных Наций по народонаселению и развитию </w:t>
      </w:r>
      <w:r w:rsidRPr="0066310D">
        <w:rPr>
          <w:lang w:val="en-US"/>
        </w:rPr>
        <w:t xml:space="preserve">(1994 </w:t>
      </w:r>
      <w:r w:rsidRPr="0066310D">
        <w:t>год</w:t>
      </w:r>
      <w:r w:rsidRPr="0066310D">
        <w:rPr>
          <w:lang w:val="en-US"/>
        </w:rPr>
        <w:t xml:space="preserve">): </w:t>
      </w:r>
      <w:r w:rsidRPr="0066310D">
        <w:t>Программа</w:t>
      </w:r>
      <w:r w:rsidRPr="0066310D">
        <w:rPr>
          <w:lang w:val="en-US"/>
        </w:rPr>
        <w:t xml:space="preserve"> </w:t>
      </w:r>
      <w:r w:rsidRPr="0066310D">
        <w:t>действий</w:t>
      </w:r>
      <w:r w:rsidRPr="0066310D">
        <w:rPr>
          <w:lang w:val="en-US"/>
        </w:rPr>
        <w:t xml:space="preserve">. </w:t>
      </w:r>
      <w:r w:rsidRPr="0066310D">
        <w:t>Каир</w:t>
      </w:r>
      <w:r w:rsidRPr="0066310D">
        <w:rPr>
          <w:lang w:val="en-US"/>
        </w:rPr>
        <w:t xml:space="preserve">, </w:t>
      </w:r>
      <w:r w:rsidRPr="0066310D">
        <w:t>Египет</w:t>
      </w:r>
      <w:r w:rsidRPr="0066310D">
        <w:rPr>
          <w:lang w:val="en-US"/>
        </w:rPr>
        <w:t>.</w:t>
      </w:r>
    </w:p>
    <w:p w:rsidR="0066310D" w:rsidRDefault="0066310D" w:rsidP="0066310D">
      <w:r w:rsidRPr="0066310D">
        <w:t xml:space="preserve">Организация Объединенных Наций (1995 год) Четвертая Всемирная конференция по положению женщин: Программа действий. </w:t>
      </w:r>
      <w:proofErr w:type="spellStart"/>
      <w:proofErr w:type="gramStart"/>
      <w:r w:rsidRPr="0066310D">
        <w:rPr>
          <w:lang w:val="en-US"/>
        </w:rPr>
        <w:t>Пекин</w:t>
      </w:r>
      <w:proofErr w:type="spellEnd"/>
      <w:r w:rsidRPr="0066310D">
        <w:rPr>
          <w:lang w:val="en-US"/>
        </w:rPr>
        <w:t xml:space="preserve">, </w:t>
      </w:r>
      <w:proofErr w:type="spellStart"/>
      <w:r w:rsidRPr="0066310D">
        <w:rPr>
          <w:lang w:val="en-US"/>
        </w:rPr>
        <w:t>Китай</w:t>
      </w:r>
      <w:proofErr w:type="spellEnd"/>
      <w:r w:rsidRPr="0066310D">
        <w:rPr>
          <w:lang w:val="en-US"/>
        </w:rPr>
        <w:t>.</w:t>
      </w:r>
      <w:proofErr w:type="gramEnd"/>
    </w:p>
    <w:p w:rsidR="0066310D" w:rsidRPr="0066310D" w:rsidRDefault="0066310D" w:rsidP="0066310D">
      <w:pPr>
        <w:rPr>
          <w:b/>
          <w:szCs w:val="24"/>
        </w:rPr>
      </w:pPr>
      <w:proofErr w:type="gramStart"/>
      <w:r w:rsidRPr="00D41E33">
        <w:t xml:space="preserve">Общая рекомендация КЛДЖ № 24. 24 </w:t>
      </w:r>
      <w:r>
        <w:t>мая</w:t>
      </w:r>
      <w:r w:rsidRPr="00D41E33">
        <w:t xml:space="preserve"> 2018: </w:t>
      </w:r>
      <w:r w:rsidRPr="00D41E33">
        <w:rPr>
          <w:lang w:val="en-US"/>
        </w:rPr>
        <w:t>http</w:t>
      </w:r>
      <w:r w:rsidRPr="00D41E33">
        <w:t>://</w:t>
      </w:r>
      <w:r w:rsidRPr="00D41E33">
        <w:rPr>
          <w:lang w:val="en-US"/>
        </w:rPr>
        <w:t>www</w:t>
      </w:r>
      <w:r w:rsidRPr="00D41E33">
        <w:t>.</w:t>
      </w:r>
      <w:proofErr w:type="spellStart"/>
      <w:r w:rsidRPr="00D41E33">
        <w:rPr>
          <w:lang w:val="en-US"/>
        </w:rPr>
        <w:t>refworld</w:t>
      </w:r>
      <w:proofErr w:type="spellEnd"/>
      <w:r w:rsidRPr="00D41E33">
        <w:t>.</w:t>
      </w:r>
      <w:r w:rsidRPr="00D41E33">
        <w:rPr>
          <w:lang w:val="en-US"/>
        </w:rPr>
        <w:t>org</w:t>
      </w:r>
      <w:r w:rsidRPr="00D41E33">
        <w:t>/</w:t>
      </w:r>
      <w:proofErr w:type="spellStart"/>
      <w:r w:rsidRPr="00D41E33">
        <w:rPr>
          <w:lang w:val="en-US"/>
        </w:rPr>
        <w:t>docid</w:t>
      </w:r>
      <w:proofErr w:type="spellEnd"/>
      <w:r w:rsidRPr="00D41E33">
        <w:t>/453882</w:t>
      </w:r>
      <w:r w:rsidRPr="00D41E33">
        <w:rPr>
          <w:lang w:val="en-US"/>
        </w:rPr>
        <w:t>a</w:t>
      </w:r>
      <w:r w:rsidRPr="00D41E33">
        <w:t>73.</w:t>
      </w:r>
      <w:r w:rsidRPr="00D41E33">
        <w:rPr>
          <w:lang w:val="en-US"/>
        </w:rPr>
        <w:t>html</w:t>
      </w:r>
      <w:r w:rsidRPr="00D41E33">
        <w:t xml:space="preserve">; Общая рекомендация КЛДЖ №  35 (2017). </w:t>
      </w:r>
      <w:r w:rsidRPr="007F1A40">
        <w:t xml:space="preserve">23 </w:t>
      </w:r>
      <w:r>
        <w:t>мая</w:t>
      </w:r>
      <w:r w:rsidRPr="007F1A40">
        <w:t xml:space="preserve"> 2018: </w:t>
      </w:r>
      <w:r w:rsidRPr="00D41E33">
        <w:rPr>
          <w:lang w:val="en-US"/>
        </w:rPr>
        <w:t>http</w:t>
      </w:r>
      <w:r w:rsidRPr="007F1A40">
        <w:t>://</w:t>
      </w:r>
      <w:proofErr w:type="spellStart"/>
      <w:r w:rsidRPr="00D41E33">
        <w:rPr>
          <w:lang w:val="en-US"/>
        </w:rPr>
        <w:t>tbinternet</w:t>
      </w:r>
      <w:proofErr w:type="spellEnd"/>
      <w:r w:rsidRPr="007F1A40">
        <w:t>.</w:t>
      </w:r>
      <w:proofErr w:type="spellStart"/>
      <w:r w:rsidRPr="00D41E33">
        <w:rPr>
          <w:lang w:val="en-US"/>
        </w:rPr>
        <w:t>ohchr</w:t>
      </w:r>
      <w:proofErr w:type="spellEnd"/>
      <w:r w:rsidRPr="007F1A40">
        <w:t>.</w:t>
      </w:r>
      <w:r w:rsidRPr="00D41E33">
        <w:rPr>
          <w:lang w:val="en-US"/>
        </w:rPr>
        <w:t>org</w:t>
      </w:r>
      <w:r w:rsidRPr="007F1A40">
        <w:t>/</w:t>
      </w:r>
      <w:r w:rsidRPr="00D41E33">
        <w:rPr>
          <w:lang w:val="en-US"/>
        </w:rPr>
        <w:t>Treaties</w:t>
      </w:r>
      <w:r w:rsidRPr="007F1A40">
        <w:t>/</w:t>
      </w:r>
      <w:r w:rsidRPr="00D41E33">
        <w:rPr>
          <w:lang w:val="en-US"/>
        </w:rPr>
        <w:t>CEDAW</w:t>
      </w:r>
      <w:r w:rsidRPr="007F1A40">
        <w:t>/</w:t>
      </w:r>
      <w:r w:rsidRPr="00D41E33">
        <w:rPr>
          <w:lang w:val="en-US"/>
        </w:rPr>
        <w:t>Shared</w:t>
      </w:r>
      <w:r w:rsidRPr="007F1A40">
        <w:t>%20</w:t>
      </w:r>
      <w:r w:rsidRPr="00D41E33">
        <w:rPr>
          <w:lang w:val="en-US"/>
        </w:rPr>
        <w:t>Documents</w:t>
      </w:r>
      <w:r w:rsidRPr="007F1A40">
        <w:t>/1_</w:t>
      </w:r>
      <w:r w:rsidRPr="00D41E33">
        <w:rPr>
          <w:lang w:val="en-US"/>
        </w:rPr>
        <w:t>Glob</w:t>
      </w:r>
      <w:bookmarkStart w:id="5" w:name="_GoBack"/>
      <w:bookmarkEnd w:id="5"/>
      <w:r w:rsidRPr="00D41E33">
        <w:rPr>
          <w:lang w:val="en-US"/>
        </w:rPr>
        <w:t>al</w:t>
      </w:r>
      <w:r w:rsidRPr="007F1A40">
        <w:t>/</w:t>
      </w:r>
      <w:r w:rsidRPr="00D41E33">
        <w:rPr>
          <w:lang w:val="en-US"/>
        </w:rPr>
        <w:t>CEDAW</w:t>
      </w:r>
      <w:r w:rsidRPr="007F1A40">
        <w:t>_</w:t>
      </w:r>
      <w:r w:rsidRPr="00D41E33">
        <w:rPr>
          <w:lang w:val="en-US"/>
        </w:rPr>
        <w:t>C</w:t>
      </w:r>
      <w:r w:rsidRPr="007F1A40">
        <w:t>_</w:t>
      </w:r>
      <w:r w:rsidRPr="00D41E33">
        <w:rPr>
          <w:lang w:val="en-US"/>
        </w:rPr>
        <w:t>GC</w:t>
      </w:r>
      <w:r w:rsidRPr="007F1A40">
        <w:t>_35_8267_</w:t>
      </w:r>
      <w:r w:rsidRPr="00D41E33">
        <w:rPr>
          <w:lang w:val="en-US"/>
        </w:rPr>
        <w:t>E</w:t>
      </w:r>
      <w:r w:rsidRPr="007F1A40">
        <w:t>.</w:t>
      </w:r>
      <w:r w:rsidRPr="00D41E33">
        <w:rPr>
          <w:lang w:val="en-US"/>
        </w:rPr>
        <w:t>pdf</w:t>
      </w:r>
      <w:r w:rsidRPr="007F1A40">
        <w:t xml:space="preserve">; Замечание общего порядка КЭСКП №.14. </w:t>
      </w:r>
      <w:r w:rsidRPr="00761C05">
        <w:t xml:space="preserve">23 </w:t>
      </w:r>
      <w:r>
        <w:t>мая</w:t>
      </w:r>
      <w:r w:rsidRPr="00761C05">
        <w:t xml:space="preserve"> 2018: </w:t>
      </w:r>
      <w:r w:rsidRPr="00D41E33">
        <w:rPr>
          <w:lang w:val="en-US"/>
        </w:rPr>
        <w:t>http</w:t>
      </w:r>
      <w:r w:rsidRPr="00761C05">
        <w:t>://</w:t>
      </w:r>
      <w:r w:rsidRPr="00D41E33">
        <w:rPr>
          <w:lang w:val="en-US"/>
        </w:rPr>
        <w:t>www</w:t>
      </w:r>
      <w:r w:rsidRPr="00761C05">
        <w:t>.</w:t>
      </w:r>
      <w:proofErr w:type="spellStart"/>
      <w:r w:rsidRPr="00D41E33">
        <w:rPr>
          <w:lang w:val="en-US"/>
        </w:rPr>
        <w:t>refworld</w:t>
      </w:r>
      <w:proofErr w:type="spellEnd"/>
      <w:r w:rsidRPr="00761C05">
        <w:t>.</w:t>
      </w:r>
      <w:r w:rsidRPr="00D41E33">
        <w:rPr>
          <w:lang w:val="en-US"/>
        </w:rPr>
        <w:t>org</w:t>
      </w:r>
      <w:r w:rsidRPr="00761C05">
        <w:t>/</w:t>
      </w:r>
      <w:proofErr w:type="spellStart"/>
      <w:r w:rsidRPr="00D41E33">
        <w:rPr>
          <w:lang w:val="en-US"/>
        </w:rPr>
        <w:t>pdfid</w:t>
      </w:r>
      <w:proofErr w:type="spellEnd"/>
      <w:r w:rsidRPr="00761C05">
        <w:t>/4538838</w:t>
      </w:r>
      <w:r w:rsidRPr="00D41E33">
        <w:rPr>
          <w:lang w:val="en-US"/>
        </w:rPr>
        <w:t>d</w:t>
      </w:r>
      <w:r w:rsidRPr="00761C05">
        <w:t>0.</w:t>
      </w:r>
      <w:r w:rsidRPr="00D41E33">
        <w:rPr>
          <w:lang w:val="en-US"/>
        </w:rPr>
        <w:t>pdf</w:t>
      </w:r>
      <w:r w:rsidRPr="00761C05">
        <w:t>;</w:t>
      </w:r>
      <w:proofErr w:type="gramEnd"/>
      <w:r w:rsidRPr="00761C05">
        <w:t xml:space="preserve"> </w:t>
      </w:r>
      <w:r w:rsidRPr="007F1A40">
        <w:t>Замечание общего порядка КЭСКП №</w:t>
      </w:r>
      <w:r w:rsidRPr="00761C05">
        <w:t xml:space="preserve"> 20. 24 </w:t>
      </w:r>
      <w:r>
        <w:t>мая</w:t>
      </w:r>
      <w:r w:rsidRPr="00761C05">
        <w:t xml:space="preserve"> 2018: </w:t>
      </w:r>
      <w:r w:rsidRPr="00D41E33">
        <w:rPr>
          <w:lang w:val="en-US"/>
        </w:rPr>
        <w:t>http</w:t>
      </w:r>
      <w:r w:rsidRPr="00761C05">
        <w:t>://</w:t>
      </w:r>
      <w:r w:rsidRPr="00D41E33">
        <w:rPr>
          <w:lang w:val="en-US"/>
        </w:rPr>
        <w:t>www</w:t>
      </w:r>
      <w:r w:rsidRPr="00761C05">
        <w:t>.</w:t>
      </w:r>
      <w:proofErr w:type="spellStart"/>
      <w:r w:rsidRPr="00D41E33">
        <w:rPr>
          <w:lang w:val="en-US"/>
        </w:rPr>
        <w:t>refworld</w:t>
      </w:r>
      <w:proofErr w:type="spellEnd"/>
      <w:r w:rsidRPr="00761C05">
        <w:t>.</w:t>
      </w:r>
      <w:r w:rsidRPr="00D41E33">
        <w:rPr>
          <w:lang w:val="en-US"/>
        </w:rPr>
        <w:t>org</w:t>
      </w:r>
      <w:r w:rsidRPr="00761C05">
        <w:t>/</w:t>
      </w:r>
      <w:proofErr w:type="spellStart"/>
      <w:r w:rsidRPr="00D41E33">
        <w:rPr>
          <w:lang w:val="en-US"/>
        </w:rPr>
        <w:t>docid</w:t>
      </w:r>
      <w:proofErr w:type="spellEnd"/>
      <w:r w:rsidRPr="00761C05">
        <w:t>/4</w:t>
      </w:r>
      <w:r w:rsidRPr="00D41E33">
        <w:rPr>
          <w:lang w:val="en-US"/>
        </w:rPr>
        <w:t>a</w:t>
      </w:r>
      <w:r w:rsidRPr="00761C05">
        <w:t>60961</w:t>
      </w:r>
      <w:r w:rsidRPr="00D41E33">
        <w:rPr>
          <w:lang w:val="en-US"/>
        </w:rPr>
        <w:t>f</w:t>
      </w:r>
      <w:r w:rsidRPr="00761C05">
        <w:t>2.</w:t>
      </w:r>
      <w:r w:rsidRPr="00D41E33">
        <w:rPr>
          <w:lang w:val="en-US"/>
        </w:rPr>
        <w:t>html</w:t>
      </w:r>
      <w:r w:rsidRPr="00761C05">
        <w:t xml:space="preserve">; </w:t>
      </w:r>
      <w:r w:rsidRPr="007F1A40">
        <w:t>Замечание общего порядка КЭСКП</w:t>
      </w:r>
      <w:r>
        <w:t xml:space="preserve"> №</w:t>
      </w:r>
      <w:r w:rsidRPr="00761C05">
        <w:t xml:space="preserve">22. </w:t>
      </w:r>
      <w:proofErr w:type="gramStart"/>
      <w:r w:rsidRPr="00D41E33">
        <w:rPr>
          <w:lang w:val="en-US"/>
        </w:rPr>
        <w:t>Accessed</w:t>
      </w:r>
      <w:r w:rsidRPr="00761C05">
        <w:t xml:space="preserve"> </w:t>
      </w:r>
      <w:r w:rsidRPr="00D41E33">
        <w:rPr>
          <w:lang w:val="en-US"/>
        </w:rPr>
        <w:t>online</w:t>
      </w:r>
      <w:r w:rsidRPr="00761C05">
        <w:t xml:space="preserve"> 23 </w:t>
      </w:r>
      <w:r>
        <w:t>мая</w:t>
      </w:r>
      <w:r w:rsidRPr="00761C05">
        <w:t xml:space="preserve"> 2018: </w:t>
      </w:r>
      <w:r w:rsidRPr="00D41E33">
        <w:rPr>
          <w:lang w:val="en-US"/>
        </w:rPr>
        <w:t>https</w:t>
      </w:r>
      <w:r w:rsidRPr="00761C05">
        <w:t>://</w:t>
      </w:r>
      <w:r w:rsidRPr="00D41E33">
        <w:rPr>
          <w:lang w:val="en-US"/>
        </w:rPr>
        <w:t>www</w:t>
      </w:r>
      <w:r w:rsidRPr="00761C05">
        <w:t>.</w:t>
      </w:r>
      <w:proofErr w:type="spellStart"/>
      <w:r w:rsidRPr="00D41E33">
        <w:rPr>
          <w:lang w:val="en-US"/>
        </w:rPr>
        <w:t>escr</w:t>
      </w:r>
      <w:proofErr w:type="spellEnd"/>
      <w:r w:rsidRPr="00761C05">
        <w:t>-</w:t>
      </w:r>
      <w:r w:rsidRPr="00D41E33">
        <w:rPr>
          <w:lang w:val="en-US"/>
        </w:rPr>
        <w:t>net</w:t>
      </w:r>
      <w:r w:rsidRPr="00761C05">
        <w:t>.</w:t>
      </w:r>
      <w:r w:rsidRPr="00D41E33">
        <w:rPr>
          <w:lang w:val="en-US"/>
        </w:rPr>
        <w:t>org</w:t>
      </w:r>
      <w:r w:rsidRPr="00761C05">
        <w:t>/</w:t>
      </w:r>
      <w:r w:rsidRPr="00D41E33">
        <w:rPr>
          <w:lang w:val="en-US"/>
        </w:rPr>
        <w:t>resources</w:t>
      </w:r>
      <w:r w:rsidRPr="00761C05">
        <w:t>/</w:t>
      </w:r>
      <w:r w:rsidRPr="00D41E33">
        <w:rPr>
          <w:lang w:val="en-US"/>
        </w:rPr>
        <w:t>general</w:t>
      </w:r>
      <w:r w:rsidRPr="00761C05">
        <w:t>-</w:t>
      </w:r>
      <w:r w:rsidRPr="00D41E33">
        <w:rPr>
          <w:lang w:val="en-US"/>
        </w:rPr>
        <w:t>comment</w:t>
      </w:r>
      <w:r w:rsidRPr="00761C05">
        <w:t>-</w:t>
      </w:r>
      <w:r w:rsidRPr="00D41E33">
        <w:rPr>
          <w:lang w:val="en-US"/>
        </w:rPr>
        <w:t>no</w:t>
      </w:r>
      <w:r w:rsidRPr="00761C05">
        <w:t>-22-2016-</w:t>
      </w:r>
      <w:r w:rsidRPr="00D41E33">
        <w:rPr>
          <w:lang w:val="en-US"/>
        </w:rPr>
        <w:t>right</w:t>
      </w:r>
      <w:r w:rsidRPr="00761C05">
        <w:t>-</w:t>
      </w:r>
      <w:r w:rsidRPr="00D41E33">
        <w:rPr>
          <w:lang w:val="en-US"/>
        </w:rPr>
        <w:t>sexual</w:t>
      </w:r>
      <w:r w:rsidRPr="00761C05">
        <w:t>-</w:t>
      </w:r>
      <w:r w:rsidRPr="00D41E33">
        <w:rPr>
          <w:lang w:val="en-US"/>
        </w:rPr>
        <w:t>and</w:t>
      </w:r>
      <w:r w:rsidRPr="00761C05">
        <w:t>-</w:t>
      </w:r>
      <w:r w:rsidRPr="00D41E33">
        <w:rPr>
          <w:lang w:val="en-US"/>
        </w:rPr>
        <w:t>reproductive</w:t>
      </w:r>
      <w:r w:rsidRPr="00761C05">
        <w:t>-</w:t>
      </w:r>
      <w:r w:rsidRPr="00D41E33">
        <w:rPr>
          <w:lang w:val="en-US"/>
        </w:rPr>
        <w:t>health</w:t>
      </w:r>
      <w:r w:rsidRPr="00761C05">
        <w:t>; Замечание общего порядка КПР №.15.</w:t>
      </w:r>
      <w:proofErr w:type="gramEnd"/>
      <w:r w:rsidRPr="00761C05">
        <w:t xml:space="preserve"> </w:t>
      </w:r>
      <w:r w:rsidRPr="00E341FF">
        <w:t xml:space="preserve">24 </w:t>
      </w:r>
      <w:r>
        <w:t>мая</w:t>
      </w:r>
      <w:r w:rsidRPr="00E341FF">
        <w:t xml:space="preserve"> 2018: </w:t>
      </w:r>
      <w:r w:rsidRPr="00D41E33">
        <w:rPr>
          <w:lang w:val="en-US"/>
        </w:rPr>
        <w:t>http</w:t>
      </w:r>
      <w:r w:rsidRPr="00E341FF">
        <w:t>://</w:t>
      </w:r>
      <w:r w:rsidRPr="00D41E33">
        <w:rPr>
          <w:lang w:val="en-US"/>
        </w:rPr>
        <w:t>www</w:t>
      </w:r>
      <w:r w:rsidRPr="00E341FF">
        <w:t>.</w:t>
      </w:r>
      <w:proofErr w:type="spellStart"/>
      <w:r w:rsidRPr="00D41E33">
        <w:rPr>
          <w:lang w:val="en-US"/>
        </w:rPr>
        <w:t>refworld</w:t>
      </w:r>
      <w:proofErr w:type="spellEnd"/>
      <w:r w:rsidRPr="00E341FF">
        <w:t>.</w:t>
      </w:r>
      <w:r w:rsidRPr="00D41E33">
        <w:rPr>
          <w:lang w:val="en-US"/>
        </w:rPr>
        <w:t>org</w:t>
      </w:r>
      <w:r w:rsidRPr="00E341FF">
        <w:t>/</w:t>
      </w:r>
      <w:proofErr w:type="spellStart"/>
      <w:r w:rsidRPr="00D41E33">
        <w:rPr>
          <w:lang w:val="en-US"/>
        </w:rPr>
        <w:t>docid</w:t>
      </w:r>
      <w:proofErr w:type="spellEnd"/>
      <w:r w:rsidRPr="00E341FF">
        <w:t>/51</w:t>
      </w:r>
      <w:proofErr w:type="spellStart"/>
      <w:r w:rsidRPr="00D41E33">
        <w:rPr>
          <w:lang w:val="en-US"/>
        </w:rPr>
        <w:t>ef</w:t>
      </w:r>
      <w:proofErr w:type="spellEnd"/>
      <w:r w:rsidRPr="00E341FF">
        <w:t>9</w:t>
      </w:r>
      <w:r w:rsidRPr="00D41E33">
        <w:rPr>
          <w:lang w:val="en-US"/>
        </w:rPr>
        <w:t>e</w:t>
      </w:r>
      <w:r w:rsidRPr="00E341FF">
        <w:t>134.</w:t>
      </w:r>
      <w:r w:rsidRPr="00D41E33">
        <w:rPr>
          <w:lang w:val="en-US"/>
        </w:rPr>
        <w:t>html</w:t>
      </w:r>
      <w:r w:rsidRPr="00E341FF">
        <w:t xml:space="preserve">; </w:t>
      </w:r>
      <w:r>
        <w:t>Статьи 23 и 25 КПИ</w:t>
      </w:r>
      <w:r w:rsidRPr="00E341FF">
        <w:t xml:space="preserve">. 24 </w:t>
      </w:r>
      <w:r>
        <w:t>мая</w:t>
      </w:r>
      <w:r w:rsidRPr="00E341FF">
        <w:t xml:space="preserve"> 2018: </w:t>
      </w:r>
      <w:r w:rsidRPr="00D41E33">
        <w:rPr>
          <w:lang w:val="en-US"/>
        </w:rPr>
        <w:t>https</w:t>
      </w:r>
      <w:r w:rsidRPr="00E341FF">
        <w:t>://</w:t>
      </w:r>
      <w:r w:rsidRPr="00D41E33">
        <w:rPr>
          <w:lang w:val="en-US"/>
        </w:rPr>
        <w:t>www</w:t>
      </w:r>
      <w:r w:rsidRPr="00E341FF">
        <w:t>.</w:t>
      </w:r>
      <w:r w:rsidRPr="00D41E33">
        <w:rPr>
          <w:lang w:val="en-US"/>
        </w:rPr>
        <w:t>un</w:t>
      </w:r>
      <w:r w:rsidRPr="00E341FF">
        <w:t>.</w:t>
      </w:r>
      <w:r w:rsidRPr="00D41E33">
        <w:rPr>
          <w:lang w:val="en-US"/>
        </w:rPr>
        <w:t>org</w:t>
      </w:r>
      <w:r w:rsidRPr="00E341FF">
        <w:t>/</w:t>
      </w:r>
      <w:r w:rsidRPr="00D41E33">
        <w:rPr>
          <w:lang w:val="en-US"/>
        </w:rPr>
        <w:t>development</w:t>
      </w:r>
      <w:r w:rsidRPr="00E341FF">
        <w:t>/</w:t>
      </w:r>
      <w:proofErr w:type="spellStart"/>
      <w:r w:rsidRPr="00D41E33">
        <w:rPr>
          <w:lang w:val="en-US"/>
        </w:rPr>
        <w:t>desa</w:t>
      </w:r>
      <w:proofErr w:type="spellEnd"/>
      <w:r w:rsidRPr="00E341FF">
        <w:t>/</w:t>
      </w:r>
      <w:r w:rsidRPr="00D41E33">
        <w:rPr>
          <w:lang w:val="en-US"/>
        </w:rPr>
        <w:t>disabilities</w:t>
      </w:r>
      <w:r w:rsidRPr="00E341FF">
        <w:t>/</w:t>
      </w:r>
      <w:r w:rsidRPr="00D41E33">
        <w:rPr>
          <w:lang w:val="en-US"/>
        </w:rPr>
        <w:t>convention</w:t>
      </w:r>
      <w:r w:rsidRPr="00E341FF">
        <w:t>-</w:t>
      </w:r>
      <w:r w:rsidRPr="00D41E33">
        <w:rPr>
          <w:lang w:val="en-US"/>
        </w:rPr>
        <w:t>on</w:t>
      </w:r>
      <w:r w:rsidRPr="00E341FF">
        <w:t>-</w:t>
      </w:r>
      <w:r w:rsidRPr="00D41E33">
        <w:rPr>
          <w:lang w:val="en-US"/>
        </w:rPr>
        <w:t>the</w:t>
      </w:r>
      <w:r w:rsidRPr="00E341FF">
        <w:t>-</w:t>
      </w:r>
      <w:r w:rsidRPr="00D41E33">
        <w:rPr>
          <w:lang w:val="en-US"/>
        </w:rPr>
        <w:t>rights</w:t>
      </w:r>
      <w:r w:rsidRPr="00E341FF">
        <w:t>-</w:t>
      </w:r>
      <w:r w:rsidRPr="00D41E33">
        <w:rPr>
          <w:lang w:val="en-US"/>
        </w:rPr>
        <w:t>of</w:t>
      </w:r>
      <w:r w:rsidRPr="00E341FF">
        <w:t>-</w:t>
      </w:r>
      <w:r w:rsidRPr="00D41E33">
        <w:rPr>
          <w:lang w:val="en-US"/>
        </w:rPr>
        <w:t>persons</w:t>
      </w:r>
      <w:r w:rsidRPr="00E341FF">
        <w:t>-</w:t>
      </w:r>
      <w:r w:rsidRPr="00D41E33">
        <w:rPr>
          <w:lang w:val="en-US"/>
        </w:rPr>
        <w:t>with</w:t>
      </w:r>
      <w:r w:rsidRPr="00E341FF">
        <w:t>-</w:t>
      </w:r>
      <w:r w:rsidRPr="00D41E33">
        <w:rPr>
          <w:lang w:val="en-US"/>
        </w:rPr>
        <w:t>disabilities</w:t>
      </w:r>
      <w:r w:rsidRPr="00E341FF">
        <w:t>/</w:t>
      </w:r>
      <w:r w:rsidRPr="00D41E33">
        <w:rPr>
          <w:lang w:val="en-US"/>
        </w:rPr>
        <w:t>convention</w:t>
      </w:r>
      <w:r w:rsidRPr="00E341FF">
        <w:t>-</w:t>
      </w:r>
      <w:r w:rsidRPr="00D41E33">
        <w:rPr>
          <w:lang w:val="en-US"/>
        </w:rPr>
        <w:t>on</w:t>
      </w:r>
      <w:r w:rsidRPr="00E341FF">
        <w:t>-</w:t>
      </w:r>
      <w:r w:rsidRPr="00D41E33">
        <w:rPr>
          <w:lang w:val="en-US"/>
        </w:rPr>
        <w:t>the</w:t>
      </w:r>
      <w:r w:rsidRPr="00E341FF">
        <w:t>-</w:t>
      </w:r>
      <w:r w:rsidRPr="00D41E33">
        <w:rPr>
          <w:lang w:val="en-US"/>
        </w:rPr>
        <w:t>rights</w:t>
      </w:r>
      <w:r w:rsidRPr="00E341FF">
        <w:t>-</w:t>
      </w:r>
      <w:r w:rsidRPr="00D41E33">
        <w:rPr>
          <w:lang w:val="en-US"/>
        </w:rPr>
        <w:t>of</w:t>
      </w:r>
      <w:r w:rsidRPr="00E341FF">
        <w:t>-</w:t>
      </w:r>
      <w:r w:rsidRPr="00D41E33">
        <w:rPr>
          <w:lang w:val="en-US"/>
        </w:rPr>
        <w:t>persons</w:t>
      </w:r>
      <w:r w:rsidRPr="00E341FF">
        <w:t>-</w:t>
      </w:r>
      <w:r w:rsidRPr="00D41E33">
        <w:rPr>
          <w:lang w:val="en-US"/>
        </w:rPr>
        <w:t>with</w:t>
      </w:r>
      <w:r w:rsidRPr="00E341FF">
        <w:t>-</w:t>
      </w:r>
      <w:r w:rsidRPr="00D41E33">
        <w:rPr>
          <w:lang w:val="en-US"/>
        </w:rPr>
        <w:t>disabilities</w:t>
      </w:r>
      <w:r w:rsidRPr="00E341FF">
        <w:t>-2.</w:t>
      </w:r>
      <w:r w:rsidRPr="00D41E33">
        <w:rPr>
          <w:lang w:val="en-US"/>
        </w:rPr>
        <w:t>html</w:t>
      </w:r>
      <w:r w:rsidRPr="00E341FF">
        <w:t xml:space="preserve">.  </w:t>
      </w:r>
    </w:p>
    <w:sectPr w:rsidR="0066310D" w:rsidRPr="0066310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8" w:rsidRDefault="00C90708" w:rsidP="00F73DBC">
      <w:pPr>
        <w:spacing w:after="0" w:line="240" w:lineRule="auto"/>
      </w:pPr>
      <w:r>
        <w:separator/>
      </w:r>
    </w:p>
  </w:endnote>
  <w:endnote w:type="continuationSeparator" w:id="0">
    <w:p w:rsidR="00C90708" w:rsidRDefault="00C9070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8" w:rsidRDefault="00C90708" w:rsidP="00F73DBC">
      <w:pPr>
        <w:spacing w:after="0" w:line="240" w:lineRule="auto"/>
      </w:pPr>
      <w:r>
        <w:separator/>
      </w:r>
    </w:p>
  </w:footnote>
  <w:footnote w:type="continuationSeparator" w:id="0">
    <w:p w:rsidR="00C90708" w:rsidRDefault="00C90708" w:rsidP="00F73DBC">
      <w:pPr>
        <w:spacing w:after="0" w:line="240" w:lineRule="auto"/>
      </w:pPr>
      <w:r>
        <w:continuationSeparator/>
      </w:r>
    </w:p>
  </w:footnote>
  <w:footnote w:id="1">
    <w:p w:rsidR="00D41E33" w:rsidRDefault="00D41E33">
      <w:pPr>
        <w:pStyle w:val="a4"/>
      </w:pPr>
      <w:r>
        <w:rPr>
          <w:rStyle w:val="a6"/>
        </w:rPr>
        <w:footnoteRef/>
      </w:r>
      <w:r w:rsidRPr="00D41E33">
        <w:t xml:space="preserve"> Международная конференция Организации Объединенных Наций по народонаселению и развитию </w:t>
      </w:r>
      <w:r w:rsidRPr="00D41E33">
        <w:rPr>
          <w:lang w:val="en-US"/>
        </w:rPr>
        <w:t xml:space="preserve">(1994 </w:t>
      </w:r>
      <w:proofErr w:type="spellStart"/>
      <w:r w:rsidRPr="00D41E33">
        <w:rPr>
          <w:lang w:val="en-US"/>
        </w:rPr>
        <w:t>год</w:t>
      </w:r>
      <w:proofErr w:type="spellEnd"/>
      <w:r w:rsidRPr="00D41E33">
        <w:rPr>
          <w:lang w:val="en-US"/>
        </w:rPr>
        <w:t xml:space="preserve">): </w:t>
      </w:r>
      <w:proofErr w:type="spellStart"/>
      <w:proofErr w:type="gramStart"/>
      <w:r w:rsidRPr="00D41E33">
        <w:rPr>
          <w:lang w:val="en-US"/>
        </w:rPr>
        <w:t>Программа</w:t>
      </w:r>
      <w:proofErr w:type="spellEnd"/>
      <w:r w:rsidRPr="00D41E33">
        <w:rPr>
          <w:lang w:val="en-US"/>
        </w:rPr>
        <w:t xml:space="preserve"> </w:t>
      </w:r>
      <w:proofErr w:type="spellStart"/>
      <w:r w:rsidRPr="00D41E33">
        <w:rPr>
          <w:lang w:val="en-US"/>
        </w:rPr>
        <w:t>действий</w:t>
      </w:r>
      <w:proofErr w:type="spellEnd"/>
      <w:r w:rsidRPr="00D41E33">
        <w:rPr>
          <w:lang w:val="en-US"/>
        </w:rPr>
        <w:t>.</w:t>
      </w:r>
      <w:proofErr w:type="gramEnd"/>
      <w:r w:rsidRPr="00D41E33">
        <w:rPr>
          <w:lang w:val="en-US"/>
        </w:rPr>
        <w:t xml:space="preserve"> </w:t>
      </w:r>
      <w:proofErr w:type="spellStart"/>
      <w:proofErr w:type="gramStart"/>
      <w:r w:rsidRPr="00D41E33">
        <w:rPr>
          <w:lang w:val="en-US"/>
        </w:rPr>
        <w:t>Каир</w:t>
      </w:r>
      <w:proofErr w:type="spellEnd"/>
      <w:r w:rsidRPr="00D41E33">
        <w:rPr>
          <w:lang w:val="en-US"/>
        </w:rPr>
        <w:t xml:space="preserve">, </w:t>
      </w:r>
      <w:proofErr w:type="spellStart"/>
      <w:r w:rsidRPr="00D41E33">
        <w:rPr>
          <w:lang w:val="en-US"/>
        </w:rPr>
        <w:t>Египет</w:t>
      </w:r>
      <w:proofErr w:type="spellEnd"/>
      <w:r w:rsidRPr="00D41E33">
        <w:rPr>
          <w:lang w:val="en-US"/>
        </w:rPr>
        <w:t>.</w:t>
      </w:r>
      <w:proofErr w:type="gramEnd"/>
    </w:p>
  </w:footnote>
  <w:footnote w:id="2">
    <w:p w:rsidR="00D41E33" w:rsidRDefault="00D41E33">
      <w:pPr>
        <w:pStyle w:val="a4"/>
      </w:pPr>
      <w:r>
        <w:rPr>
          <w:rStyle w:val="a6"/>
        </w:rPr>
        <w:footnoteRef/>
      </w:r>
      <w:r>
        <w:t xml:space="preserve"> </w:t>
      </w:r>
      <w:r w:rsidRPr="00D41E33">
        <w:t>Организация Объединенных Наций (1995 год) Четвертая Всемирная конференция по положению женщин: Программа действий. Пекин, Китай.</w:t>
      </w:r>
    </w:p>
  </w:footnote>
  <w:footnote w:id="3">
    <w:p w:rsidR="00D41E33" w:rsidRPr="00E341FF" w:rsidRDefault="00D41E33">
      <w:pPr>
        <w:pStyle w:val="a4"/>
      </w:pPr>
      <w:r>
        <w:rPr>
          <w:rStyle w:val="a6"/>
        </w:rPr>
        <w:footnoteRef/>
      </w:r>
      <w:r w:rsidRPr="00D41E33">
        <w:t xml:space="preserve"> </w:t>
      </w:r>
      <w:proofErr w:type="gramStart"/>
      <w:r w:rsidRPr="00D41E33">
        <w:t xml:space="preserve">Общая рекомендация КЛДЖ № 24. 24 </w:t>
      </w:r>
      <w:r>
        <w:t>мая</w:t>
      </w:r>
      <w:r w:rsidRPr="00D41E33">
        <w:t xml:space="preserve"> 2018: </w:t>
      </w:r>
      <w:r w:rsidRPr="00D41E33">
        <w:rPr>
          <w:lang w:val="en-US"/>
        </w:rPr>
        <w:t>http</w:t>
      </w:r>
      <w:r w:rsidRPr="00D41E33">
        <w:t>://</w:t>
      </w:r>
      <w:r w:rsidRPr="00D41E33">
        <w:rPr>
          <w:lang w:val="en-US"/>
        </w:rPr>
        <w:t>www</w:t>
      </w:r>
      <w:r w:rsidRPr="00D41E33">
        <w:t>.</w:t>
      </w:r>
      <w:proofErr w:type="spellStart"/>
      <w:r w:rsidRPr="00D41E33">
        <w:rPr>
          <w:lang w:val="en-US"/>
        </w:rPr>
        <w:t>refworld</w:t>
      </w:r>
      <w:proofErr w:type="spellEnd"/>
      <w:r w:rsidRPr="00D41E33">
        <w:t>.</w:t>
      </w:r>
      <w:r w:rsidRPr="00D41E33">
        <w:rPr>
          <w:lang w:val="en-US"/>
        </w:rPr>
        <w:t>org</w:t>
      </w:r>
      <w:r w:rsidRPr="00D41E33">
        <w:t>/</w:t>
      </w:r>
      <w:proofErr w:type="spellStart"/>
      <w:r w:rsidRPr="00D41E33">
        <w:rPr>
          <w:lang w:val="en-US"/>
        </w:rPr>
        <w:t>docid</w:t>
      </w:r>
      <w:proofErr w:type="spellEnd"/>
      <w:r w:rsidRPr="00D41E33">
        <w:t>/453882</w:t>
      </w:r>
      <w:r w:rsidRPr="00D41E33">
        <w:rPr>
          <w:lang w:val="en-US"/>
        </w:rPr>
        <w:t>a</w:t>
      </w:r>
      <w:r w:rsidRPr="00D41E33">
        <w:t>73.</w:t>
      </w:r>
      <w:r w:rsidRPr="00D41E33">
        <w:rPr>
          <w:lang w:val="en-US"/>
        </w:rPr>
        <w:t>html</w:t>
      </w:r>
      <w:r w:rsidRPr="00D41E33">
        <w:t xml:space="preserve">; </w:t>
      </w:r>
      <w:r w:rsidRPr="00D41E33">
        <w:t xml:space="preserve">Общая рекомендация КЛДЖ № </w:t>
      </w:r>
      <w:r w:rsidRPr="00D41E33">
        <w:t xml:space="preserve"> 35 (2017). </w:t>
      </w:r>
      <w:r w:rsidRPr="007F1A40">
        <w:t xml:space="preserve">23 </w:t>
      </w:r>
      <w:r>
        <w:t>мая</w:t>
      </w:r>
      <w:r w:rsidRPr="007F1A40">
        <w:t xml:space="preserve"> 2018: </w:t>
      </w:r>
      <w:r w:rsidRPr="00D41E33">
        <w:rPr>
          <w:lang w:val="en-US"/>
        </w:rPr>
        <w:t>http</w:t>
      </w:r>
      <w:r w:rsidRPr="007F1A40">
        <w:t>://</w:t>
      </w:r>
      <w:proofErr w:type="spellStart"/>
      <w:r w:rsidRPr="00D41E33">
        <w:rPr>
          <w:lang w:val="en-US"/>
        </w:rPr>
        <w:t>tbinternet</w:t>
      </w:r>
      <w:proofErr w:type="spellEnd"/>
      <w:r w:rsidRPr="007F1A40">
        <w:t>.</w:t>
      </w:r>
      <w:proofErr w:type="spellStart"/>
      <w:r w:rsidRPr="00D41E33">
        <w:rPr>
          <w:lang w:val="en-US"/>
        </w:rPr>
        <w:t>ohchr</w:t>
      </w:r>
      <w:proofErr w:type="spellEnd"/>
      <w:r w:rsidRPr="007F1A40">
        <w:t>.</w:t>
      </w:r>
      <w:r w:rsidRPr="00D41E33">
        <w:rPr>
          <w:lang w:val="en-US"/>
        </w:rPr>
        <w:t>org</w:t>
      </w:r>
      <w:r w:rsidRPr="007F1A40">
        <w:t>/</w:t>
      </w:r>
      <w:r w:rsidRPr="00D41E33">
        <w:rPr>
          <w:lang w:val="en-US"/>
        </w:rPr>
        <w:t>Treaties</w:t>
      </w:r>
      <w:r w:rsidRPr="007F1A40">
        <w:t>/</w:t>
      </w:r>
      <w:r w:rsidRPr="00D41E33">
        <w:rPr>
          <w:lang w:val="en-US"/>
        </w:rPr>
        <w:t>CEDAW</w:t>
      </w:r>
      <w:r w:rsidRPr="007F1A40">
        <w:t>/</w:t>
      </w:r>
      <w:r w:rsidRPr="00D41E33">
        <w:rPr>
          <w:lang w:val="en-US"/>
        </w:rPr>
        <w:t>Shared</w:t>
      </w:r>
      <w:r w:rsidRPr="007F1A40">
        <w:t>%20</w:t>
      </w:r>
      <w:r w:rsidRPr="00D41E33">
        <w:rPr>
          <w:lang w:val="en-US"/>
        </w:rPr>
        <w:t>Documents</w:t>
      </w:r>
      <w:r w:rsidRPr="007F1A40">
        <w:t>/1_</w:t>
      </w:r>
      <w:r w:rsidRPr="00D41E33">
        <w:rPr>
          <w:lang w:val="en-US"/>
        </w:rPr>
        <w:t>Global</w:t>
      </w:r>
      <w:r w:rsidRPr="007F1A40">
        <w:t>/</w:t>
      </w:r>
      <w:r w:rsidRPr="00D41E33">
        <w:rPr>
          <w:lang w:val="en-US"/>
        </w:rPr>
        <w:t>CEDAW</w:t>
      </w:r>
      <w:r w:rsidRPr="007F1A40">
        <w:t>_</w:t>
      </w:r>
      <w:r w:rsidRPr="00D41E33">
        <w:rPr>
          <w:lang w:val="en-US"/>
        </w:rPr>
        <w:t>C</w:t>
      </w:r>
      <w:r w:rsidRPr="007F1A40">
        <w:t>_</w:t>
      </w:r>
      <w:r w:rsidRPr="00D41E33">
        <w:rPr>
          <w:lang w:val="en-US"/>
        </w:rPr>
        <w:t>GC</w:t>
      </w:r>
      <w:r w:rsidRPr="007F1A40">
        <w:t>_35_8267_</w:t>
      </w:r>
      <w:r w:rsidRPr="00D41E33">
        <w:rPr>
          <w:lang w:val="en-US"/>
        </w:rPr>
        <w:t>E</w:t>
      </w:r>
      <w:r w:rsidRPr="007F1A40">
        <w:t>.</w:t>
      </w:r>
      <w:r w:rsidRPr="00D41E33">
        <w:rPr>
          <w:lang w:val="en-US"/>
        </w:rPr>
        <w:t>pdf</w:t>
      </w:r>
      <w:r w:rsidRPr="007F1A40">
        <w:t xml:space="preserve">; </w:t>
      </w:r>
      <w:r w:rsidR="007F1A40" w:rsidRPr="007F1A40">
        <w:t>Замечание общего порядка КЭСКП №.</w:t>
      </w:r>
      <w:r w:rsidRPr="007F1A40">
        <w:t xml:space="preserve">14. </w:t>
      </w:r>
      <w:r w:rsidRPr="00761C05">
        <w:t xml:space="preserve">23 </w:t>
      </w:r>
      <w:r w:rsidR="007F1A40">
        <w:t>мая</w:t>
      </w:r>
      <w:r w:rsidRPr="00761C05">
        <w:t xml:space="preserve"> 2018: </w:t>
      </w:r>
      <w:r w:rsidRPr="00D41E33">
        <w:rPr>
          <w:lang w:val="en-US"/>
        </w:rPr>
        <w:t>http</w:t>
      </w:r>
      <w:r w:rsidRPr="00761C05">
        <w:t>://</w:t>
      </w:r>
      <w:r w:rsidRPr="00D41E33">
        <w:rPr>
          <w:lang w:val="en-US"/>
        </w:rPr>
        <w:t>www</w:t>
      </w:r>
      <w:r w:rsidRPr="00761C05">
        <w:t>.</w:t>
      </w:r>
      <w:proofErr w:type="spellStart"/>
      <w:r w:rsidRPr="00D41E33">
        <w:rPr>
          <w:lang w:val="en-US"/>
        </w:rPr>
        <w:t>refworld</w:t>
      </w:r>
      <w:proofErr w:type="spellEnd"/>
      <w:r w:rsidRPr="00761C05">
        <w:t>.</w:t>
      </w:r>
      <w:r w:rsidRPr="00D41E33">
        <w:rPr>
          <w:lang w:val="en-US"/>
        </w:rPr>
        <w:t>org</w:t>
      </w:r>
      <w:r w:rsidRPr="00761C05">
        <w:t>/</w:t>
      </w:r>
      <w:proofErr w:type="spellStart"/>
      <w:r w:rsidRPr="00D41E33">
        <w:rPr>
          <w:lang w:val="en-US"/>
        </w:rPr>
        <w:t>pdfid</w:t>
      </w:r>
      <w:proofErr w:type="spellEnd"/>
      <w:r w:rsidRPr="00761C05">
        <w:t>/4538838</w:t>
      </w:r>
      <w:r w:rsidRPr="00D41E33">
        <w:rPr>
          <w:lang w:val="en-US"/>
        </w:rPr>
        <w:t>d</w:t>
      </w:r>
      <w:r w:rsidRPr="00761C05">
        <w:t>0.</w:t>
      </w:r>
      <w:r w:rsidRPr="00D41E33">
        <w:rPr>
          <w:lang w:val="en-US"/>
        </w:rPr>
        <w:t>pdf</w:t>
      </w:r>
      <w:r w:rsidRPr="00761C05">
        <w:t>;</w:t>
      </w:r>
      <w:proofErr w:type="gramEnd"/>
      <w:r w:rsidRPr="00761C05">
        <w:t xml:space="preserve"> </w:t>
      </w:r>
      <w:r w:rsidR="00761C05" w:rsidRPr="007F1A40">
        <w:t>Замечание общего порядка КЭСКП №</w:t>
      </w:r>
      <w:r w:rsidRPr="00761C05">
        <w:t xml:space="preserve"> 20. </w:t>
      </w:r>
      <w:r w:rsidR="00761C05" w:rsidRPr="00761C05">
        <w:t xml:space="preserve">24 </w:t>
      </w:r>
      <w:r w:rsidR="00761C05">
        <w:t>мая</w:t>
      </w:r>
      <w:r w:rsidRPr="00761C05">
        <w:t xml:space="preserve"> 2018: </w:t>
      </w:r>
      <w:r w:rsidRPr="00D41E33">
        <w:rPr>
          <w:lang w:val="en-US"/>
        </w:rPr>
        <w:t>http</w:t>
      </w:r>
      <w:r w:rsidRPr="00761C05">
        <w:t>://</w:t>
      </w:r>
      <w:r w:rsidRPr="00D41E33">
        <w:rPr>
          <w:lang w:val="en-US"/>
        </w:rPr>
        <w:t>www</w:t>
      </w:r>
      <w:r w:rsidRPr="00761C05">
        <w:t>.</w:t>
      </w:r>
      <w:proofErr w:type="spellStart"/>
      <w:r w:rsidRPr="00D41E33">
        <w:rPr>
          <w:lang w:val="en-US"/>
        </w:rPr>
        <w:t>refworld</w:t>
      </w:r>
      <w:proofErr w:type="spellEnd"/>
      <w:r w:rsidRPr="00761C05">
        <w:t>.</w:t>
      </w:r>
      <w:r w:rsidRPr="00D41E33">
        <w:rPr>
          <w:lang w:val="en-US"/>
        </w:rPr>
        <w:t>org</w:t>
      </w:r>
      <w:r w:rsidRPr="00761C05">
        <w:t>/</w:t>
      </w:r>
      <w:proofErr w:type="spellStart"/>
      <w:r w:rsidRPr="00D41E33">
        <w:rPr>
          <w:lang w:val="en-US"/>
        </w:rPr>
        <w:t>docid</w:t>
      </w:r>
      <w:proofErr w:type="spellEnd"/>
      <w:r w:rsidRPr="00761C05">
        <w:t>/4</w:t>
      </w:r>
      <w:r w:rsidRPr="00D41E33">
        <w:rPr>
          <w:lang w:val="en-US"/>
        </w:rPr>
        <w:t>a</w:t>
      </w:r>
      <w:r w:rsidRPr="00761C05">
        <w:t>60961</w:t>
      </w:r>
      <w:r w:rsidRPr="00D41E33">
        <w:rPr>
          <w:lang w:val="en-US"/>
        </w:rPr>
        <w:t>f</w:t>
      </w:r>
      <w:r w:rsidRPr="00761C05">
        <w:t>2.</w:t>
      </w:r>
      <w:r w:rsidRPr="00D41E33">
        <w:rPr>
          <w:lang w:val="en-US"/>
        </w:rPr>
        <w:t>html</w:t>
      </w:r>
      <w:r w:rsidRPr="00761C05">
        <w:t xml:space="preserve">; </w:t>
      </w:r>
      <w:r w:rsidR="00761C05" w:rsidRPr="007F1A40">
        <w:t>Замечание общего порядка КЭСКП</w:t>
      </w:r>
      <w:r w:rsidR="00761C05">
        <w:t xml:space="preserve"> №</w:t>
      </w:r>
      <w:r w:rsidRPr="00761C05">
        <w:t xml:space="preserve">22. </w:t>
      </w:r>
      <w:proofErr w:type="gramStart"/>
      <w:r w:rsidRPr="00D41E33">
        <w:rPr>
          <w:lang w:val="en-US"/>
        </w:rPr>
        <w:t>Accessed</w:t>
      </w:r>
      <w:r w:rsidRPr="00761C05">
        <w:t xml:space="preserve"> </w:t>
      </w:r>
      <w:r w:rsidRPr="00D41E33">
        <w:rPr>
          <w:lang w:val="en-US"/>
        </w:rPr>
        <w:t>online</w:t>
      </w:r>
      <w:r w:rsidRPr="00761C05">
        <w:t xml:space="preserve"> 23 </w:t>
      </w:r>
      <w:r w:rsidR="00761C05">
        <w:t>мая</w:t>
      </w:r>
      <w:r w:rsidRPr="00761C05">
        <w:t xml:space="preserve"> 2018: </w:t>
      </w:r>
      <w:r w:rsidRPr="00D41E33">
        <w:rPr>
          <w:lang w:val="en-US"/>
        </w:rPr>
        <w:t>https</w:t>
      </w:r>
      <w:r w:rsidRPr="00761C05">
        <w:t>://</w:t>
      </w:r>
      <w:r w:rsidRPr="00D41E33">
        <w:rPr>
          <w:lang w:val="en-US"/>
        </w:rPr>
        <w:t>www</w:t>
      </w:r>
      <w:r w:rsidRPr="00761C05">
        <w:t>.</w:t>
      </w:r>
      <w:proofErr w:type="spellStart"/>
      <w:r w:rsidRPr="00D41E33">
        <w:rPr>
          <w:lang w:val="en-US"/>
        </w:rPr>
        <w:t>escr</w:t>
      </w:r>
      <w:proofErr w:type="spellEnd"/>
      <w:r w:rsidRPr="00761C05">
        <w:t>-</w:t>
      </w:r>
      <w:r w:rsidRPr="00D41E33">
        <w:rPr>
          <w:lang w:val="en-US"/>
        </w:rPr>
        <w:t>net</w:t>
      </w:r>
      <w:r w:rsidRPr="00761C05">
        <w:t>.</w:t>
      </w:r>
      <w:r w:rsidRPr="00D41E33">
        <w:rPr>
          <w:lang w:val="en-US"/>
        </w:rPr>
        <w:t>org</w:t>
      </w:r>
      <w:r w:rsidRPr="00761C05">
        <w:t>/</w:t>
      </w:r>
      <w:r w:rsidRPr="00D41E33">
        <w:rPr>
          <w:lang w:val="en-US"/>
        </w:rPr>
        <w:t>resources</w:t>
      </w:r>
      <w:r w:rsidRPr="00761C05">
        <w:t>/</w:t>
      </w:r>
      <w:r w:rsidRPr="00D41E33">
        <w:rPr>
          <w:lang w:val="en-US"/>
        </w:rPr>
        <w:t>general</w:t>
      </w:r>
      <w:r w:rsidRPr="00761C05">
        <w:t>-</w:t>
      </w:r>
      <w:r w:rsidRPr="00D41E33">
        <w:rPr>
          <w:lang w:val="en-US"/>
        </w:rPr>
        <w:t>comment</w:t>
      </w:r>
      <w:r w:rsidRPr="00761C05">
        <w:t>-</w:t>
      </w:r>
      <w:r w:rsidRPr="00D41E33">
        <w:rPr>
          <w:lang w:val="en-US"/>
        </w:rPr>
        <w:t>no</w:t>
      </w:r>
      <w:r w:rsidRPr="00761C05">
        <w:t>-22-2016-</w:t>
      </w:r>
      <w:r w:rsidRPr="00D41E33">
        <w:rPr>
          <w:lang w:val="en-US"/>
        </w:rPr>
        <w:t>right</w:t>
      </w:r>
      <w:r w:rsidRPr="00761C05">
        <w:t>-</w:t>
      </w:r>
      <w:r w:rsidRPr="00D41E33">
        <w:rPr>
          <w:lang w:val="en-US"/>
        </w:rPr>
        <w:t>sexual</w:t>
      </w:r>
      <w:r w:rsidRPr="00761C05">
        <w:t>-</w:t>
      </w:r>
      <w:r w:rsidRPr="00D41E33">
        <w:rPr>
          <w:lang w:val="en-US"/>
        </w:rPr>
        <w:t>and</w:t>
      </w:r>
      <w:r w:rsidRPr="00761C05">
        <w:t>-</w:t>
      </w:r>
      <w:r w:rsidRPr="00D41E33">
        <w:rPr>
          <w:lang w:val="en-US"/>
        </w:rPr>
        <w:t>reproductive</w:t>
      </w:r>
      <w:r w:rsidRPr="00761C05">
        <w:t>-</w:t>
      </w:r>
      <w:r w:rsidRPr="00D41E33">
        <w:rPr>
          <w:lang w:val="en-US"/>
        </w:rPr>
        <w:t>health</w:t>
      </w:r>
      <w:r w:rsidRPr="00761C05">
        <w:t xml:space="preserve">; </w:t>
      </w:r>
      <w:r w:rsidR="00761C05" w:rsidRPr="00761C05">
        <w:t>Замечание общего порядка КПР №.</w:t>
      </w:r>
      <w:r w:rsidRPr="00761C05">
        <w:t>15.</w:t>
      </w:r>
      <w:proofErr w:type="gramEnd"/>
      <w:r w:rsidRPr="00761C05">
        <w:t xml:space="preserve"> </w:t>
      </w:r>
      <w:r w:rsidRPr="00E341FF">
        <w:t xml:space="preserve">24 </w:t>
      </w:r>
      <w:r w:rsidR="00761C05">
        <w:t>мая</w:t>
      </w:r>
      <w:r w:rsidRPr="00E341FF">
        <w:t xml:space="preserve"> 2018: </w:t>
      </w:r>
      <w:r w:rsidRPr="00D41E33">
        <w:rPr>
          <w:lang w:val="en-US"/>
        </w:rPr>
        <w:t>http</w:t>
      </w:r>
      <w:r w:rsidRPr="00E341FF">
        <w:t>://</w:t>
      </w:r>
      <w:r w:rsidRPr="00D41E33">
        <w:rPr>
          <w:lang w:val="en-US"/>
        </w:rPr>
        <w:t>www</w:t>
      </w:r>
      <w:r w:rsidRPr="00E341FF">
        <w:t>.</w:t>
      </w:r>
      <w:proofErr w:type="spellStart"/>
      <w:r w:rsidRPr="00D41E33">
        <w:rPr>
          <w:lang w:val="en-US"/>
        </w:rPr>
        <w:t>refworld</w:t>
      </w:r>
      <w:proofErr w:type="spellEnd"/>
      <w:r w:rsidRPr="00E341FF">
        <w:t>.</w:t>
      </w:r>
      <w:r w:rsidRPr="00D41E33">
        <w:rPr>
          <w:lang w:val="en-US"/>
        </w:rPr>
        <w:t>org</w:t>
      </w:r>
      <w:r w:rsidRPr="00E341FF">
        <w:t>/</w:t>
      </w:r>
      <w:proofErr w:type="spellStart"/>
      <w:r w:rsidRPr="00D41E33">
        <w:rPr>
          <w:lang w:val="en-US"/>
        </w:rPr>
        <w:t>docid</w:t>
      </w:r>
      <w:proofErr w:type="spellEnd"/>
      <w:r w:rsidRPr="00E341FF">
        <w:t>/51</w:t>
      </w:r>
      <w:proofErr w:type="spellStart"/>
      <w:r w:rsidRPr="00D41E33">
        <w:rPr>
          <w:lang w:val="en-US"/>
        </w:rPr>
        <w:t>ef</w:t>
      </w:r>
      <w:proofErr w:type="spellEnd"/>
      <w:r w:rsidRPr="00E341FF">
        <w:t>9</w:t>
      </w:r>
      <w:r w:rsidRPr="00D41E33">
        <w:rPr>
          <w:lang w:val="en-US"/>
        </w:rPr>
        <w:t>e</w:t>
      </w:r>
      <w:r w:rsidRPr="00E341FF">
        <w:t>134.</w:t>
      </w:r>
      <w:r w:rsidRPr="00D41E33">
        <w:rPr>
          <w:lang w:val="en-US"/>
        </w:rPr>
        <w:t>html</w:t>
      </w:r>
      <w:r w:rsidRPr="00E341FF">
        <w:t xml:space="preserve">; </w:t>
      </w:r>
      <w:r w:rsidR="00E341FF">
        <w:t>Статьи 23 и 25 КПИ</w:t>
      </w:r>
      <w:r w:rsidRPr="00E341FF">
        <w:t xml:space="preserve">. 24 </w:t>
      </w:r>
      <w:r w:rsidR="006E1FBA">
        <w:t>мая</w:t>
      </w:r>
      <w:r w:rsidRPr="00E341FF">
        <w:t xml:space="preserve"> 2018: </w:t>
      </w:r>
      <w:r w:rsidRPr="00D41E33">
        <w:rPr>
          <w:lang w:val="en-US"/>
        </w:rPr>
        <w:t>https</w:t>
      </w:r>
      <w:r w:rsidRPr="00E341FF">
        <w:t>://</w:t>
      </w:r>
      <w:r w:rsidRPr="00D41E33">
        <w:rPr>
          <w:lang w:val="en-US"/>
        </w:rPr>
        <w:t>www</w:t>
      </w:r>
      <w:r w:rsidRPr="00E341FF">
        <w:t>.</w:t>
      </w:r>
      <w:r w:rsidRPr="00D41E33">
        <w:rPr>
          <w:lang w:val="en-US"/>
        </w:rPr>
        <w:t>un</w:t>
      </w:r>
      <w:r w:rsidRPr="00E341FF">
        <w:t>.</w:t>
      </w:r>
      <w:r w:rsidRPr="00D41E33">
        <w:rPr>
          <w:lang w:val="en-US"/>
        </w:rPr>
        <w:t>org</w:t>
      </w:r>
      <w:r w:rsidRPr="00E341FF">
        <w:t>/</w:t>
      </w:r>
      <w:r w:rsidRPr="00D41E33">
        <w:rPr>
          <w:lang w:val="en-US"/>
        </w:rPr>
        <w:t>development</w:t>
      </w:r>
      <w:r w:rsidRPr="00E341FF">
        <w:t>/</w:t>
      </w:r>
      <w:proofErr w:type="spellStart"/>
      <w:r w:rsidRPr="00D41E33">
        <w:rPr>
          <w:lang w:val="en-US"/>
        </w:rPr>
        <w:t>desa</w:t>
      </w:r>
      <w:proofErr w:type="spellEnd"/>
      <w:r w:rsidRPr="00E341FF">
        <w:t>/</w:t>
      </w:r>
      <w:r w:rsidRPr="00D41E33">
        <w:rPr>
          <w:lang w:val="en-US"/>
        </w:rPr>
        <w:t>disabilities</w:t>
      </w:r>
      <w:r w:rsidRPr="00E341FF">
        <w:t>/</w:t>
      </w:r>
      <w:r w:rsidRPr="00D41E33">
        <w:rPr>
          <w:lang w:val="en-US"/>
        </w:rPr>
        <w:t>convention</w:t>
      </w:r>
      <w:r w:rsidRPr="00E341FF">
        <w:t>-</w:t>
      </w:r>
      <w:r w:rsidRPr="00D41E33">
        <w:rPr>
          <w:lang w:val="en-US"/>
        </w:rPr>
        <w:t>on</w:t>
      </w:r>
      <w:r w:rsidRPr="00E341FF">
        <w:t>-</w:t>
      </w:r>
      <w:r w:rsidRPr="00D41E33">
        <w:rPr>
          <w:lang w:val="en-US"/>
        </w:rPr>
        <w:t>the</w:t>
      </w:r>
      <w:r w:rsidRPr="00E341FF">
        <w:t>-</w:t>
      </w:r>
      <w:r w:rsidRPr="00D41E33">
        <w:rPr>
          <w:lang w:val="en-US"/>
        </w:rPr>
        <w:t>rights</w:t>
      </w:r>
      <w:r w:rsidRPr="00E341FF">
        <w:t>-</w:t>
      </w:r>
      <w:r w:rsidRPr="00D41E33">
        <w:rPr>
          <w:lang w:val="en-US"/>
        </w:rPr>
        <w:t>of</w:t>
      </w:r>
      <w:r w:rsidRPr="00E341FF">
        <w:t>-</w:t>
      </w:r>
      <w:r w:rsidRPr="00D41E33">
        <w:rPr>
          <w:lang w:val="en-US"/>
        </w:rPr>
        <w:t>persons</w:t>
      </w:r>
      <w:r w:rsidRPr="00E341FF">
        <w:t>-</w:t>
      </w:r>
      <w:r w:rsidRPr="00D41E33">
        <w:rPr>
          <w:lang w:val="en-US"/>
        </w:rPr>
        <w:t>with</w:t>
      </w:r>
      <w:r w:rsidRPr="00E341FF">
        <w:t>-</w:t>
      </w:r>
      <w:r w:rsidRPr="00D41E33">
        <w:rPr>
          <w:lang w:val="en-US"/>
        </w:rPr>
        <w:t>disabilities</w:t>
      </w:r>
      <w:r w:rsidRPr="00E341FF">
        <w:t>/</w:t>
      </w:r>
      <w:r w:rsidRPr="00D41E33">
        <w:rPr>
          <w:lang w:val="en-US"/>
        </w:rPr>
        <w:t>convention</w:t>
      </w:r>
      <w:r w:rsidRPr="00E341FF">
        <w:t>-</w:t>
      </w:r>
      <w:r w:rsidRPr="00D41E33">
        <w:rPr>
          <w:lang w:val="en-US"/>
        </w:rPr>
        <w:t>on</w:t>
      </w:r>
      <w:r w:rsidRPr="00E341FF">
        <w:t>-</w:t>
      </w:r>
      <w:r w:rsidRPr="00D41E33">
        <w:rPr>
          <w:lang w:val="en-US"/>
        </w:rPr>
        <w:t>the</w:t>
      </w:r>
      <w:r w:rsidRPr="00E341FF">
        <w:t>-</w:t>
      </w:r>
      <w:r w:rsidRPr="00D41E33">
        <w:rPr>
          <w:lang w:val="en-US"/>
        </w:rPr>
        <w:t>rights</w:t>
      </w:r>
      <w:r w:rsidRPr="00E341FF">
        <w:t>-</w:t>
      </w:r>
      <w:r w:rsidRPr="00D41E33">
        <w:rPr>
          <w:lang w:val="en-US"/>
        </w:rPr>
        <w:t>of</w:t>
      </w:r>
      <w:r w:rsidRPr="00E341FF">
        <w:t>-</w:t>
      </w:r>
      <w:r w:rsidRPr="00D41E33">
        <w:rPr>
          <w:lang w:val="en-US"/>
        </w:rPr>
        <w:t>persons</w:t>
      </w:r>
      <w:r w:rsidRPr="00E341FF">
        <w:t>-</w:t>
      </w:r>
      <w:r w:rsidRPr="00D41E33">
        <w:rPr>
          <w:lang w:val="en-US"/>
        </w:rPr>
        <w:t>with</w:t>
      </w:r>
      <w:r w:rsidRPr="00E341FF">
        <w:t>-</w:t>
      </w:r>
      <w:r w:rsidRPr="00D41E33">
        <w:rPr>
          <w:lang w:val="en-US"/>
        </w:rPr>
        <w:t>disabilities</w:t>
      </w:r>
      <w:r w:rsidRPr="00E341FF">
        <w:t>-2.</w:t>
      </w:r>
      <w:r w:rsidRPr="00D41E33">
        <w:rPr>
          <w:lang w:val="en-US"/>
        </w:rPr>
        <w:t>html</w:t>
      </w:r>
      <w:r w:rsidRPr="00E341FF">
        <w:t xml:space="preserve">.  </w:t>
      </w:r>
    </w:p>
  </w:footnote>
  <w:footnote w:id="4">
    <w:p w:rsidR="0014459A" w:rsidRDefault="0014459A">
      <w:pPr>
        <w:pStyle w:val="a4"/>
      </w:pPr>
      <w:r>
        <w:rPr>
          <w:rStyle w:val="a6"/>
        </w:rPr>
        <w:footnoteRef/>
      </w:r>
      <w:r>
        <w:t xml:space="preserve"> </w:t>
      </w:r>
      <w:r w:rsidRPr="0014459A">
        <w:t>Юридические барьеры считаются неприменимыми для двух операционных компонентов: C2: товары</w:t>
      </w:r>
      <w:r>
        <w:t>,</w:t>
      </w:r>
      <w:r w:rsidRPr="0014459A">
        <w:t xml:space="preserve"> </w:t>
      </w:r>
      <w:r>
        <w:t xml:space="preserve">спасающие </w:t>
      </w:r>
      <w:r w:rsidRPr="0014459A">
        <w:t>жизни и C9: учебная программа CSE.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0834"/>
    <w:rsid w:val="000476F9"/>
    <w:rsid w:val="00053D20"/>
    <w:rsid w:val="00064F33"/>
    <w:rsid w:val="00087B96"/>
    <w:rsid w:val="000A210D"/>
    <w:rsid w:val="000A229E"/>
    <w:rsid w:val="000C5EF5"/>
    <w:rsid w:val="00116248"/>
    <w:rsid w:val="0014459A"/>
    <w:rsid w:val="001470A2"/>
    <w:rsid w:val="00165896"/>
    <w:rsid w:val="001A163A"/>
    <w:rsid w:val="001E2FC9"/>
    <w:rsid w:val="002064C4"/>
    <w:rsid w:val="00291FA0"/>
    <w:rsid w:val="002D3C7F"/>
    <w:rsid w:val="002E122C"/>
    <w:rsid w:val="002E15F9"/>
    <w:rsid w:val="002F63E5"/>
    <w:rsid w:val="00303D71"/>
    <w:rsid w:val="003143BC"/>
    <w:rsid w:val="003746BC"/>
    <w:rsid w:val="003859BD"/>
    <w:rsid w:val="003D58DC"/>
    <w:rsid w:val="00407E4E"/>
    <w:rsid w:val="004143B4"/>
    <w:rsid w:val="00421928"/>
    <w:rsid w:val="004E087E"/>
    <w:rsid w:val="004F4468"/>
    <w:rsid w:val="005823CA"/>
    <w:rsid w:val="00587D0B"/>
    <w:rsid w:val="005E47BD"/>
    <w:rsid w:val="005F2C0B"/>
    <w:rsid w:val="0066310D"/>
    <w:rsid w:val="006704C2"/>
    <w:rsid w:val="00694160"/>
    <w:rsid w:val="006B260E"/>
    <w:rsid w:val="006B3939"/>
    <w:rsid w:val="006D7049"/>
    <w:rsid w:val="006E1FBA"/>
    <w:rsid w:val="00702333"/>
    <w:rsid w:val="00705161"/>
    <w:rsid w:val="00707F56"/>
    <w:rsid w:val="0075371E"/>
    <w:rsid w:val="00761C05"/>
    <w:rsid w:val="00780F08"/>
    <w:rsid w:val="00781DE7"/>
    <w:rsid w:val="007B07B2"/>
    <w:rsid w:val="007B0CFD"/>
    <w:rsid w:val="007C27E0"/>
    <w:rsid w:val="007D1185"/>
    <w:rsid w:val="007F06DF"/>
    <w:rsid w:val="007F1A40"/>
    <w:rsid w:val="00836F3E"/>
    <w:rsid w:val="00853C09"/>
    <w:rsid w:val="009508D1"/>
    <w:rsid w:val="00957A62"/>
    <w:rsid w:val="009655B4"/>
    <w:rsid w:val="00980F79"/>
    <w:rsid w:val="00982FE8"/>
    <w:rsid w:val="009A6E5B"/>
    <w:rsid w:val="009C064B"/>
    <w:rsid w:val="00A51C4F"/>
    <w:rsid w:val="00A53D4B"/>
    <w:rsid w:val="00A618FC"/>
    <w:rsid w:val="00A61B06"/>
    <w:rsid w:val="00A64941"/>
    <w:rsid w:val="00A71EC6"/>
    <w:rsid w:val="00A82CD3"/>
    <w:rsid w:val="00A91FDE"/>
    <w:rsid w:val="00AC1A97"/>
    <w:rsid w:val="00B0378B"/>
    <w:rsid w:val="00B72F77"/>
    <w:rsid w:val="00BD29EC"/>
    <w:rsid w:val="00BE2C5D"/>
    <w:rsid w:val="00BE415C"/>
    <w:rsid w:val="00C36458"/>
    <w:rsid w:val="00C47A4A"/>
    <w:rsid w:val="00C7506A"/>
    <w:rsid w:val="00C8596F"/>
    <w:rsid w:val="00C90708"/>
    <w:rsid w:val="00C95AB2"/>
    <w:rsid w:val="00CA1CB1"/>
    <w:rsid w:val="00D05466"/>
    <w:rsid w:val="00D254A4"/>
    <w:rsid w:val="00D2619D"/>
    <w:rsid w:val="00D31BA3"/>
    <w:rsid w:val="00D41E33"/>
    <w:rsid w:val="00DA19D7"/>
    <w:rsid w:val="00DA4FEC"/>
    <w:rsid w:val="00DC18AA"/>
    <w:rsid w:val="00E123F7"/>
    <w:rsid w:val="00E21B43"/>
    <w:rsid w:val="00E27922"/>
    <w:rsid w:val="00E33CA8"/>
    <w:rsid w:val="00E341FF"/>
    <w:rsid w:val="00E90BD4"/>
    <w:rsid w:val="00EB362A"/>
    <w:rsid w:val="00EB389E"/>
    <w:rsid w:val="00EE0900"/>
    <w:rsid w:val="00F6371F"/>
    <w:rsid w:val="00F73DBC"/>
    <w:rsid w:val="00F84FF1"/>
    <w:rsid w:val="00F92D6F"/>
    <w:rsid w:val="00FB66D9"/>
    <w:rsid w:val="00FD0A5E"/>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C7506A"/>
    <w:pPr>
      <w:autoSpaceDE w:val="0"/>
      <w:autoSpaceDN w:val="0"/>
      <w:adjustRightInd w:val="0"/>
      <w:spacing w:after="0" w:line="240" w:lineRule="auto"/>
    </w:pPr>
    <w:rPr>
      <w:rFonts w:ascii="Calibri" w:hAnsi="Calibri" w:cs="Calibri"/>
      <w:color w:val="000000"/>
      <w:sz w:val="24"/>
      <w:szCs w:val="24"/>
    </w:rPr>
  </w:style>
  <w:style w:type="paragraph" w:customStyle="1" w:styleId="MSubHeader">
    <w:name w:val="M.Sub.Header"/>
    <w:basedOn w:val="a"/>
    <w:link w:val="MSubHeaderChar"/>
    <w:qFormat/>
    <w:rsid w:val="00A61B06"/>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character" w:customStyle="1" w:styleId="MSubHeaderChar">
    <w:name w:val="M.Sub.Header Char"/>
    <w:basedOn w:val="a0"/>
    <w:link w:val="MSubHeader"/>
    <w:rsid w:val="00A61B06"/>
    <w:rPr>
      <w:rFonts w:eastAsia="Times New Roman" w:cs="Times New Roman"/>
      <w:b/>
      <w:bCs/>
      <w:color w:val="4A4A4A"/>
      <w:sz w:val="21"/>
      <w:szCs w:val="21"/>
      <w:shd w:val="clear" w:color="auto" w:fill="FFFFFF"/>
      <w:lang w:val="en-GB" w:eastAsia="en-GB"/>
    </w:rPr>
  </w:style>
  <w:style w:type="paragraph" w:styleId="af4">
    <w:name w:val="Normal (Web)"/>
    <w:basedOn w:val="a"/>
    <w:uiPriority w:val="99"/>
    <w:unhideWhenUsed/>
    <w:rsid w:val="00A61B06"/>
    <w:pPr>
      <w:spacing w:after="0" w:line="240" w:lineRule="auto"/>
      <w:jc w:val="left"/>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C7506A"/>
    <w:pPr>
      <w:autoSpaceDE w:val="0"/>
      <w:autoSpaceDN w:val="0"/>
      <w:adjustRightInd w:val="0"/>
      <w:spacing w:after="0" w:line="240" w:lineRule="auto"/>
    </w:pPr>
    <w:rPr>
      <w:rFonts w:ascii="Calibri" w:hAnsi="Calibri" w:cs="Calibri"/>
      <w:color w:val="000000"/>
      <w:sz w:val="24"/>
      <w:szCs w:val="24"/>
    </w:rPr>
  </w:style>
  <w:style w:type="paragraph" w:customStyle="1" w:styleId="MSubHeader">
    <w:name w:val="M.Sub.Header"/>
    <w:basedOn w:val="a"/>
    <w:link w:val="MSubHeaderChar"/>
    <w:qFormat/>
    <w:rsid w:val="00A61B06"/>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character" w:customStyle="1" w:styleId="MSubHeaderChar">
    <w:name w:val="M.Sub.Header Char"/>
    <w:basedOn w:val="a0"/>
    <w:link w:val="MSubHeader"/>
    <w:rsid w:val="00A61B06"/>
    <w:rPr>
      <w:rFonts w:eastAsia="Times New Roman" w:cs="Times New Roman"/>
      <w:b/>
      <w:bCs/>
      <w:color w:val="4A4A4A"/>
      <w:sz w:val="21"/>
      <w:szCs w:val="21"/>
      <w:shd w:val="clear" w:color="auto" w:fill="FFFFFF"/>
      <w:lang w:val="en-GB" w:eastAsia="en-GB"/>
    </w:rPr>
  </w:style>
  <w:style w:type="paragraph" w:styleId="af4">
    <w:name w:val="Normal (Web)"/>
    <w:basedOn w:val="a"/>
    <w:uiPriority w:val="99"/>
    <w:unhideWhenUsed/>
    <w:rsid w:val="00A61B06"/>
    <w:pPr>
      <w:spacing w:after="0" w:line="240" w:lineRule="auto"/>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fpa.org/sites/default/files/pub-pdf/programme_of_action_Web%20ENGLISH.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EC81-C6A7-49BC-8AE8-81DCB70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2022-04-14T08:08:00Z</dcterms:created>
  <dcterms:modified xsi:type="dcterms:W3CDTF">2022-04-14T12:05:00Z</dcterms:modified>
</cp:coreProperties>
</file>