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671BD2" w:rsidRPr="00671BD2" w:rsidRDefault="00780F08" w:rsidP="00671B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BD2">
        <w:rPr>
          <w:rFonts w:ascii="Times New Roman" w:hAnsi="Times New Roman" w:cs="Times New Roman"/>
          <w:sz w:val="24"/>
          <w:szCs w:val="24"/>
        </w:rPr>
        <w:t xml:space="preserve">Цель </w:t>
      </w:r>
      <w:r w:rsidR="007C0685" w:rsidRPr="00671BD2">
        <w:rPr>
          <w:rFonts w:ascii="Times New Roman" w:hAnsi="Times New Roman" w:cs="Times New Roman"/>
          <w:sz w:val="24"/>
          <w:szCs w:val="24"/>
        </w:rPr>
        <w:t>1</w:t>
      </w:r>
      <w:r w:rsidR="00671BD2" w:rsidRPr="00671BD2">
        <w:rPr>
          <w:rFonts w:ascii="Times New Roman" w:hAnsi="Times New Roman" w:cs="Times New Roman"/>
          <w:sz w:val="24"/>
          <w:szCs w:val="24"/>
        </w:rPr>
        <w:t>1</w:t>
      </w:r>
      <w:r w:rsidRPr="00671BD2">
        <w:rPr>
          <w:rFonts w:ascii="Times New Roman" w:hAnsi="Times New Roman" w:cs="Times New Roman"/>
          <w:sz w:val="24"/>
          <w:szCs w:val="24"/>
        </w:rPr>
        <w:t xml:space="preserve">: </w:t>
      </w:r>
      <w:r w:rsidR="00671BD2" w:rsidRPr="00671BD2">
        <w:rPr>
          <w:rFonts w:ascii="Times New Roman" w:hAnsi="Times New Roman" w:cs="Times New Roman"/>
          <w:sz w:val="24"/>
          <w:szCs w:val="24"/>
        </w:rPr>
        <w:t xml:space="preserve">Обеспечение открытости, безопасности, жизнестойкости и экологической устойчивости городов и населенных пунктов </w:t>
      </w:r>
    </w:p>
    <w:p w:rsidR="003143BC" w:rsidRPr="00BD29EC" w:rsidRDefault="003143BC" w:rsidP="00671B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Pr="007C0685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</w:t>
      </w:r>
      <w:r w:rsidR="00671BD2">
        <w:rPr>
          <w:rFonts w:ascii="Times New Roman" w:hAnsi="Times New Roman" w:cs="Times New Roman"/>
          <w:sz w:val="24"/>
          <w:szCs w:val="24"/>
        </w:rPr>
        <w:t>1</w:t>
      </w:r>
      <w:r w:rsidRPr="00BD29EC">
        <w:rPr>
          <w:rFonts w:ascii="Times New Roman" w:hAnsi="Times New Roman" w:cs="Times New Roman"/>
          <w:sz w:val="24"/>
          <w:szCs w:val="24"/>
        </w:rPr>
        <w:t>.</w:t>
      </w:r>
      <w:r w:rsidR="00671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71BD2" w:rsidRPr="00671BD2">
        <w:rPr>
          <w:rFonts w:ascii="Times New Roman" w:hAnsi="Times New Roman" w:cs="Times New Roman"/>
          <w:sz w:val="24"/>
          <w:szCs w:val="24"/>
        </w:rPr>
        <w:t xml:space="preserve">К 2020 году значительно увеличить 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</w:t>
      </w:r>
      <w:proofErr w:type="spellStart"/>
      <w:r w:rsidR="00671BD2" w:rsidRPr="00671BD2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71BD2" w:rsidRPr="00671BD2">
        <w:rPr>
          <w:rFonts w:ascii="Times New Roman" w:hAnsi="Times New Roman" w:cs="Times New Roman"/>
          <w:sz w:val="24"/>
          <w:szCs w:val="24"/>
        </w:rPr>
        <w:t xml:space="preserve"> рамочной программой по снижению риска бедствий на 2015–2030 годы меры по комплексному управлению</w:t>
      </w:r>
      <w:proofErr w:type="gramEnd"/>
      <w:r w:rsidR="00671BD2" w:rsidRPr="00671BD2">
        <w:rPr>
          <w:rFonts w:ascii="Times New Roman" w:hAnsi="Times New Roman" w:cs="Times New Roman"/>
          <w:sz w:val="24"/>
          <w:szCs w:val="24"/>
        </w:rPr>
        <w:t xml:space="preserve"> связанными с бедствиями рисками на всех уровнях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7C0685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</w:t>
      </w:r>
      <w:r w:rsidR="00671BD2" w:rsidRPr="00671BD2">
        <w:rPr>
          <w:rFonts w:ascii="Times New Roman" w:hAnsi="Times New Roman" w:cs="Times New Roman"/>
          <w:sz w:val="24"/>
          <w:szCs w:val="24"/>
        </w:rPr>
        <w:t>1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671B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671BD2" w:rsidRPr="00671BD2">
        <w:rPr>
          <w:rFonts w:ascii="Times New Roman" w:hAnsi="Times New Roman" w:cs="Times New Roman"/>
          <w:sz w:val="24"/>
          <w:szCs w:val="24"/>
        </w:rPr>
        <w:t>1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71BD2" w:rsidRPr="00671BD2">
        <w:rPr>
          <w:rFonts w:ascii="Times New Roman" w:hAnsi="Times New Roman" w:cs="Times New Roman"/>
          <w:sz w:val="24"/>
          <w:szCs w:val="24"/>
        </w:rPr>
        <w:t xml:space="preserve">Число стран, принявших и осуществляющих национальные стратегии снижения риска бедствий в соответствии с </w:t>
      </w:r>
      <w:proofErr w:type="spellStart"/>
      <w:r w:rsidR="00671BD2" w:rsidRPr="00671BD2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71BD2" w:rsidRPr="00671BD2">
        <w:rPr>
          <w:rFonts w:ascii="Times New Roman" w:hAnsi="Times New Roman" w:cs="Times New Roman"/>
          <w:sz w:val="24"/>
          <w:szCs w:val="24"/>
        </w:rPr>
        <w:t xml:space="preserve"> рамочной программой по снижению риска бедствий на 2015–2030 годы</w:t>
      </w:r>
      <w:bookmarkEnd w:id="0"/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7C0685" w:rsidRPr="00360D86" w:rsidRDefault="007C0685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2017-07-07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2748C1" w:rsidRPr="002748C1" w:rsidRDefault="002748C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2748C1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1.5; 11.5; 11.b; 13.1; 2.4; 3.6; 3.9; 3.d; 4.a; 6.6; 9.1; 9.a; 11.1; 11.3; 11.c; 13.2; 13.3; 13.a; 13.b; 14.2; 15.1; 15.2; 15.3; 15.9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748C1" w:rsidRPr="002748C1" w:rsidRDefault="002748C1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[A] Межправительственная рабочая группа экспертов открытого состава по показателям и терминологии, касающимся уменьшения опасностей бедствий (УОБ),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 Эти показатели будут в конечном итоге отражать показатели по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</w:t>
      </w: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2748C1" w:rsidRPr="002748C1" w:rsidRDefault="002748C1" w:rsidP="002748C1">
      <w:pPr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Национальный отчет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монитора о хо</w:t>
      </w:r>
      <w:r>
        <w:rPr>
          <w:rFonts w:ascii="Times New Roman" w:hAnsi="Times New Roman" w:cs="Times New Roman"/>
          <w:sz w:val="24"/>
          <w:szCs w:val="24"/>
        </w:rPr>
        <w:t xml:space="preserve">де работы, представленный МСУОБ </w:t>
      </w:r>
      <w:r w:rsidRPr="002748C1">
        <w:rPr>
          <w:rFonts w:ascii="Times New Roman" w:hAnsi="Times New Roman" w:cs="Times New Roman"/>
          <w:sz w:val="24"/>
          <w:szCs w:val="24"/>
        </w:rPr>
        <w:t>ООН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6C2488" w:rsidRPr="006C2488" w:rsidRDefault="006C2488" w:rsidP="006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6C248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C2488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Pr="006C248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6C2488">
        <w:rPr>
          <w:rFonts w:ascii="Times New Roman" w:hAnsi="Times New Roman" w:cs="Times New Roman"/>
          <w:sz w:val="24"/>
          <w:szCs w:val="24"/>
        </w:rPr>
        <w:t xml:space="preserve"> рамочной программы.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04CDA" w:rsidP="00904CDA">
      <w:pPr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>2017-2018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6F5C07" w:rsidRPr="006F5C07" w:rsidRDefault="006F5C07" w:rsidP="006F5C07">
      <w:pPr>
        <w:rPr>
          <w:rFonts w:ascii="Times New Roman" w:hAnsi="Times New Roman" w:cs="Times New Roman"/>
          <w:sz w:val="24"/>
          <w:szCs w:val="24"/>
        </w:rPr>
      </w:pPr>
      <w:r w:rsidRPr="006F5C07">
        <w:rPr>
          <w:rFonts w:ascii="Times New Roman" w:hAnsi="Times New Roman" w:cs="Times New Roman"/>
          <w:sz w:val="24"/>
          <w:szCs w:val="24"/>
        </w:rPr>
        <w:t>Первоначальные наборы данных в 2017 г., первый д</w:t>
      </w:r>
      <w:r>
        <w:rPr>
          <w:rFonts w:ascii="Times New Roman" w:hAnsi="Times New Roman" w:cs="Times New Roman"/>
          <w:sz w:val="24"/>
          <w:szCs w:val="24"/>
        </w:rPr>
        <w:t xml:space="preserve">остаточно полный набор данных к </w:t>
      </w:r>
      <w:r w:rsidRPr="006F5C07">
        <w:rPr>
          <w:rFonts w:ascii="Times New Roman" w:hAnsi="Times New Roman" w:cs="Times New Roman"/>
          <w:sz w:val="24"/>
          <w:szCs w:val="24"/>
        </w:rPr>
        <w:t>2019 г.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D2044C" w:rsidRPr="00D2044C" w:rsidRDefault="00D2044C" w:rsidP="00D20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044C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СРБ, в состав которой входят агентства специального назначения, в том числе национальные агентства по борьбе со стихийными бедствиями, агентства по гражданской защите и метеорологические агентства.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ascii="Times New Roman" w:hAnsi="Times New Roman" w:cs="Times New Roman"/>
          <w:sz w:val="24"/>
          <w:szCs w:val="24"/>
        </w:rPr>
      </w:pPr>
      <w:r w:rsidRPr="007F61C3">
        <w:rPr>
          <w:rFonts w:ascii="Times New Roman" w:hAnsi="Times New Roman" w:cs="Times New Roman"/>
          <w:sz w:val="24"/>
          <w:szCs w:val="24"/>
        </w:rPr>
        <w:t>МСУОБ ООН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8A70E3" w:rsidRPr="008A70E3" w:rsidRDefault="008A70E3" w:rsidP="008A70E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Показатель построит мост между ЦУР (SDG) и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программой для УОБ (DRR). </w:t>
      </w:r>
      <w:proofErr w:type="gramStart"/>
      <w:r w:rsidRPr="008A70E3">
        <w:rPr>
          <w:rFonts w:ascii="Times New Roman" w:hAnsi="Times New Roman" w:cs="Times New Roman"/>
          <w:sz w:val="24"/>
          <w:szCs w:val="24"/>
        </w:rPr>
        <w:t xml:space="preserve">Увеличение числа национальных правительств, которые принимают и реализуют национальные и местные стратегии УОБ, которые, согласно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программе,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622425" w:rsidRPr="00B71BA1" w:rsidRDefault="00622425" w:rsidP="00622425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(HFA) начал действие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действий. В течение четырех циклов отчетности до 2015 года 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создал крупнейший в мире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информации о национальной политике в области УОБ, в частности. Преемственная программа, условно названная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инструментом мониторинга, находится в разработке и будет проинформирован</w:t>
      </w:r>
      <w:r w:rsidR="00A131F1" w:rsidRPr="00B71BA1">
        <w:rPr>
          <w:rFonts w:ascii="Times New Roman" w:hAnsi="Times New Roman" w:cs="Times New Roman"/>
          <w:sz w:val="24"/>
          <w:szCs w:val="24"/>
        </w:rPr>
        <w:t>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рекомендациями МРГОС (OEIWG). Предполагается, что базовый уровень по состоянию на 2015 год будет создан в 2016-2017 годах, что соответствует прогрессу в достижении целей как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программы, так и ЦУР.</w:t>
      </w:r>
    </w:p>
    <w:p w:rsidR="00622425" w:rsidRPr="00622425" w:rsidRDefault="00622425" w:rsidP="00622425">
      <w:pPr>
        <w:jc w:val="both"/>
      </w:pPr>
      <w:r w:rsidRPr="00B71BA1">
        <w:rPr>
          <w:rFonts w:ascii="Times New Roman" w:hAnsi="Times New Roman" w:cs="Times New Roman"/>
          <w:sz w:val="24"/>
          <w:szCs w:val="24"/>
        </w:rPr>
        <w:t xml:space="preserve">Члены как МРГОС и </w:t>
      </w:r>
      <w:r w:rsidR="00A131F1" w:rsidRPr="00B71BA1">
        <w:rPr>
          <w:rFonts w:ascii="Times New Roman" w:hAnsi="Times New Roman" w:cs="Times New Roman"/>
          <w:sz w:val="24"/>
          <w:szCs w:val="24"/>
        </w:rPr>
        <w:t>Межправительственной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131F1" w:rsidRPr="00B71BA1">
        <w:rPr>
          <w:rFonts w:ascii="Times New Roman" w:hAnsi="Times New Roman" w:cs="Times New Roman"/>
          <w:sz w:val="24"/>
          <w:szCs w:val="24"/>
        </w:rPr>
        <w:t>ей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31F1" w:rsidRPr="00B71BA1">
        <w:rPr>
          <w:rFonts w:ascii="Times New Roman" w:hAnsi="Times New Roman" w:cs="Times New Roman"/>
          <w:sz w:val="24"/>
          <w:szCs w:val="24"/>
        </w:rPr>
        <w:t>ы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Целям устойчивого развития (IAEG-SDG)</w:t>
      </w:r>
      <w:r w:rsidR="00A131F1" w:rsidRPr="00B71BA1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показатели</w:t>
      </w:r>
      <w:r w:rsidRPr="00B71BA1">
        <w:rPr>
          <w:rFonts w:ascii="Times New Roman" w:hAnsi="Times New Roman" w:cs="Times New Roman"/>
          <w:sz w:val="24"/>
          <w:szCs w:val="24"/>
        </w:rPr>
        <w:t xml:space="preserve">, которые просто подсчитывают количество стран, не рекомендуются, вместо этого поощряются показатели для оценки прогресса с течением времени. В дополнение к обсуждениям МРГОС, а также Межведомственной экспертной группы,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меры согласования с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программой, а также охвата населения местными стратегиями.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Методология расчета нескольких показателей </w:t>
      </w:r>
      <w:r>
        <w:rPr>
          <w:rFonts w:ascii="Times New Roman" w:hAnsi="Times New Roman" w:cs="Times New Roman"/>
          <w:sz w:val="24"/>
          <w:szCs w:val="24"/>
        </w:rPr>
        <w:t>всеобъемлющая и</w:t>
      </w:r>
      <w:r w:rsidRPr="00B71BA1">
        <w:rPr>
          <w:rFonts w:ascii="Times New Roman" w:hAnsi="Times New Roman" w:cs="Times New Roman"/>
          <w:sz w:val="24"/>
          <w:szCs w:val="24"/>
        </w:rPr>
        <w:t xml:space="preserve"> длинная (около 180 страниц) и, вероятно, выходит за рамки этих метаданных. </w:t>
      </w:r>
      <w:r w:rsidR="00BE515C" w:rsidRPr="00BE515C">
        <w:rPr>
          <w:rFonts w:ascii="Times New Roman" w:hAnsi="Times New Roman" w:cs="Times New Roman"/>
          <w:sz w:val="24"/>
          <w:szCs w:val="24"/>
        </w:rPr>
        <w:t xml:space="preserve">МСУОБ ООН </w:t>
      </w:r>
      <w:r w:rsidRPr="00B71BA1">
        <w:rPr>
          <w:rFonts w:ascii="Times New Roman" w:hAnsi="Times New Roman" w:cs="Times New Roman"/>
          <w:sz w:val="24"/>
          <w:szCs w:val="24"/>
        </w:rPr>
        <w:t xml:space="preserve">предпочитает ссылаться на результаты работы Межправительственной рабочей группы открытого состава, которая предоставляет полную подробную методологию для каждого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B71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>.</w:t>
      </w:r>
    </w:p>
    <w:p w:rsidR="00B71BA1" w:rsidRP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Последняя версия методологии </w:t>
      </w:r>
      <w:r>
        <w:rPr>
          <w:rFonts w:ascii="Times New Roman" w:hAnsi="Times New Roman" w:cs="Times New Roman"/>
          <w:sz w:val="24"/>
          <w:szCs w:val="24"/>
        </w:rPr>
        <w:t>доступна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26752" w:rsidRPr="00A26752" w:rsidRDefault="00671BD2" w:rsidP="00A26752">
      <w:pPr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A26752" w:rsidRPr="00A26752">
          <w:rPr>
            <w:rStyle w:val="ac"/>
            <w:rFonts w:ascii="Times New Roman" w:hAnsi="Times New Roman" w:cs="Times New Roman"/>
            <w:lang w:val="en-US"/>
          </w:rPr>
          <w:t>http://www.preventionweb.net/documents/oiewg/Technical%20Collection%20of%20Concept%20Notes %20on%20Indicators.pdf</w:t>
        </w:r>
      </w:hyperlink>
    </w:p>
    <w:p w:rsidR="00A26752" w:rsidRPr="007C0685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Краткое</w:t>
      </w:r>
      <w:r w:rsidRPr="007C0685">
        <w:rPr>
          <w:rFonts w:ascii="Times New Roman" w:hAnsi="Times New Roman" w:cs="Times New Roman"/>
          <w:sz w:val="24"/>
          <w:szCs w:val="24"/>
        </w:rPr>
        <w:t xml:space="preserve"> </w:t>
      </w:r>
      <w:r w:rsidRPr="00A26752">
        <w:rPr>
          <w:rFonts w:ascii="Times New Roman" w:hAnsi="Times New Roman" w:cs="Times New Roman"/>
          <w:sz w:val="24"/>
          <w:szCs w:val="24"/>
        </w:rPr>
        <w:t>резюме</w:t>
      </w:r>
      <w:r w:rsidRPr="007C0685">
        <w:rPr>
          <w:rFonts w:ascii="Times New Roman" w:hAnsi="Times New Roman" w:cs="Times New Roman"/>
          <w:sz w:val="24"/>
          <w:szCs w:val="24"/>
        </w:rPr>
        <w:t>:</w:t>
      </w:r>
    </w:p>
    <w:p w:rsidR="00A26752" w:rsidRPr="00A26752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 xml:space="preserve">Обобщение данных из Национальных отчетов о ходе работы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2E15F9" w:rsidRPr="00BD29EC" w:rsidRDefault="002E15F9" w:rsidP="00B71BA1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lastRenderedPageBreak/>
        <w:t xml:space="preserve">В мониторинге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программы, который будет проводиться в качестве добровольной самооценки как мониторинг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рамочной программы (HFA), отсутствующие значения и 0 или нуль будут считаться эквивалентными.</w:t>
      </w:r>
    </w:p>
    <w:p w:rsid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См. Раздел «Методология расчета».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страны, разделенное на население мира.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Мониторинг HFA начался в 2007 г., и со временем число стран, отчитывающихся перед МСУОБ ООН, увеличилось с 60 в 2007 г. до 140+ стран, которые в настоящее время проводят добровольную самооценку прогресса в реализации</w:t>
      </w:r>
      <w:r w:rsidRPr="003C2C65">
        <w:t xml:space="preserve"> </w:t>
      </w:r>
      <w:r w:rsidRPr="003C2C65">
        <w:rPr>
          <w:rFonts w:ascii="Times New Roman" w:hAnsi="Times New Roman" w:cs="Times New Roman"/>
          <w:sz w:val="24"/>
          <w:szCs w:val="24"/>
        </w:rPr>
        <w:t xml:space="preserve">HFA. Учитывая требования к стратегиям снижения риска бедствий, закрепленные в отчетности по ЦУР и задачам </w:t>
      </w:r>
      <w:proofErr w:type="spellStart"/>
      <w:r w:rsidRPr="003C2C6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C2C65">
        <w:rPr>
          <w:rFonts w:ascii="Times New Roman" w:hAnsi="Times New Roman" w:cs="Times New Roman"/>
          <w:sz w:val="24"/>
          <w:szCs w:val="24"/>
        </w:rPr>
        <w:t xml:space="preserve"> рамочной программы, ожидается, что к 2020 году все государства-члены будут сообщать о своих стратегиях СРБ в соответствии с рекомендациями и руководящими принципами OEIWG.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2013 и 2015: монитор HFA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Разбивка: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стране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городам (применительно к субнациональным административным единицам)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04F71" w:rsidRPr="00004F71" w:rsidRDefault="00004F71" w:rsidP="00004F7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4F71">
        <w:rPr>
          <w:rFonts w:ascii="Times New Roman" w:hAnsi="Times New Roman" w:cs="Times New Roman"/>
          <w:color w:val="000000" w:themeColor="text1"/>
          <w:sz w:val="24"/>
        </w:rPr>
        <w:t>Не существует глобальной базы данных, собирающей информацию о политике СРБ, кроме монитора HFA и последующего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Сендайского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мониторинга</w:t>
      </w:r>
      <w:r w:rsidRPr="00004F7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04F71" w:rsidRPr="007C0685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documents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oiewg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Technical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Collection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of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Concept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Notes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Indicators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Используемые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документы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0F73AA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На Межправительственную рабочую группу экспертов открытого состава по показателям и терминологии, относящейся к снижению риска бедствий (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), ГА ООН возложила ответственность за разработку набора показателей для измерения глобального прогресса в реализации 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в соответствии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с семью глобальны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ми целями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. Работа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должна быть завершена к декабрю 2016 года, и ее отчет будет представлен на рассмотрение Генеральной ассамблее. </w:t>
      </w:r>
      <w:proofErr w:type="gram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IAEG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Статистическая комиссия ООН официально признают роль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переложили ответственность за дальнейшее уточнение и разработку методологии для показателей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, связанных со стихийными бедствиями, на эту рабочую группу.</w:t>
      </w:r>
      <w:proofErr w:type="gramEnd"/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Последняя версия документов доступна по ссылке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sessional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intersessionaldocuments</w:t>
      </w:r>
      <w:proofErr w:type="spellEnd"/>
    </w:p>
    <w:sectPr w:rsidR="00781C88" w:rsidRPr="007C068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544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F73AA"/>
    <w:rsid w:val="00116248"/>
    <w:rsid w:val="001470A2"/>
    <w:rsid w:val="00165896"/>
    <w:rsid w:val="001A163A"/>
    <w:rsid w:val="001E2FC9"/>
    <w:rsid w:val="0026591C"/>
    <w:rsid w:val="002748C1"/>
    <w:rsid w:val="00291FA0"/>
    <w:rsid w:val="002A5270"/>
    <w:rsid w:val="002E122C"/>
    <w:rsid w:val="002E15F9"/>
    <w:rsid w:val="002F481B"/>
    <w:rsid w:val="002F63E5"/>
    <w:rsid w:val="00303D71"/>
    <w:rsid w:val="003143BC"/>
    <w:rsid w:val="00360D86"/>
    <w:rsid w:val="003746BC"/>
    <w:rsid w:val="003C2C65"/>
    <w:rsid w:val="003D58DC"/>
    <w:rsid w:val="00407E4E"/>
    <w:rsid w:val="004143B4"/>
    <w:rsid w:val="00421928"/>
    <w:rsid w:val="00427C79"/>
    <w:rsid w:val="0044609B"/>
    <w:rsid w:val="0049293C"/>
    <w:rsid w:val="00495484"/>
    <w:rsid w:val="004E087E"/>
    <w:rsid w:val="00515198"/>
    <w:rsid w:val="005169D6"/>
    <w:rsid w:val="0054104C"/>
    <w:rsid w:val="005D1938"/>
    <w:rsid w:val="005D3C56"/>
    <w:rsid w:val="005E47BD"/>
    <w:rsid w:val="00622425"/>
    <w:rsid w:val="00671BD2"/>
    <w:rsid w:val="00694160"/>
    <w:rsid w:val="006B260E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0685"/>
    <w:rsid w:val="007C27E0"/>
    <w:rsid w:val="007D1185"/>
    <w:rsid w:val="007F06DF"/>
    <w:rsid w:val="007F61C3"/>
    <w:rsid w:val="00802880"/>
    <w:rsid w:val="00836F3E"/>
    <w:rsid w:val="00853C09"/>
    <w:rsid w:val="008A70E3"/>
    <w:rsid w:val="00904CDA"/>
    <w:rsid w:val="009508D1"/>
    <w:rsid w:val="00957A62"/>
    <w:rsid w:val="00980F79"/>
    <w:rsid w:val="00982FE8"/>
    <w:rsid w:val="009C064B"/>
    <w:rsid w:val="009C5DEF"/>
    <w:rsid w:val="00A131F1"/>
    <w:rsid w:val="00A26752"/>
    <w:rsid w:val="00A618FC"/>
    <w:rsid w:val="00A71EC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BE515C"/>
    <w:rsid w:val="00C8596F"/>
    <w:rsid w:val="00CA1CB1"/>
    <w:rsid w:val="00CB28B7"/>
    <w:rsid w:val="00D05466"/>
    <w:rsid w:val="00D2044C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eventionweb.net/documents/oiewg/Technical%20Collection%20of%20Concept%20Notes%20%20on%20Indicato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CF8B-3859-4D08-85C3-2D02E80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2022-01-28T08:33:00Z</dcterms:created>
  <dcterms:modified xsi:type="dcterms:W3CDTF">2022-06-09T14:37:00Z</dcterms:modified>
</cp:coreProperties>
</file>