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6D5488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D5488" w:rsidRPr="006D5488">
        <w:t xml:space="preserve">Защита и восстановление экосистем </w:t>
      </w:r>
      <w:proofErr w:type="gramStart"/>
      <w:r w:rsidR="006D5488" w:rsidRPr="006D5488">
        <w:t>суши</w:t>
      </w:r>
      <w:proofErr w:type="gramEnd"/>
      <w:r w:rsidR="006D5488" w:rsidRPr="006D5488"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  <w:r w:rsidR="006D548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3968E8"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 xml:space="preserve">.  </w:t>
      </w:r>
      <w:r w:rsidR="00996335" w:rsidRPr="00996335">
        <w:t>К 2020 году принять меры по предотвращению проникновения чужеродных инвазивных видов и по значительному уменьшению их воздействия на наземные и водные экосистемы, а также принять меры по предотвращению ограничения численности или уничтожения приоритетных видов.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3968E8">
        <w:rPr>
          <w:rFonts w:cs="Times New Roman"/>
          <w:szCs w:val="24"/>
        </w:rPr>
        <w:t>8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996335" w:rsidRPr="00996335">
        <w:t>Доля стран, принимающих соответствующее национальное законодательство и выделяющих достаточные ресурсы для предотвращения проникновения или регулирования численности чужеродных инвазивных видов.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96335" w:rsidRDefault="00996335" w:rsidP="00996335">
      <w:r>
        <w:t xml:space="preserve">2021-02-12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96335" w:rsidRDefault="00996335" w:rsidP="00996335">
      <w:pPr>
        <w:rPr>
          <w:bdr w:val="nil"/>
          <w:lang w:eastAsia="ru-RU"/>
        </w:rPr>
      </w:pPr>
      <w:r w:rsidRPr="00996335">
        <w:rPr>
          <w:bdr w:val="nil"/>
          <w:lang w:eastAsia="ru-RU"/>
        </w:rPr>
        <w:t>Показатель реагирования на политику в рамках показателей состояния инвазивных чужеродных видов в рамках Партнерства по показателям биоразнообразия (BIP) ЮНЕП-</w:t>
      </w:r>
      <w:r>
        <w:rPr>
          <w:bdr w:val="nil"/>
          <w:lang w:eastAsia="ru-RU"/>
        </w:rPr>
        <w:t>ВЦМООС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96335" w:rsidRDefault="00996335" w:rsidP="00996335">
      <w:pPr>
        <w:rPr>
          <w:bdr w:val="nil"/>
          <w:lang w:eastAsia="ru-RU"/>
        </w:rPr>
      </w:pPr>
      <w:r w:rsidRPr="00996335">
        <w:rPr>
          <w:bdr w:val="nil"/>
          <w:lang w:eastAsia="ru-RU"/>
        </w:rPr>
        <w:t>Международный союз охраны природы МСОП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96335" w:rsidRDefault="00996335" w:rsidP="00996335">
      <w:r w:rsidRPr="00996335">
        <w:t>Международный союз охраны природы МСОП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173979" w:rsidRDefault="00173979" w:rsidP="00173979">
      <w:r>
        <w:t>П</w:t>
      </w:r>
      <w:r w:rsidRPr="00C90297">
        <w:t xml:space="preserve">оказатель направлен на количественную оценку тенденций </w:t>
      </w:r>
      <w:proofErr w:type="gramStart"/>
      <w:r w:rsidRPr="00C90297">
        <w:t>в</w:t>
      </w:r>
      <w:proofErr w:type="gramEnd"/>
      <w:r w:rsidRPr="00C90297">
        <w:t>:</w:t>
      </w:r>
    </w:p>
    <w:p w:rsidR="00173979" w:rsidRDefault="00173979" w:rsidP="00173979">
      <w:r>
        <w:t>Часть A: Приверженность стран соответствующим многонациональным соглашениям, в частности:</w:t>
      </w:r>
    </w:p>
    <w:p w:rsidR="00173979" w:rsidRDefault="00173979" w:rsidP="00173979">
      <w:r>
        <w:t>(1) Национальное принятие международной политики, связанной с инвазивными чужеродными видами.</w:t>
      </w:r>
    </w:p>
    <w:p w:rsidR="00173979" w:rsidRDefault="00173979" w:rsidP="00173979">
      <w:r>
        <w:lastRenderedPageBreak/>
        <w:t xml:space="preserve">(2) Процент стран </w:t>
      </w:r>
      <w:proofErr w:type="gramStart"/>
      <w:r>
        <w:t>с</w:t>
      </w:r>
      <w:proofErr w:type="gramEnd"/>
      <w:r>
        <w:t>:</w:t>
      </w:r>
    </w:p>
    <w:p w:rsidR="00173979" w:rsidRDefault="00173979" w:rsidP="00173979">
      <w:r>
        <w:t>(а) национальные стратегии предупреждения инвазивных чужеродных видов и борьбы с ними; а также</w:t>
      </w:r>
    </w:p>
    <w:p w:rsidR="00173979" w:rsidRDefault="00173979" w:rsidP="00173979">
      <w:r>
        <w:t xml:space="preserve">(b) национальное законодательство и политика, </w:t>
      </w:r>
      <w:proofErr w:type="gramStart"/>
      <w:r>
        <w:t>касающиеся</w:t>
      </w:r>
      <w:proofErr w:type="gramEnd"/>
      <w:r>
        <w:t xml:space="preserve"> инвазивных чужеродных видов.</w:t>
      </w:r>
    </w:p>
    <w:p w:rsidR="00173979" w:rsidRPr="00173979" w:rsidRDefault="00173979" w:rsidP="00173979">
      <w:pPr>
        <w:rPr>
          <w:szCs w:val="24"/>
        </w:rPr>
      </w:pPr>
      <w:r w:rsidRPr="00C90297">
        <w:t xml:space="preserve">Часть B: перевод механизмов политики в действия стран по осуществлению политики и активному предотвращению и контролю инвазивных чужеродных видов </w:t>
      </w:r>
      <w:r w:rsidR="00965C67">
        <w:t>ИЧВ</w:t>
      </w:r>
      <w:r w:rsidRPr="00C90297">
        <w:t xml:space="preserve"> и обеспечению ресурсами этой деятельности, в частности: (3) Национальное распределение ресурсов для предотвращения инвазивных чужеродных видов или борьбы с ними.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FD6A6C" w:rsidRDefault="00FD6A6C" w:rsidP="00FD6A6C">
      <w:r w:rsidRPr="0063750B">
        <w:t xml:space="preserve">«Чужеродный» вид описан как тот, который был введен вне его естественного ареала распространения из-за преднамеренной или случайной дисперсии человеческой деятельностью. Чужеродный вид, который установился в естественной или </w:t>
      </w:r>
      <w:proofErr w:type="spellStart"/>
      <w:r w:rsidRPr="0063750B">
        <w:t>полуестественной</w:t>
      </w:r>
      <w:proofErr w:type="spellEnd"/>
      <w:r w:rsidRPr="0063750B">
        <w:t xml:space="preserve"> экосистеме или среде обитания, является агентом изменений и угрожает природному биологическому разнообразию, который известен как «инвазивные чужеродные виды» (Конвенция о биологическом разнообразии 2016 года).</w:t>
      </w:r>
    </w:p>
    <w:p w:rsidR="00FD6A6C" w:rsidRDefault="00FD6A6C" w:rsidP="00FD6A6C">
      <w:r w:rsidRPr="00F62966">
        <w:t>Введение чужеродных видов может быть пред</w:t>
      </w:r>
      <w:r>
        <w:t>намеренным или непреднамеренным</w:t>
      </w:r>
      <w:r w:rsidRPr="00F62966">
        <w:t>/случайным. Чуждые виды были введены преднамеренно для лесного хозяйства, декор</w:t>
      </w:r>
      <w:r>
        <w:t xml:space="preserve">ативных целей, для </w:t>
      </w:r>
      <w:proofErr w:type="spellStart"/>
      <w:r>
        <w:t>аквакультуры</w:t>
      </w:r>
      <w:proofErr w:type="spellEnd"/>
      <w:r w:rsidRPr="00F62966">
        <w:t>/</w:t>
      </w:r>
      <w:proofErr w:type="spellStart"/>
      <w:r w:rsidRPr="00F62966">
        <w:t>марику</w:t>
      </w:r>
      <w:r>
        <w:t>льтуры</w:t>
      </w:r>
      <w:proofErr w:type="spellEnd"/>
      <w:r>
        <w:t>, охоты, рыболовства и т.д</w:t>
      </w:r>
      <w:r w:rsidRPr="00F62966">
        <w:t xml:space="preserve">. </w:t>
      </w:r>
      <w:proofErr w:type="gramStart"/>
      <w:r w:rsidRPr="00F62966">
        <w:t xml:space="preserve">Примеры непреднамеренных или случайных интродукций включают в себя: чужеродные виды, которые вырвались из садов, объекты содержания </w:t>
      </w:r>
      <w:proofErr w:type="spellStart"/>
      <w:r w:rsidRPr="00F62966">
        <w:t>аквакультуры</w:t>
      </w:r>
      <w:proofErr w:type="spellEnd"/>
      <w:r w:rsidRPr="00F62966">
        <w:t>, лесное хозяйство, садоводство; домашних животных и видов аквариума, которые выпускаются в дикой природе; транспортные загрязнители и безбилетные пассажиры, в том числе в балластной воде или в качестве корпусных корпусов, а также семена, перевозимые в почве, оборудован</w:t>
      </w:r>
      <w:r>
        <w:t>ии, транспортных средствах и т.</w:t>
      </w:r>
      <w:r w:rsidRPr="00F62966">
        <w:t>д.</w:t>
      </w:r>
      <w:proofErr w:type="gramEnd"/>
    </w:p>
    <w:p w:rsidR="00FD6A6C" w:rsidRDefault="00FD6A6C" w:rsidP="00FD6A6C">
      <w:r w:rsidRPr="00F62966">
        <w:t xml:space="preserve">Механизмы воздействия инвазивных видов включают в себя конкуренцию, хищничество, гибридизацию и передачу болезней, паразитизм, травоядные и точечные и укоренения. Результаты этих воздействий приводят к утрате биоразнообразия, деградации местообитаний и утрате </w:t>
      </w:r>
      <w:proofErr w:type="spellStart"/>
      <w:r w:rsidRPr="00F62966">
        <w:t>экосистемных</w:t>
      </w:r>
      <w:proofErr w:type="spellEnd"/>
      <w:r w:rsidRPr="00F62966">
        <w:t xml:space="preserve"> услуг.</w:t>
      </w:r>
    </w:p>
    <w:p w:rsidR="00FD6A6C" w:rsidRPr="00D95F56" w:rsidRDefault="00FD6A6C" w:rsidP="00FD6A6C">
      <w:pPr>
        <w:rPr>
          <w:rFonts w:cs="Times New Roman"/>
          <w:b/>
          <w:szCs w:val="24"/>
        </w:rPr>
      </w:pPr>
      <w:r w:rsidRPr="009A3BA0">
        <w:rPr>
          <w:rFonts w:cs="Times New Roman"/>
          <w:b/>
          <w:szCs w:val="24"/>
        </w:rPr>
        <w:t>Комментарии и ограничения:</w:t>
      </w:r>
    </w:p>
    <w:p w:rsidR="00FD6A6C" w:rsidRDefault="00FD6A6C" w:rsidP="00FD6A6C">
      <w:pPr>
        <w:rPr>
          <w:rFonts w:cs="Times New Roman"/>
          <w:szCs w:val="24"/>
        </w:rPr>
      </w:pPr>
      <w:r w:rsidRPr="00F62966">
        <w:rPr>
          <w:rFonts w:cs="Times New Roman"/>
          <w:szCs w:val="24"/>
        </w:rPr>
        <w:t xml:space="preserve">Принятие законодательства не обязательно указывает на наличие правил или политики для реализации законодательства или того, насколько успешной была такая реализация на местах. Остается потребность в дальнейшей разработке индикаторов, чтобы сделать эту связь более четкой. Законодательство не обязательно привлекает все усилия против инвазивных чужеродных видов, которые происходят на национальном уровне. </w:t>
      </w:r>
    </w:p>
    <w:p w:rsidR="00FD6A6C" w:rsidRPr="00FD6A6C" w:rsidRDefault="00FD6A6C" w:rsidP="00FD6A6C">
      <w:pPr>
        <w:rPr>
          <w:rFonts w:cs="Times New Roman"/>
          <w:szCs w:val="24"/>
        </w:rPr>
      </w:pPr>
      <w:r w:rsidRPr="00F62966">
        <w:rPr>
          <w:rFonts w:cs="Times New Roman"/>
          <w:szCs w:val="24"/>
        </w:rPr>
        <w:t xml:space="preserve">Распределение ресурсов для содействия осуществлению действий по управлению </w:t>
      </w:r>
      <w:r w:rsidR="00965C67">
        <w:rPr>
          <w:rFonts w:cs="Times New Roman"/>
          <w:szCs w:val="24"/>
        </w:rPr>
        <w:t>ИЧВ</w:t>
      </w:r>
      <w:r w:rsidRPr="00F62966">
        <w:rPr>
          <w:rFonts w:cs="Times New Roman"/>
          <w:szCs w:val="24"/>
        </w:rPr>
        <w:t xml:space="preserve"> трудно измерить, особенно в сопоставимых странах. Прокси, используемые для измерения распределения ресурсов, включают: распределение бюджетной линии на деятельность по инвазивным видам (включая профилактику, оперативное реагирование и активное </w:t>
      </w:r>
      <w:r w:rsidRPr="00F62966">
        <w:rPr>
          <w:rFonts w:cs="Times New Roman"/>
          <w:szCs w:val="24"/>
        </w:rPr>
        <w:lastRenderedPageBreak/>
        <w:t xml:space="preserve">управление); назначенный персонал для выполнения любых видов деятельности, связанных с </w:t>
      </w:r>
      <w:r w:rsidR="00965C67">
        <w:rPr>
          <w:rFonts w:cs="Times New Roman"/>
          <w:szCs w:val="24"/>
        </w:rPr>
        <w:t>ИЧВ</w:t>
      </w:r>
      <w:r w:rsidRPr="00F62966">
        <w:rPr>
          <w:rFonts w:cs="Times New Roman"/>
          <w:szCs w:val="24"/>
        </w:rPr>
        <w:t xml:space="preserve">; активные программы / проекты и т. д. 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FD6A6C" w:rsidP="00FD6A6C">
      <w:r>
        <w:t>Число стран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FD6A6C" w:rsidP="00FD6A6C">
      <w:r>
        <w:t xml:space="preserve">Не применимо. 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D6A6C" w:rsidRPr="00FD6A6C" w:rsidRDefault="00FD6A6C" w:rsidP="00FD6A6C">
      <w:r w:rsidRPr="00FD6A6C">
        <w:t>Для сбора и регистрации данных и информации о национальном законодательстве и нормативных актах, принятых в отношении предотвращения интродукции чужеродных и инвазивных видов и управления ими, если они уже созданы, в основном использовались две базы данных FAOLEX</w:t>
      </w:r>
      <w:r>
        <w:rPr>
          <w:rStyle w:val="a6"/>
        </w:rPr>
        <w:footnoteReference w:id="1"/>
      </w:r>
      <w:r w:rsidRPr="00FD6A6C">
        <w:t xml:space="preserve"> и ECOLEX</w:t>
      </w:r>
      <w:r>
        <w:rPr>
          <w:rStyle w:val="a6"/>
        </w:rPr>
        <w:footnoteReference w:id="2"/>
      </w:r>
      <w:r w:rsidRPr="00FD6A6C">
        <w:t xml:space="preserve">. Для получения дополнительной информации были также </w:t>
      </w:r>
      <w:r>
        <w:t>изучены</w:t>
      </w:r>
      <w:r w:rsidRPr="00FD6A6C">
        <w:t xml:space="preserve"> веб-сайт</w:t>
      </w:r>
      <w:r>
        <w:t>ы</w:t>
      </w:r>
      <w:r w:rsidRPr="00FD6A6C">
        <w:t xml:space="preserve"> национальных правительств.</w:t>
      </w:r>
    </w:p>
    <w:p w:rsidR="00FD6A6C" w:rsidRPr="00BD29EC" w:rsidRDefault="00FD6A6C" w:rsidP="00FD6A6C">
      <w:r w:rsidRPr="00FD6A6C">
        <w:t xml:space="preserve">Данные, относящиеся к </w:t>
      </w:r>
      <w:proofErr w:type="spellStart"/>
      <w:r w:rsidRPr="00FD6A6C">
        <w:t>страновым</w:t>
      </w:r>
      <w:proofErr w:type="spellEnd"/>
      <w:r w:rsidRPr="00FD6A6C">
        <w:t xml:space="preserve"> стратегиям и НСПДСП, чтобы подтвердить соответствие их целей задаче 9 </w:t>
      </w:r>
      <w:proofErr w:type="spellStart"/>
      <w:r w:rsidRPr="00FD6A6C">
        <w:t>Айти</w:t>
      </w:r>
      <w:proofErr w:type="spellEnd"/>
      <w:r w:rsidRPr="00FD6A6C">
        <w:t>, все документ</w:t>
      </w:r>
      <w:r w:rsidR="004E3594">
        <w:t>ы</w:t>
      </w:r>
      <w:r w:rsidRPr="00FD6A6C">
        <w:t xml:space="preserve"> НСПД были </w:t>
      </w:r>
      <w:r w:rsidR="004E3594">
        <w:t>взяты с веб-сайта</w:t>
      </w:r>
      <w:r w:rsidRPr="00FD6A6C">
        <w:t xml:space="preserve"> КБР</w:t>
      </w:r>
      <w:r>
        <w:rPr>
          <w:rStyle w:val="a6"/>
        </w:rPr>
        <w:footnoteReference w:id="3"/>
      </w:r>
      <w: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76CB2" w:rsidRPr="00776CB2" w:rsidRDefault="00776CB2" w:rsidP="00776CB2">
      <w:r w:rsidRPr="00776CB2">
        <w:t xml:space="preserve">Для сопоставления данных о юридических ответных действиях национальных правительств и подтверждения соответствия национальных целевых задач целевой задаче 9, принятой в </w:t>
      </w:r>
      <w:proofErr w:type="spellStart"/>
      <w:r w:rsidRPr="00776CB2">
        <w:t>Айти</w:t>
      </w:r>
      <w:proofErr w:type="spellEnd"/>
      <w:r w:rsidRPr="00776CB2">
        <w:t>, были проведены обзоры настольной литературы и соответствующие базы данных.</w:t>
      </w:r>
    </w:p>
    <w:p w:rsidR="00776CB2" w:rsidRDefault="00776CB2" w:rsidP="00776CB2">
      <w:r w:rsidRPr="00776CB2">
        <w:t xml:space="preserve">Данные для сбора данных о распределении ресурсов странами для управления инвазивными чужеродными видами, включая профилактику, искоренение, контроль и информационно-разъяснительную работу, были собраны с помощью онлайн-опроса. Целью этого опроса, который проводился в течение 6 месяцев с марта 2020 года по август 2020 года, были НСУ, узлы НСПДСБ и должностные лица Департамента окружающей среды 196 сторон КБР. В общей сложности опрос завершили 142 страны. С анкетой можно ознакомиться в </w:t>
      </w:r>
      <w:proofErr w:type="spellStart"/>
      <w:r w:rsidRPr="00776CB2">
        <w:t>Пагаде</w:t>
      </w:r>
      <w:proofErr w:type="spellEnd"/>
      <w:r w:rsidRPr="00776CB2">
        <w:t xml:space="preserve">, </w:t>
      </w:r>
      <w:proofErr w:type="spellStart"/>
      <w:r w:rsidRPr="00776CB2">
        <w:t>Шьяма</w:t>
      </w:r>
      <w:proofErr w:type="spellEnd"/>
      <w:r w:rsidRPr="00776CB2">
        <w:t xml:space="preserve">; </w:t>
      </w:r>
      <w:proofErr w:type="spellStart"/>
      <w:r w:rsidRPr="00776CB2">
        <w:t>Аффлек</w:t>
      </w:r>
      <w:proofErr w:type="spellEnd"/>
      <w:r w:rsidRPr="00776CB2">
        <w:t xml:space="preserve">, </w:t>
      </w:r>
      <w:proofErr w:type="spellStart"/>
      <w:r w:rsidRPr="00776CB2">
        <w:t>Саксби</w:t>
      </w:r>
      <w:proofErr w:type="spellEnd"/>
      <w:r w:rsidRPr="00776CB2">
        <w:t xml:space="preserve">; </w:t>
      </w:r>
      <w:proofErr w:type="spellStart"/>
      <w:r w:rsidRPr="00776CB2">
        <w:t>МакГеоч</w:t>
      </w:r>
      <w:proofErr w:type="spellEnd"/>
      <w:r w:rsidRPr="00776CB2">
        <w:t xml:space="preserve">, </w:t>
      </w:r>
      <w:proofErr w:type="spellStart"/>
      <w:r w:rsidRPr="00776CB2">
        <w:t>Мелоди</w:t>
      </w:r>
      <w:proofErr w:type="spellEnd"/>
      <w:r w:rsidRPr="00776CB2">
        <w:t xml:space="preserve"> (2020): Информационный бюллетень. Ла </w:t>
      </w:r>
      <w:proofErr w:type="spellStart"/>
      <w:r w:rsidRPr="00776CB2">
        <w:t>Троб</w:t>
      </w:r>
      <w:proofErr w:type="spellEnd"/>
      <w:r w:rsidRPr="00776CB2">
        <w:t xml:space="preserve">. Отчет </w:t>
      </w:r>
      <w:hyperlink r:id="rId9" w:history="1">
        <w:r w:rsidRPr="00207E93">
          <w:rPr>
            <w:rStyle w:val="ac"/>
          </w:rPr>
          <w:t>https://opal.latrobe.edu.au/articles/report/Factsheet/13065152?file=24997454</w:t>
        </w:r>
      </w:hyperlink>
    </w:p>
    <w:p w:rsidR="00776CB2" w:rsidRPr="00BD29EC" w:rsidRDefault="00776CB2" w:rsidP="00776CB2"/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776CB2" w:rsidRPr="00BD29EC" w:rsidRDefault="00776CB2" w:rsidP="00776CB2">
      <w:r w:rsidRPr="00776CB2">
        <w:t>Национальные агентства, производящие соответствующие данные, включают правительство, неправительственные организации (НПО) и академические учреждения, работающие совместно или по отдельности. Данные собираются из опубликованных и неопубликованных источников, экспертов по видам, ученых и защитников природы посредством переписки, семинаров и электронных форумов. Этот показатель был рассчитан в 2010 и 2016 годах и теперь включает текущее обновление 2020 года. Ожидается, что следующие обновления будут выпущены с начала первого квартала 2022 года до конца второго квартала 2022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776CB2" w:rsidRPr="00BD29EC" w:rsidRDefault="00776CB2" w:rsidP="00776CB2">
      <w:r>
        <w:t>Конец 4 квартала 2022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776CB2" w:rsidRDefault="00776CB2" w:rsidP="00776CB2">
      <w:r w:rsidRPr="00776CB2">
        <w:t>Данные были собраны в ходе опроса, направленного всем перечисленным НС</w:t>
      </w:r>
      <w:r>
        <w:t>У</w:t>
      </w:r>
      <w:r w:rsidRPr="00776CB2">
        <w:t>; и, при отсутствии НСУ или их ответа соответствующим национальным агентствам соответствующих национальных агентств (министерствам окружающей среды или аналогичным агентствам).</w:t>
      </w:r>
    </w:p>
    <w:p w:rsidR="001D0672" w:rsidRPr="00A71EC6" w:rsidRDefault="001D0672" w:rsidP="001D0672">
      <w:r w:rsidRPr="001D0672">
        <w:t>Данные о национальном законодательстве были получены из двух ключевых баз данных/</w:t>
      </w:r>
      <w:proofErr w:type="spellStart"/>
      <w:r w:rsidRPr="001D0672">
        <w:t>репозиториев</w:t>
      </w:r>
      <w:proofErr w:type="spellEnd"/>
      <w:r w:rsidRPr="001D0672">
        <w:t xml:space="preserve"> экологического права – ECOLEX и FAOLEX. Информация, касающаяся национальных целей, была получена из последних НСПДСБ и национальных отчетов, представленных в КБР.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1D0672" w:rsidRPr="00BD29EC" w:rsidRDefault="001D0672" w:rsidP="001D0672">
      <w:r w:rsidRPr="001D0672">
        <w:t>Международный союз охраны природы (МСОП) Комиссия по выживанию видов (SSC) Группа специалистов по инвазивным видам (ISSG)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1D0672" w:rsidP="001D0672">
      <w:r>
        <w:t>Не применимо.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1D0672" w:rsidRDefault="001D0672" w:rsidP="001D0672">
      <w:r w:rsidRPr="00C90297">
        <w:t>Цель 9</w:t>
      </w:r>
      <w:r>
        <w:t xml:space="preserve"> </w:t>
      </w:r>
      <w:r w:rsidRPr="00C90297">
        <w:t>Биоразнообрази</w:t>
      </w:r>
      <w:r>
        <w:t xml:space="preserve">я </w:t>
      </w:r>
      <w:proofErr w:type="spellStart"/>
      <w:r w:rsidRPr="00C90297">
        <w:t>Айти</w:t>
      </w:r>
      <w:proofErr w:type="spellEnd"/>
      <w:r w:rsidRPr="00C90297">
        <w:t xml:space="preserve"> гласит: «К 2020 году будут выявлены и определены приоритетные инвазивные чужеродные виды и пути, приоритетные виды будут контролироваться или искореняться, а также меры по управлению путями для предотвращения их введения и установления».</w:t>
      </w:r>
    </w:p>
    <w:p w:rsidR="001D0672" w:rsidRDefault="001D0672" w:rsidP="001D0672">
      <w:r w:rsidRPr="0063750B">
        <w:t xml:space="preserve">Согласно </w:t>
      </w:r>
      <w:proofErr w:type="spellStart"/>
      <w:r>
        <w:t>подпоказателю</w:t>
      </w:r>
      <w:proofErr w:type="spellEnd"/>
      <w:r w:rsidRPr="0063750B">
        <w:t xml:space="preserve"> (1) части</w:t>
      </w:r>
      <w:proofErr w:type="gramStart"/>
      <w:r w:rsidRPr="0063750B">
        <w:t xml:space="preserve"> А</w:t>
      </w:r>
      <w:proofErr w:type="gramEnd"/>
      <w:r w:rsidRPr="0063750B">
        <w:t>, чем больше число инвазивных чужеродных видов, имеющих отношение к международной политике, тем выше уровень глобальной приверженности делу борьбы с инвазивными чужеродными видами. Чем больше международных соглашений является участником страны, тем более решительной целью является контроль над инвазивными чужеродными видами.</w:t>
      </w:r>
    </w:p>
    <w:p w:rsidR="001D0672" w:rsidRDefault="001D0672" w:rsidP="001D0672">
      <w:r>
        <w:lastRenderedPageBreak/>
        <w:t>В подпункте (2</w:t>
      </w:r>
      <w:r w:rsidRPr="0063750B">
        <w:t xml:space="preserve">) (a) части A эффективная национальная </w:t>
      </w:r>
      <w:proofErr w:type="gramStart"/>
      <w:r w:rsidRPr="0063750B">
        <w:t>политика</w:t>
      </w:r>
      <w:proofErr w:type="gramEnd"/>
      <w:r w:rsidRPr="0063750B">
        <w:t xml:space="preserve"> и законодательство основываются на эффективных национальных стратегиях и действиях по предотвращению и борьбе с инвазивными чужеродными видами.</w:t>
      </w:r>
    </w:p>
    <w:p w:rsidR="001D0672" w:rsidRDefault="001D0672" w:rsidP="001D0672">
      <w:r w:rsidRPr="0063750B">
        <w:t xml:space="preserve">Измерение части A, </w:t>
      </w:r>
      <w:proofErr w:type="spellStart"/>
      <w:r>
        <w:t>подпоказателей</w:t>
      </w:r>
      <w:proofErr w:type="spellEnd"/>
      <w:r w:rsidRPr="0063750B">
        <w:t xml:space="preserve"> (1) и (2) (a) было впервые проведено в 2010 году и опубликовано в </w:t>
      </w:r>
      <w:proofErr w:type="spellStart"/>
      <w:r w:rsidRPr="0063750B">
        <w:t>Butchart</w:t>
      </w:r>
      <w:proofErr w:type="spellEnd"/>
      <w:r w:rsidRPr="0063750B">
        <w:t xml:space="preserve"> </w:t>
      </w:r>
      <w:r>
        <w:t>и др</w:t>
      </w:r>
      <w:r w:rsidRPr="0063750B">
        <w:t xml:space="preserve">. (2010), CBD (2014), </w:t>
      </w:r>
      <w:proofErr w:type="spellStart"/>
      <w:r w:rsidRPr="0063750B">
        <w:t>McGeoch</w:t>
      </w:r>
      <w:proofErr w:type="spellEnd"/>
      <w:r w:rsidRPr="0063750B">
        <w:t xml:space="preserve"> </w:t>
      </w:r>
      <w:r>
        <w:t>и др</w:t>
      </w:r>
      <w:r w:rsidRPr="0063750B">
        <w:t xml:space="preserve">. (2010) и </w:t>
      </w:r>
      <w:proofErr w:type="spellStart"/>
      <w:r w:rsidRPr="0063750B">
        <w:t>Tittensor</w:t>
      </w:r>
      <w:proofErr w:type="spellEnd"/>
      <w:r w:rsidRPr="0063750B">
        <w:t xml:space="preserve"> </w:t>
      </w:r>
      <w:r>
        <w:t>и др</w:t>
      </w:r>
      <w:r w:rsidRPr="0063750B">
        <w:t xml:space="preserve">. (2014). В настоящее время также добавлены </w:t>
      </w:r>
      <w:r>
        <w:t xml:space="preserve">показатели </w:t>
      </w:r>
      <w:proofErr w:type="spellStart"/>
      <w:r>
        <w:t>подпоказателя</w:t>
      </w:r>
      <w:proofErr w:type="spellEnd"/>
      <w:r w:rsidRPr="0063750B">
        <w:t xml:space="preserve"> (2), которые включают (b) национальные обязательства (мандат и юридические полномочия) на ключевые темы, связанные с инвазивными чужеродными видами.</w:t>
      </w:r>
    </w:p>
    <w:p w:rsidR="002E15F9" w:rsidRPr="00BD29EC" w:rsidRDefault="001D0672" w:rsidP="001D0672">
      <w:pPr>
        <w:rPr>
          <w:szCs w:val="24"/>
        </w:rPr>
      </w:pPr>
      <w:proofErr w:type="gramStart"/>
      <w:r w:rsidRPr="0063750B">
        <w:t xml:space="preserve">В соответствии с частью B, в настоящее время этот показатель также касается (3) ресурсов национальных правительств для предотвращения инвазивных чужеродных видов и контроля над ними, как это определено в соответствии с индикатором 15.8.1 </w:t>
      </w:r>
      <w:r>
        <w:t>ЦУР</w:t>
      </w:r>
      <w:r w:rsidRPr="0063750B">
        <w:t xml:space="preserve"> («Доля стран, принимающих соответствующее национальное законодательство и выделяющих достаточные ресурсы для предотвращения проникновения или регулирования численности чужеродных инвазивных видов»).</w:t>
      </w:r>
      <w:proofErr w:type="gramEnd"/>
      <w:r w:rsidRPr="0063750B">
        <w:t xml:space="preserve"> Адекватное сна</w:t>
      </w:r>
      <w:r>
        <w:t>бжение ресурсами имеет жизненно</w:t>
      </w:r>
      <w:r w:rsidRPr="0063750B">
        <w:t xml:space="preserve"> </w:t>
      </w:r>
      <w:proofErr w:type="gramStart"/>
      <w:r w:rsidRPr="0063750B">
        <w:t>важное значение</w:t>
      </w:r>
      <w:proofErr w:type="gramEnd"/>
      <w:r w:rsidRPr="0063750B">
        <w:t xml:space="preserve"> для обеспечения внедрения и эффективного предоставления установленных целей.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1D0672" w:rsidRDefault="001D0672" w:rsidP="001D0672">
      <w:r w:rsidRPr="00F62966">
        <w:t xml:space="preserve">Принятие законодательства не обязательно указывает на наличие правил или политики для реализации законодательства или того, насколько успешной была такая реализация на местах. Остается потребность в дальнейшей разработке индикаторов, чтобы сделать эту связь более четкой. Законодательство не обязательно привлекает все усилия против инвазивных чужеродных видов, которые происходят на национальном уровне. </w:t>
      </w:r>
    </w:p>
    <w:p w:rsidR="001D0672" w:rsidRPr="001D0672" w:rsidRDefault="001D0672" w:rsidP="001D0672">
      <w:r w:rsidRPr="00F62966">
        <w:t xml:space="preserve">Распределение ресурсов для содействия осуществлению действий по управлению </w:t>
      </w:r>
      <w:r w:rsidR="00965C67">
        <w:t xml:space="preserve">ИЧВ </w:t>
      </w:r>
      <w:r w:rsidRPr="00F62966">
        <w:t xml:space="preserve">трудно измерить, особенно в сопоставимых странах. Прокси, используемые для измерения распределения ресурсов, включают: распределение бюджетной линии на деятельность по </w:t>
      </w:r>
      <w:proofErr w:type="spellStart"/>
      <w:r w:rsidRPr="00F62966">
        <w:t>инвазным</w:t>
      </w:r>
      <w:proofErr w:type="spellEnd"/>
      <w:r w:rsidRPr="00F62966">
        <w:t xml:space="preserve"> видам (включая профилактику, оперативное реагирование и активное управление); назначенный персонал для выполнения любых видов деятельности, связанных с </w:t>
      </w:r>
      <w:r w:rsidR="00965C67">
        <w:t>ИЧВ</w:t>
      </w:r>
      <w:r w:rsidRPr="00F62966">
        <w:t xml:space="preserve">; активные программы / проекты и т. д.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1D0672" w:rsidRPr="001D0672" w:rsidRDefault="001D0672" w:rsidP="001D0672">
      <w:r w:rsidRPr="001D0672">
        <w:t>Этот показатель рассчитывается на основе данных, полученных из двух ежегодно обновляемых наборов данных.</w:t>
      </w:r>
    </w:p>
    <w:p w:rsidR="001D0672" w:rsidRPr="001D0672" w:rsidRDefault="001D0672" w:rsidP="001D0672">
      <w:r w:rsidRPr="001D0672">
        <w:t>(1) (a) Национальное законодательство считается относящимся к предотвращению интродукции инвазивных чужеродных видов и контролю.</w:t>
      </w:r>
    </w:p>
    <w:p w:rsidR="001D0672" w:rsidRDefault="001D0672" w:rsidP="001D0672">
      <w:r w:rsidRPr="001D0672">
        <w:t>При анализе учитывались все страны, в настоящее время являющиеся участниками Конвенции о биологическом разнообразии (n = 195), за исключением Европейского союза как субъекта. Данные по пяти странам не были сопоставимы и не были включены.</w:t>
      </w:r>
    </w:p>
    <w:p w:rsidR="001D0672" w:rsidRDefault="001D0672" w:rsidP="001D0672">
      <w:r>
        <w:t xml:space="preserve">Этот </w:t>
      </w:r>
      <w:r>
        <w:t>показатель</w:t>
      </w:r>
      <w:r>
        <w:t xml:space="preserve"> проанализировал национальное законодательство, имеющее отношение к </w:t>
      </w:r>
      <w:r w:rsidR="00965C67">
        <w:t>ИЧВ</w:t>
      </w:r>
      <w:r>
        <w:t xml:space="preserve">. В разных странах соответствующие политики ИЧВ содержатся в законодательстве, </w:t>
      </w:r>
      <w:r>
        <w:lastRenderedPageBreak/>
        <w:t>постановлениях и актах, касающихся окружающей среды, лесного хозяйства, здоровья растений, здоровья животных, рыболовства, водных ресурсов, видов, включая дикую фауну и флору, и генетически модифицированных организмов (ГМО). В большинстве стран применяется отраслевой подход к управлению ИЧВ. Некоторые из них приняли более целенаправленный подход – одним из примеров является Регламент (ЕС) № 1143/2014 Европейского парламента от 2014 г. о предотвращении и управлении интродукцией и распространением инвазивных чужеродных видов.</w:t>
      </w:r>
    </w:p>
    <w:p w:rsidR="001D0672" w:rsidRDefault="001D0672" w:rsidP="001D0672">
      <w:r>
        <w:t xml:space="preserve">Данные за 2010 и 2016 годы рассматривали национальное законодательство, касающееся инвазивных чужеродных видов, в общей перспективе. Обновление 2020 года включало тематические разделы. Для количественной оценки принятия соответствующих политик </w:t>
      </w:r>
      <w:proofErr w:type="spellStart"/>
      <w:r w:rsidR="00965C67">
        <w:t>ИВ</w:t>
      </w:r>
      <w:r>
        <w:t>были</w:t>
      </w:r>
      <w:proofErr w:type="spellEnd"/>
      <w:r>
        <w:t xml:space="preserve"> рассмотрены семь секторов национального законодательства; здоровье животных, здоровье растений, окружающая среда (включая охраняемые районы и охрану дикой природы), биобезопасность, рыболовство и </w:t>
      </w:r>
      <w:proofErr w:type="spellStart"/>
      <w:r>
        <w:t>аквакультура</w:t>
      </w:r>
      <w:proofErr w:type="spellEnd"/>
      <w:r>
        <w:t xml:space="preserve"> (включая водно-болотные угодья и морское законодательство), инвазивные чужеродные виды и другие (включая охоту и политику в отношении конкретных видов, таких как гигантский африканский Улитка, </w:t>
      </w:r>
      <w:proofErr w:type="spellStart"/>
      <w:r>
        <w:t>Achatina</w:t>
      </w:r>
      <w:proofErr w:type="spellEnd"/>
      <w:r>
        <w:t xml:space="preserve"> </w:t>
      </w:r>
      <w:proofErr w:type="spellStart"/>
      <w:r>
        <w:t>fulica</w:t>
      </w:r>
      <w:proofErr w:type="spellEnd"/>
      <w:r>
        <w:t>). Были отмечены примеры национального законодательства, конкретно посвященного ИЧВ.</w:t>
      </w:r>
    </w:p>
    <w:p w:rsidR="001D0672" w:rsidRDefault="001D0672" w:rsidP="001D0672">
      <w:r>
        <w:t xml:space="preserve">(1) (b) Национальная стратегия и план действий по сохранению биоразнообразия (НСПДСБ) нацелены на согласование с </w:t>
      </w:r>
      <w:proofErr w:type="spellStart"/>
      <w:r>
        <w:t>Айтинской</w:t>
      </w:r>
      <w:proofErr w:type="spellEnd"/>
      <w:r>
        <w:t xml:space="preserve"> задачей 9 по сохранению биоразнообразия, изложенной в Стратегическом плане по сохранению биоразнообразия на 2011–2020 годы.</w:t>
      </w:r>
    </w:p>
    <w:p w:rsidR="00965C67" w:rsidRDefault="00965C67" w:rsidP="00965C67">
      <w:r>
        <w:t xml:space="preserve">При анализе учитывались все страны, в настоящее время являющиеся участниками Конвенции о биологическом разнообразии (n = 195), за исключением Европейского союза как субъекта. Этот показатель измерял, во-первых, есть ли у стран задачи, связанные с управлением ИЧВ, в их НСПДСБ, и, во-вторых, были ли эти задачи согласованы с </w:t>
      </w:r>
      <w:proofErr w:type="spellStart"/>
      <w:r>
        <w:t>Айтинской</w:t>
      </w:r>
      <w:proofErr w:type="spellEnd"/>
      <w:r>
        <w:t xml:space="preserve"> целевой задачей 9 в области биоразнообразия.</w:t>
      </w:r>
    </w:p>
    <w:p w:rsidR="00965C67" w:rsidRDefault="00965C67" w:rsidP="00965C67">
      <w:r>
        <w:t xml:space="preserve">НСПДСБ являются ключевым инструментом политики, отражающим, как национальные стратегии сохранения биоразнообразия призваны выполнять обязательства КБР, и как в соответствующих планах действий излагаются шаги, которые необходимо предпринять для достижения этих целей. Все стороны КБР обязаны пересмотреть свои НСПДСБ, чтобы отразить соответствие пересмотренному Стратегическому плану и </w:t>
      </w:r>
      <w:proofErr w:type="spellStart"/>
      <w:r>
        <w:t>Айтинским</w:t>
      </w:r>
      <w:proofErr w:type="spellEnd"/>
      <w:r>
        <w:t xml:space="preserve"> целям.</w:t>
      </w:r>
    </w:p>
    <w:p w:rsidR="00965C67" w:rsidRDefault="00965C67" w:rsidP="00965C67">
      <w:r>
        <w:t>(2) Онлайн-опрос по политическим мерам, полномочиям, юридическим полномочиям и ресурсам для борьбы с угрозой инвазивных чужеродных видов.</w:t>
      </w:r>
    </w:p>
    <w:p w:rsidR="00965C67" w:rsidRDefault="00965C67" w:rsidP="00965C67">
      <w:r>
        <w:t xml:space="preserve">Был разработан онлайн-опрос, который был представлен всем перечисленным НСУ, национальным координаторам КБР (в случае отсутствия НСУ или отсутствия ответа), чтобы получить представление о выделении ресурсов на управление инвазивными чужеродными видами. 142 из 196 стран завершили исследование. Учитывая сложность получения информации об уровне национальных инвестиций в решение проблем, связанных с инвазивными чужеродными видами, для измерения распределения ресурсов </w:t>
      </w:r>
      <w:r>
        <w:lastRenderedPageBreak/>
        <w:t>отдельными странами использовались косвенные показатели, такие как «есть ли в стране специальная и укомплектованная кадрами программа по управлению ин</w:t>
      </w:r>
      <w:r>
        <w:t xml:space="preserve">вазивными чужеродными видами». </w:t>
      </w:r>
    </w:p>
    <w:p w:rsidR="000F1D96" w:rsidRDefault="000F1D96" w:rsidP="000F1D96">
      <w:r>
        <w:t>Части (1a) и (1b) были рассчитаны следующим образом:</w:t>
      </w:r>
    </w:p>
    <w:p w:rsidR="000F1D96" w:rsidRDefault="000F1D96" w:rsidP="000F1D96">
      <w:r>
        <w:t>Национальные стратегии предотвращения инвазивных чужеродных видов и борьбы с ними, подкрепленные национальной политикой и законодательством для эффективного управления биологическими инвазиями.</w:t>
      </w:r>
    </w:p>
    <w:p w:rsidR="000F1D96" w:rsidRDefault="000F1D96" w:rsidP="000F1D96">
      <w:r>
        <w:t xml:space="preserve">Компоненты этого </w:t>
      </w:r>
      <w:proofErr w:type="spellStart"/>
      <w:r>
        <w:t>подпоказателя</w:t>
      </w:r>
      <w:proofErr w:type="spellEnd"/>
      <w:r>
        <w:t xml:space="preserve"> рассчитываются как количество стран, в которых (а) национальное законодательство и политика имеют отношение к проблемам, связанным с инвазивными чужеродными видами; и (b) национальные стратегии предотвращения инвазивных чужеродных видов и борьбы с ними, разделенные на общее число стран (196 на сегодняшний день), по которым имеются данные. Первая точка данных для компонента (1) (a) этого </w:t>
      </w:r>
      <w:proofErr w:type="spellStart"/>
      <w:r>
        <w:t>подпоказателя</w:t>
      </w:r>
      <w:proofErr w:type="spellEnd"/>
      <w:r>
        <w:t xml:space="preserve"> – 2010 год; первая точка данных для компонента (1)(b) – 2016 год.</w:t>
      </w:r>
    </w:p>
    <w:p w:rsidR="000F1D96" w:rsidRDefault="000F1D96" w:rsidP="000F1D96">
      <w:r>
        <w:t xml:space="preserve">Часть (2) </w:t>
      </w:r>
      <w:r>
        <w:t>Показатель</w:t>
      </w:r>
      <w:r>
        <w:t>: Претворение странами политических договоренностей в действия для реализации политики и активного предотвращения и контроля инвазивных чужеродных видов, а также выделение ресурсов для этих действий.</w:t>
      </w:r>
    </w:p>
    <w:p w:rsidR="000F1D96" w:rsidRDefault="000F1D96" w:rsidP="000F1D96">
      <w:r>
        <w:t xml:space="preserve">Этот </w:t>
      </w:r>
      <w:proofErr w:type="spellStart"/>
      <w:r>
        <w:t>подпоказатель</w:t>
      </w:r>
      <w:proofErr w:type="spellEnd"/>
      <w:r>
        <w:t xml:space="preserve"> рассчитывается делением числа национальных респондентов на ежегодное обследование по финансированию реагирования на инвазивные чужеродные виды, сообщивших о наличии достаточных ресурсов, на общее число стран (на сегодняшний день 142), по которым имеются данные. Первая точка данных для этого </w:t>
      </w:r>
      <w:proofErr w:type="spellStart"/>
      <w:r>
        <w:t>подпоказателя</w:t>
      </w:r>
      <w:proofErr w:type="spellEnd"/>
      <w:r>
        <w:t xml:space="preserve"> — 2016 год.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8E562E" w:rsidRPr="008E562E" w:rsidRDefault="008E562E" w:rsidP="008E562E">
      <w:r w:rsidRPr="008E562E">
        <w:t>Для сопоставления данных использовались авторитетные и надежные источники. В некоторых случаях для получения дополнительных данных выполнялись перекрестные ссылки на веб-сайты национальных правительств. Опрос был нацелен на НСУ или национальные узлы.</w:t>
      </w:r>
    </w:p>
    <w:p w:rsidR="008E562E" w:rsidRDefault="008E562E" w:rsidP="008E562E">
      <w:r w:rsidRPr="008E562E">
        <w:t>Описание процесса мониторинга результатов сбора данных и обеспечения качества статистических результатов, включая процесс консультаций со странами по национальным данным, представленным в базу данных показателей ЦУР. Должны быть предоставлены описания и ссылки на все соответствующие справочные материалы.</w:t>
      </w:r>
    </w:p>
    <w:p w:rsidR="002E15F9" w:rsidRPr="00BD29EC" w:rsidRDefault="002E15F9" w:rsidP="008E562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8E562E" w:rsidP="008E562E">
      <w:r w:rsidRPr="008E562E">
        <w:t>Страны, по которым нет данных, не включены в показатель.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8E562E" w:rsidP="008E562E">
      <w:r>
        <w:t>Не применимо.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8E562E" w:rsidP="008E562E">
      <w:r w:rsidRPr="008E562E">
        <w:t>Показатель рассчитывается как простая доля стран (по которым имеются данные), в которых действуют определенные меры реагирования на инвазивные чужеродные виды (договоры, стратегия, законодательство, финансирование).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E562E" w:rsidRPr="00BD29EC" w:rsidRDefault="008E562E" w:rsidP="008E562E">
      <w:r>
        <w:t>Не применимо.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8E562E" w:rsidRPr="00BD29EC" w:rsidRDefault="008E562E" w:rsidP="008E562E">
      <w:r>
        <w:t>Не применимо.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8E562E" w:rsidRPr="00040034" w:rsidRDefault="008E562E" w:rsidP="008E562E">
      <w:r>
        <w:t>Не применимо.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8E562E" w:rsidRPr="008E562E" w:rsidRDefault="008E562E" w:rsidP="008E562E">
      <w:r>
        <w:t>Не применимо.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8E562E" w:rsidRPr="008E562E" w:rsidRDefault="008E562E" w:rsidP="008E562E">
      <w:r w:rsidRPr="008E562E">
        <w:t>Источники данных и сбор данных:</w:t>
      </w:r>
    </w:p>
    <w:p w:rsidR="008E562E" w:rsidRPr="008E562E" w:rsidRDefault="008E562E" w:rsidP="008E562E">
      <w:r w:rsidRPr="008E562E">
        <w:t xml:space="preserve">Для измерения этого показателя были </w:t>
      </w:r>
      <w:proofErr w:type="gramStart"/>
      <w:r w:rsidRPr="008E562E">
        <w:t>обновлены</w:t>
      </w:r>
      <w:proofErr w:type="gramEnd"/>
      <w:r w:rsidRPr="008E562E">
        <w:t>/разработаны два набора данных.</w:t>
      </w:r>
    </w:p>
    <w:p w:rsidR="008E562E" w:rsidRPr="008E562E" w:rsidRDefault="008E562E" w:rsidP="008E562E">
      <w:r w:rsidRPr="008E562E">
        <w:t>Часть (1) (а)</w:t>
      </w:r>
    </w:p>
    <w:p w:rsidR="008E562E" w:rsidRDefault="008E562E" w:rsidP="008E562E">
      <w:r w:rsidRPr="008E562E">
        <w:t>Национальное законодательство считается актуальным для предотвращения интродукции инвазивных чужеродных видов и контроля (используется для «Национальных стратегий предотвращения и контроля инвазивных чужеродных видов»). Формат данных представляет собой электронную таблицу стран по сравнению с включением инвазивных чужеродных видов в законодательство с указанием года законодательства в каждой ячейке. Ключевые источники информации включали ECOLEX (https://www.ecolex.org/), FAOLEX (http://www.fao.org/faolex/en/) и веб-сайты национальных правительств с информацией о законодательстве. За разъяснениями также обратились к экспертам страны.</w:t>
      </w:r>
    </w:p>
    <w:p w:rsidR="008E562E" w:rsidRPr="008E562E" w:rsidRDefault="008E562E" w:rsidP="008E562E">
      <w:proofErr w:type="gramStart"/>
      <w:r w:rsidRPr="008E562E">
        <w:t xml:space="preserve">Часть (1)(b) Национальной стратегии и плана действий по сохранению биоразнообразия (НСПДСБ) нацелена на приведение в соответствие с </w:t>
      </w:r>
      <w:proofErr w:type="spellStart"/>
      <w:r w:rsidRPr="008E562E">
        <w:t>Айтинской</w:t>
      </w:r>
      <w:proofErr w:type="spellEnd"/>
      <w:r w:rsidRPr="008E562E">
        <w:t xml:space="preserve"> задачей 9 по сохранению биоразнообразия, изложенной в Стратегическом плане сохранения биоразнообразия на 2011–2020 годы, и состоянием выполнения задач, как описано в 5-м Национальном отчете (использовано для «Национальных стратегий предотвращения инвазивных чужеродных видов и борьбы с ними»).</w:t>
      </w:r>
      <w:proofErr w:type="gramEnd"/>
      <w:r w:rsidRPr="008E562E">
        <w:t xml:space="preserve"> Источником информации был веб-сайт КБР, на котором размещены профили стран (https://www.cbd.int/countries/). 196 стран были включены. </w:t>
      </w:r>
      <w:r w:rsidRPr="008E562E">
        <w:lastRenderedPageBreak/>
        <w:t xml:space="preserve">Формат данных представляет собой электронную таблицу стран по сравнению с включением </w:t>
      </w:r>
      <w:r w:rsidR="0060720D">
        <w:t>ИЧВ</w:t>
      </w:r>
      <w:r w:rsidRPr="008E562E">
        <w:t xml:space="preserve"> в НСПДСБ и соответствием </w:t>
      </w:r>
      <w:proofErr w:type="spellStart"/>
      <w:r w:rsidRPr="008E562E">
        <w:t>Айтинской</w:t>
      </w:r>
      <w:proofErr w:type="spellEnd"/>
      <w:r w:rsidRPr="008E562E">
        <w:t xml:space="preserve"> целевой задаче 9.</w:t>
      </w:r>
    </w:p>
    <w:p w:rsidR="008E562E" w:rsidRDefault="008E562E" w:rsidP="008E562E">
      <w:r w:rsidRPr="008E562E">
        <w:t>Часть (2) Результаты онлайн-опроса, распространенные среди всех национальных координационных центров КБР, по политическим мерам, мандату, юридическим полномочиям и ресурсам для управления угрозой инвазивных чужеродных видов (используется для «Национального законодательства и политики, касающихся инвазивных чужеродных видов» и «Национальное выделение ресурсов для предотвращения инвазивных чужеродных видов или борьбы с ними»). Формат данных представляет собой электронную таблицу стран по каждой из девят</w:t>
      </w:r>
      <w:r w:rsidR="0060720D">
        <w:t>и тем, связанных с управлением ИЧВ</w:t>
      </w:r>
      <w:r w:rsidRPr="008E562E">
        <w:t>, как для мандата, так и для юридических полномочий; и с дополнительным набором данных, указывающим на финансирование, полученное от глобальных механизмов финансирования для проектов, связанных с инвазивными чужеродными видами.</w:t>
      </w:r>
    </w:p>
    <w:p w:rsidR="0075371E" w:rsidRDefault="0075371E" w:rsidP="0060720D">
      <w:r w:rsidRPr="00BD29EC">
        <w:t>Разбивка:</w:t>
      </w:r>
    </w:p>
    <w:p w:rsidR="0060720D" w:rsidRPr="00BD29EC" w:rsidRDefault="0060720D" w:rsidP="0060720D">
      <w:r w:rsidRPr="0060720D">
        <w:t>196 стран-участниц КБР. Во всех наборах данных, разработанных для измерения этого показателя, в качестве определителя использовалось название страны. При желании наборы данных могут быть агрегированы по регионам.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60720D" w:rsidRDefault="0060720D" w:rsidP="0060720D">
      <w:pPr>
        <w:rPr>
          <w:lang w:eastAsia="en-GB"/>
        </w:rPr>
      </w:pPr>
      <w:r w:rsidRPr="0060720D">
        <w:rPr>
          <w:lang w:eastAsia="en-GB"/>
        </w:rPr>
        <w:t>Все источники данных являются национальными, поэтому между глобальными и национальными цифрами нет различий.</w:t>
      </w:r>
    </w:p>
    <w:p w:rsidR="00040034" w:rsidRDefault="00040034" w:rsidP="0060720D">
      <w:pPr>
        <w:pBdr>
          <w:bottom w:val="single" w:sz="12" w:space="0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60720D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60720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60720D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60720D" w:rsidRDefault="0060720D" w:rsidP="0060720D">
      <w:pPr>
        <w:rPr>
          <w:lang w:eastAsia="en-GB"/>
        </w:rPr>
      </w:pPr>
      <w:r w:rsidRPr="0060720D">
        <w:rPr>
          <w:lang w:eastAsia="en-GB"/>
        </w:rPr>
        <w:t xml:space="preserve">Партнерство по </w:t>
      </w:r>
      <w:r>
        <w:rPr>
          <w:lang w:eastAsia="en-GB"/>
        </w:rPr>
        <w:t>показателям</w:t>
      </w:r>
      <w:r w:rsidRPr="0060720D">
        <w:rPr>
          <w:lang w:eastAsia="en-GB"/>
        </w:rPr>
        <w:t xml:space="preserve"> биоразнообразия. (2017). Законодательство о предотвращении инвазивных чужеродных видов и борьбе с ними (ИЧВ), включая «Тенденции в ответных мерах политики, законодательстве и планах управления по контролю и предотвращению распространения инвазивных чужеродных видов» и «Доля стран, принимающих соответствующее национальное законодательство и предоставляющих адекватные ресурсы для предотвращения или контроля инвазивных чужеродных видов». Получено с </w:t>
      </w:r>
      <w:hyperlink r:id="rId10" w:history="1">
        <w:r w:rsidRPr="00207E93">
          <w:rPr>
            <w:rStyle w:val="ac"/>
            <w:lang w:val="en-GB" w:eastAsia="en-GB"/>
          </w:rPr>
          <w:t>https</w:t>
        </w:r>
        <w:r w:rsidRPr="00207E93">
          <w:rPr>
            <w:rStyle w:val="ac"/>
            <w:lang w:eastAsia="en-GB"/>
          </w:rPr>
          <w:t>://</w:t>
        </w:r>
        <w:r w:rsidRPr="00207E93">
          <w:rPr>
            <w:rStyle w:val="ac"/>
            <w:lang w:val="en-GB" w:eastAsia="en-GB"/>
          </w:rPr>
          <w:t>www</w:t>
        </w:r>
        <w:r w:rsidRPr="00207E93">
          <w:rPr>
            <w:rStyle w:val="ac"/>
            <w:lang w:eastAsia="en-GB"/>
          </w:rPr>
          <w:t>.</w:t>
        </w:r>
        <w:proofErr w:type="spellStart"/>
        <w:r w:rsidRPr="00207E93">
          <w:rPr>
            <w:rStyle w:val="ac"/>
            <w:lang w:val="en-GB" w:eastAsia="en-GB"/>
          </w:rPr>
          <w:t>bipindicators</w:t>
        </w:r>
        <w:proofErr w:type="spellEnd"/>
        <w:r w:rsidRPr="00207E93">
          <w:rPr>
            <w:rStyle w:val="ac"/>
            <w:lang w:eastAsia="en-GB"/>
          </w:rPr>
          <w:t>.</w:t>
        </w:r>
        <w:r w:rsidRPr="00207E93">
          <w:rPr>
            <w:rStyle w:val="ac"/>
            <w:lang w:val="en-GB" w:eastAsia="en-GB"/>
          </w:rPr>
          <w:t>net</w:t>
        </w:r>
        <w:r w:rsidRPr="00207E93">
          <w:rPr>
            <w:rStyle w:val="ac"/>
            <w:lang w:eastAsia="en-GB"/>
          </w:rPr>
          <w:t>/</w:t>
        </w:r>
        <w:r w:rsidRPr="00207E93">
          <w:rPr>
            <w:rStyle w:val="ac"/>
            <w:lang w:val="en-GB" w:eastAsia="en-GB"/>
          </w:rPr>
          <w:t>indicators</w:t>
        </w:r>
        <w:r w:rsidRPr="00207E93">
          <w:rPr>
            <w:rStyle w:val="ac"/>
            <w:lang w:eastAsia="en-GB"/>
          </w:rPr>
          <w:t>/</w:t>
        </w:r>
        <w:r w:rsidRPr="00207E93">
          <w:rPr>
            <w:rStyle w:val="ac"/>
            <w:lang w:val="en-GB" w:eastAsia="en-GB"/>
          </w:rPr>
          <w:t>adoption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of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national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legislation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relevant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to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the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prevention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or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control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of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invasive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alien</w:t>
        </w:r>
        <w:r w:rsidRPr="00207E93">
          <w:rPr>
            <w:rStyle w:val="ac"/>
            <w:lang w:eastAsia="en-GB"/>
          </w:rPr>
          <w:t>-</w:t>
        </w:r>
        <w:r w:rsidRPr="00207E93">
          <w:rPr>
            <w:rStyle w:val="ac"/>
            <w:lang w:val="en-GB" w:eastAsia="en-GB"/>
          </w:rPr>
          <w:t>species</w:t>
        </w:r>
      </w:hyperlink>
      <w:r w:rsidRPr="0060720D">
        <w:rPr>
          <w:lang w:eastAsia="en-GB"/>
        </w:rPr>
        <w:t>.</w:t>
      </w:r>
    </w:p>
    <w:p w:rsidR="0060720D" w:rsidRPr="00DD34A6" w:rsidRDefault="0060720D" w:rsidP="0060720D">
      <w:proofErr w:type="spellStart"/>
      <w:r w:rsidRPr="00DD34A6">
        <w:t>McGeoch</w:t>
      </w:r>
      <w:proofErr w:type="spellEnd"/>
      <w:r w:rsidRPr="00DD34A6">
        <w:t xml:space="preserve">, M.A., </w:t>
      </w:r>
      <w:proofErr w:type="spellStart"/>
      <w:r w:rsidRPr="00DD34A6">
        <w:t>Butchart</w:t>
      </w:r>
      <w:proofErr w:type="spellEnd"/>
      <w:r w:rsidRPr="00DD34A6">
        <w:t xml:space="preserve">, S.H.M., Spear, D., Marais, E., Kleynhans, E.J., </w:t>
      </w:r>
      <w:proofErr w:type="spellStart"/>
      <w:r w:rsidRPr="00DD34A6">
        <w:t>Symes</w:t>
      </w:r>
      <w:proofErr w:type="spellEnd"/>
      <w:r w:rsidRPr="00DD34A6">
        <w:t xml:space="preserve">, A., Chanson, J. &amp; Hoffmann, M. (2010) </w:t>
      </w:r>
      <w:r w:rsidRPr="0060720D">
        <w:t>Глобальные индикаторы биологического вторжения: количество видов, воздействие на биоразнообразие и меры политики. Разнообразие и распространение</w:t>
      </w:r>
      <w:r w:rsidRPr="00DD34A6">
        <w:t>, 16, 95-108.</w:t>
      </w:r>
    </w:p>
    <w:p w:rsidR="0060720D" w:rsidRPr="00E02B1C" w:rsidRDefault="0060720D" w:rsidP="0060720D">
      <w:pPr>
        <w:rPr>
          <w:lang w:val="fr-FR"/>
        </w:rPr>
      </w:pPr>
      <w:proofErr w:type="spellStart"/>
      <w:r w:rsidRPr="00DD34A6">
        <w:t>Tittensor</w:t>
      </w:r>
      <w:proofErr w:type="spellEnd"/>
      <w:r w:rsidRPr="00DD34A6">
        <w:t xml:space="preserve">, D. P., M. Walpole, S. L. L. Hill, D. G. Boyce, G. L. Britten, N. D. Burgess, S. H. M. </w:t>
      </w:r>
      <w:proofErr w:type="spellStart"/>
      <w:r w:rsidRPr="00DD34A6">
        <w:t>Butchart</w:t>
      </w:r>
      <w:proofErr w:type="spellEnd"/>
      <w:r w:rsidRPr="00DD34A6">
        <w:t xml:space="preserve">, P. W. </w:t>
      </w:r>
      <w:proofErr w:type="spellStart"/>
      <w:r w:rsidRPr="00DD34A6">
        <w:t>Leadley</w:t>
      </w:r>
      <w:proofErr w:type="spellEnd"/>
      <w:r w:rsidRPr="00DD34A6">
        <w:t xml:space="preserve">, E. C. Regan, R. </w:t>
      </w:r>
      <w:proofErr w:type="spellStart"/>
      <w:r w:rsidRPr="00DD34A6">
        <w:t>Alkemade</w:t>
      </w:r>
      <w:proofErr w:type="spellEnd"/>
      <w:r w:rsidRPr="00DD34A6">
        <w:t xml:space="preserve">, R. </w:t>
      </w:r>
      <w:proofErr w:type="spellStart"/>
      <w:r w:rsidRPr="00DD34A6">
        <w:t>Baumung</w:t>
      </w:r>
      <w:proofErr w:type="spellEnd"/>
      <w:r w:rsidRPr="00DD34A6">
        <w:t xml:space="preserve">, C. </w:t>
      </w:r>
      <w:proofErr w:type="spellStart"/>
      <w:r w:rsidRPr="00DD34A6">
        <w:t>Bellard</w:t>
      </w:r>
      <w:proofErr w:type="spellEnd"/>
      <w:r w:rsidRPr="00DD34A6">
        <w:t xml:space="preserve">, L. </w:t>
      </w:r>
      <w:proofErr w:type="spellStart"/>
      <w:r w:rsidRPr="00DD34A6">
        <w:t>Bouwman</w:t>
      </w:r>
      <w:proofErr w:type="spellEnd"/>
      <w:r w:rsidRPr="00DD34A6">
        <w:t xml:space="preserve">, N. J. Bowles-Newark, A. M. </w:t>
      </w:r>
      <w:proofErr w:type="spellStart"/>
      <w:r w:rsidRPr="00DD34A6">
        <w:t>Chenery</w:t>
      </w:r>
      <w:proofErr w:type="spellEnd"/>
      <w:r w:rsidRPr="00DD34A6">
        <w:t xml:space="preserve">, W. W. L. Cheung, V. Christensen, H. D. Cooper, A. R. Crowther, M. J. R. Dixon, A. Galli, V. </w:t>
      </w:r>
      <w:proofErr w:type="spellStart"/>
      <w:r w:rsidRPr="00DD34A6">
        <w:t>Gaveau</w:t>
      </w:r>
      <w:proofErr w:type="spellEnd"/>
      <w:r w:rsidRPr="00DD34A6">
        <w:t xml:space="preserve">, R. D. Gregory, N. L. Gutierrez, T. L. Hirsch, R. </w:t>
      </w:r>
      <w:proofErr w:type="spellStart"/>
      <w:r w:rsidRPr="00DD34A6">
        <w:t>Hoeft</w:t>
      </w:r>
      <w:proofErr w:type="spellEnd"/>
      <w:r w:rsidRPr="00DD34A6">
        <w:t xml:space="preserve">, S. R. </w:t>
      </w:r>
      <w:proofErr w:type="spellStart"/>
      <w:r w:rsidRPr="00DD34A6">
        <w:t>Januchowski</w:t>
      </w:r>
      <w:proofErr w:type="spellEnd"/>
      <w:r w:rsidRPr="00DD34A6">
        <w:t xml:space="preserve">-Hartley, M. </w:t>
      </w:r>
      <w:proofErr w:type="spellStart"/>
      <w:r w:rsidRPr="00DD34A6">
        <w:t>Karmann</w:t>
      </w:r>
      <w:proofErr w:type="spellEnd"/>
      <w:r w:rsidRPr="00DD34A6">
        <w:t xml:space="preserve">, C. B. Krug, F. J. </w:t>
      </w:r>
      <w:proofErr w:type="spellStart"/>
      <w:r w:rsidRPr="00DD34A6">
        <w:t>Leverington</w:t>
      </w:r>
      <w:proofErr w:type="spellEnd"/>
      <w:r w:rsidRPr="00DD34A6">
        <w:t xml:space="preserve">, J. </w:t>
      </w:r>
      <w:proofErr w:type="spellStart"/>
      <w:r w:rsidRPr="00DD34A6">
        <w:t>Loh</w:t>
      </w:r>
      <w:proofErr w:type="spellEnd"/>
      <w:r w:rsidRPr="00DD34A6">
        <w:t xml:space="preserve">, R. K. </w:t>
      </w:r>
      <w:proofErr w:type="spellStart"/>
      <w:r w:rsidRPr="00DD34A6">
        <w:t>Lojenga</w:t>
      </w:r>
      <w:proofErr w:type="spellEnd"/>
      <w:r w:rsidRPr="00DD34A6">
        <w:t xml:space="preserve">, K. </w:t>
      </w:r>
      <w:proofErr w:type="spellStart"/>
      <w:r w:rsidRPr="00DD34A6">
        <w:t>Malsch</w:t>
      </w:r>
      <w:proofErr w:type="spellEnd"/>
      <w:r w:rsidRPr="00DD34A6">
        <w:t xml:space="preserve">, A. Marques, D. H. W. Morgan, P. J. </w:t>
      </w:r>
      <w:proofErr w:type="spellStart"/>
      <w:r w:rsidRPr="00DD34A6">
        <w:t>Mumby</w:t>
      </w:r>
      <w:proofErr w:type="spellEnd"/>
      <w:r w:rsidRPr="00DD34A6">
        <w:t xml:space="preserve">, T. Newbold, K. Noonan-Mooney, S. N. </w:t>
      </w:r>
      <w:proofErr w:type="spellStart"/>
      <w:r w:rsidRPr="00DD34A6">
        <w:t>Pagad</w:t>
      </w:r>
      <w:proofErr w:type="spellEnd"/>
      <w:r w:rsidRPr="00DD34A6">
        <w:t xml:space="preserve">, B. C. Parks, H. M. Pereira, T. Robertson, C. </w:t>
      </w:r>
      <w:proofErr w:type="spellStart"/>
      <w:r w:rsidRPr="00DD34A6">
        <w:t>Rondinini</w:t>
      </w:r>
      <w:proofErr w:type="spellEnd"/>
      <w:r w:rsidRPr="00DD34A6">
        <w:t xml:space="preserve">, L. </w:t>
      </w:r>
      <w:proofErr w:type="spellStart"/>
      <w:r w:rsidRPr="00DD34A6">
        <w:t>Santini</w:t>
      </w:r>
      <w:proofErr w:type="spellEnd"/>
      <w:r w:rsidRPr="00DD34A6">
        <w:t xml:space="preserve">, J. P. </w:t>
      </w:r>
      <w:r w:rsidRPr="00DD34A6">
        <w:lastRenderedPageBreak/>
        <w:t xml:space="preserve">W. </w:t>
      </w:r>
      <w:proofErr w:type="spellStart"/>
      <w:r w:rsidRPr="00DD34A6">
        <w:t>Scharlemann</w:t>
      </w:r>
      <w:proofErr w:type="spellEnd"/>
      <w:r w:rsidRPr="00DD34A6">
        <w:t xml:space="preserve">, S. Schindler, U. R. </w:t>
      </w:r>
      <w:proofErr w:type="spellStart"/>
      <w:r w:rsidRPr="00DD34A6">
        <w:t>Sumaila</w:t>
      </w:r>
      <w:proofErr w:type="spellEnd"/>
      <w:r w:rsidRPr="00DD34A6">
        <w:t xml:space="preserve">, L. S. L. </w:t>
      </w:r>
      <w:proofErr w:type="spellStart"/>
      <w:r w:rsidRPr="00DD34A6">
        <w:t>Teh</w:t>
      </w:r>
      <w:proofErr w:type="spellEnd"/>
      <w:r w:rsidRPr="00DD34A6">
        <w:t xml:space="preserve">, J. van </w:t>
      </w:r>
      <w:proofErr w:type="spellStart"/>
      <w:r w:rsidRPr="00DD34A6">
        <w:t>Kolck</w:t>
      </w:r>
      <w:proofErr w:type="spellEnd"/>
      <w:r w:rsidRPr="00DD34A6">
        <w:t xml:space="preserve">, P. Visconti, and Y. Ye. 2014. </w:t>
      </w:r>
      <w:r w:rsidRPr="0060720D">
        <w:t>Среднесрочный анализ прогресса в достижении международных целей в области биоразнообразия</w:t>
      </w:r>
      <w:r w:rsidRPr="00DD34A6">
        <w:t xml:space="preserve">. </w:t>
      </w:r>
      <w:r w:rsidRPr="00E02B1C">
        <w:rPr>
          <w:lang w:val="fr-FR"/>
        </w:rPr>
        <w:t>Science 346, 241-244.</w:t>
      </w:r>
    </w:p>
    <w:p w:rsidR="0060720D" w:rsidRPr="0060720D" w:rsidRDefault="0060720D" w:rsidP="0060720D">
      <w:pPr>
        <w:rPr>
          <w:szCs w:val="21"/>
          <w:lang w:eastAsia="en-GB"/>
        </w:rPr>
      </w:pPr>
      <w:r w:rsidRPr="00E02B1C">
        <w:rPr>
          <w:lang w:val="fr-FR"/>
        </w:rPr>
        <w:t xml:space="preserve">Turbelin, A. J., Malamud, B. D., &amp; Francis, R. A. (2017). </w:t>
      </w:r>
      <w:r w:rsidRPr="0060720D">
        <w:t>Картирование глобального состояния инвазивных чужеродных видов: модели вторжения и ответные меры политики. Глобальная экология и биогеография</w:t>
      </w:r>
      <w:bookmarkStart w:id="5" w:name="_GoBack"/>
      <w:bookmarkEnd w:id="5"/>
      <w:r w:rsidRPr="00DD34A6">
        <w:t>, 26(1), 78–92.</w:t>
      </w:r>
    </w:p>
    <w:sectPr w:rsidR="0060720D" w:rsidRPr="0060720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63" w:rsidRDefault="001C4663" w:rsidP="00F73DBC">
      <w:pPr>
        <w:spacing w:after="0" w:line="240" w:lineRule="auto"/>
      </w:pPr>
      <w:r>
        <w:separator/>
      </w:r>
    </w:p>
  </w:endnote>
  <w:end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63" w:rsidRDefault="001C4663" w:rsidP="00F73DBC">
      <w:pPr>
        <w:spacing w:after="0" w:line="240" w:lineRule="auto"/>
      </w:pPr>
      <w:r>
        <w:separator/>
      </w:r>
    </w:p>
  </w:footnote>
  <w:foot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footnote>
  <w:footnote w:id="1">
    <w:p w:rsidR="00FD6A6C" w:rsidRPr="00FD6A6C" w:rsidRDefault="00FD6A6C" w:rsidP="00FD6A6C">
      <w:pPr>
        <w:spacing w:after="0"/>
        <w:rPr>
          <w:sz w:val="20"/>
          <w:szCs w:val="20"/>
          <w:lang w:val="en-US"/>
        </w:rPr>
      </w:pPr>
      <w:r w:rsidRPr="00FD6A6C">
        <w:rPr>
          <w:rStyle w:val="a6"/>
          <w:sz w:val="20"/>
          <w:szCs w:val="20"/>
        </w:rPr>
        <w:footnoteRef/>
      </w:r>
      <w:r w:rsidRPr="00FD6A6C">
        <w:rPr>
          <w:sz w:val="20"/>
          <w:szCs w:val="20"/>
        </w:rPr>
        <w:t xml:space="preserve"> Собранная ФАО база данных «национальных законов и правил в области продовольствия, сельского хозяйства и возобновляемых природных ресурсов». </w:t>
      </w:r>
      <w:r w:rsidRPr="00FD6A6C">
        <w:rPr>
          <w:sz w:val="20"/>
          <w:szCs w:val="20"/>
          <w:lang w:val="en-US"/>
        </w:rPr>
        <w:t>&lt; http://www.fao.org/faolex/en/&gt;</w:t>
      </w:r>
    </w:p>
  </w:footnote>
  <w:footnote w:id="2">
    <w:p w:rsidR="00FD6A6C" w:rsidRDefault="00FD6A6C" w:rsidP="00FD6A6C">
      <w:pPr>
        <w:pStyle w:val="a4"/>
      </w:pPr>
      <w:r>
        <w:rPr>
          <w:rStyle w:val="a6"/>
        </w:rPr>
        <w:footnoteRef/>
      </w:r>
      <w:r>
        <w:t xml:space="preserve"> </w:t>
      </w:r>
      <w:r w:rsidRPr="00FD6A6C">
        <w:t xml:space="preserve">ECOLEX был разработан, чтобы быть наиболее полным глобальным источником информации о национальном и международном экологическом праве. Это сетевая информационная служба по экологическому праву, управляемая совместно ФАО, МСОП и ЮНЕП с 2001 года. Это платформа, объединяющая информацию по экологическому праву, собранную через FAOLEX (ФАО), ELIS (МСОП) и </w:t>
      </w:r>
      <w:proofErr w:type="spellStart"/>
      <w:r w:rsidRPr="00FD6A6C">
        <w:t>InforMEA</w:t>
      </w:r>
      <w:proofErr w:type="spellEnd"/>
      <w:r w:rsidRPr="00FD6A6C">
        <w:t xml:space="preserve"> (ЮНЕП). &lt; www.ecolex.org&gt;</w:t>
      </w:r>
    </w:p>
  </w:footnote>
  <w:footnote w:id="3">
    <w:p w:rsidR="00FD6A6C" w:rsidRDefault="00FD6A6C">
      <w:pPr>
        <w:pStyle w:val="a4"/>
      </w:pPr>
      <w:r>
        <w:rPr>
          <w:rStyle w:val="a6"/>
        </w:rPr>
        <w:footnoteRef/>
      </w:r>
      <w:r>
        <w:t xml:space="preserve"> </w:t>
      </w:r>
      <w:r w:rsidRPr="00426025">
        <w:t>https://www.cbd.int/countries/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0F1D96"/>
    <w:rsid w:val="000F3B83"/>
    <w:rsid w:val="00116248"/>
    <w:rsid w:val="001470A2"/>
    <w:rsid w:val="00147D8F"/>
    <w:rsid w:val="001612F6"/>
    <w:rsid w:val="00165896"/>
    <w:rsid w:val="00173979"/>
    <w:rsid w:val="001762D0"/>
    <w:rsid w:val="001A163A"/>
    <w:rsid w:val="001C4663"/>
    <w:rsid w:val="001D0672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968E8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D2413"/>
    <w:rsid w:val="004E087E"/>
    <w:rsid w:val="004E3594"/>
    <w:rsid w:val="00503B4A"/>
    <w:rsid w:val="00532D98"/>
    <w:rsid w:val="00587D0B"/>
    <w:rsid w:val="005E47BD"/>
    <w:rsid w:val="005F2C0B"/>
    <w:rsid w:val="0060720D"/>
    <w:rsid w:val="00655F55"/>
    <w:rsid w:val="006704C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41A39"/>
    <w:rsid w:val="0075371E"/>
    <w:rsid w:val="00753F18"/>
    <w:rsid w:val="00776CB2"/>
    <w:rsid w:val="00780F08"/>
    <w:rsid w:val="00781DE7"/>
    <w:rsid w:val="007831AB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8E562E"/>
    <w:rsid w:val="0092739E"/>
    <w:rsid w:val="009508D1"/>
    <w:rsid w:val="00957A62"/>
    <w:rsid w:val="00963238"/>
    <w:rsid w:val="009655B4"/>
    <w:rsid w:val="00965C67"/>
    <w:rsid w:val="009737AE"/>
    <w:rsid w:val="00980F79"/>
    <w:rsid w:val="00982FE8"/>
    <w:rsid w:val="00996335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D6A6C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17397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17397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ipindicators.net/indicators/adoption-of-national-legislation-relevant-to-the-prevention-or-control-of-invasive-alien-spec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al.latrobe.edu.au/articles/report/Factsheet/13065152?file=24997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C4A8-B61A-4D36-A185-DE9AA028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2022-08-03T10:49:00Z</dcterms:created>
  <dcterms:modified xsi:type="dcterms:W3CDTF">2022-08-03T11:22:00Z</dcterms:modified>
</cp:coreProperties>
</file>