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3B3294">
        <w:rPr>
          <w:rFonts w:eastAsia="Arial Unicode MS" w:cs="Times New Roman"/>
          <w:szCs w:val="24"/>
          <w:bdr w:val="nil"/>
          <w:lang w:eastAsia="ru-RU"/>
        </w:rPr>
        <w:t>7</w:t>
      </w:r>
      <w:r w:rsidR="00780F08" w:rsidRPr="00BD29EC">
        <w:rPr>
          <w:rFonts w:eastAsia="Arial Unicode MS" w:cs="Times New Roman"/>
          <w:szCs w:val="24"/>
          <w:bdr w:val="nil"/>
          <w:lang w:eastAsia="ru-RU"/>
        </w:rPr>
        <w:t xml:space="preserve">: </w:t>
      </w:r>
      <w:r w:rsidR="003B3294" w:rsidRPr="003B3294">
        <w:t>Укрепление средств осуществления и активизация работы в рамках Глобального партнерства в интересах устойчивого развития</w:t>
      </w:r>
      <w:r w:rsidR="00107A08">
        <w:t>.</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2416B3">
      <w:pPr>
        <w:rPr>
          <w:rFonts w:cs="Times New Roman"/>
          <w:szCs w:val="24"/>
        </w:rPr>
      </w:pPr>
      <w:r>
        <w:rPr>
          <w:rFonts w:cs="Times New Roman"/>
          <w:szCs w:val="24"/>
        </w:rPr>
        <w:t>1</w:t>
      </w:r>
      <w:r w:rsidR="003B3294">
        <w:rPr>
          <w:rFonts w:cs="Times New Roman"/>
          <w:szCs w:val="24"/>
        </w:rPr>
        <w:t>7</w:t>
      </w:r>
      <w:r w:rsidR="00780F08" w:rsidRPr="00BD29EC">
        <w:rPr>
          <w:rFonts w:cs="Times New Roman"/>
          <w:szCs w:val="24"/>
        </w:rPr>
        <w:t>.</w:t>
      </w:r>
      <w:r w:rsidR="004A003E">
        <w:rPr>
          <w:rFonts w:cs="Times New Roman"/>
          <w:szCs w:val="24"/>
        </w:rPr>
        <w:t>1</w:t>
      </w:r>
      <w:r w:rsidR="007D5802">
        <w:rPr>
          <w:rFonts w:cs="Times New Roman"/>
          <w:szCs w:val="24"/>
        </w:rPr>
        <w:t>9</w:t>
      </w:r>
      <w:r w:rsidR="00780F08" w:rsidRPr="00BD29EC">
        <w:rPr>
          <w:rFonts w:cs="Times New Roman"/>
          <w:szCs w:val="24"/>
        </w:rPr>
        <w:t xml:space="preserve">. </w:t>
      </w:r>
      <w:r w:rsidR="002416B3">
        <w:t>К 2030 году, опираясь на нынешние инициативы, разработать, в дополнение к показателю валового внутреннего продукта, и другие показатели измерения прогресса в деле обеспечения устойчивого развития и содействовать наращиванию потенциала развивающихся стран в области статистики</w:t>
      </w:r>
      <w:r w:rsidR="002416B3">
        <w:t>.</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2416B3">
      <w:r w:rsidRPr="00BD29EC">
        <w:t xml:space="preserve">Показатель </w:t>
      </w:r>
      <w:r w:rsidR="00741A39">
        <w:t>1</w:t>
      </w:r>
      <w:r w:rsidR="003B3294">
        <w:t>7</w:t>
      </w:r>
      <w:r w:rsidR="00780F08" w:rsidRPr="00BD29EC">
        <w:t>.</w:t>
      </w:r>
      <w:r w:rsidR="004A003E">
        <w:t>1</w:t>
      </w:r>
      <w:r w:rsidR="007D5802">
        <w:t>9</w:t>
      </w:r>
      <w:r w:rsidR="002064C4">
        <w:t>.</w:t>
      </w:r>
      <w:r w:rsidR="007D5802">
        <w:t>1</w:t>
      </w:r>
      <w:r w:rsidR="00C95AB2">
        <w:t>.</w:t>
      </w:r>
      <w:r w:rsidR="00780F08" w:rsidRPr="00BD29EC">
        <w:t xml:space="preserve"> </w:t>
      </w:r>
      <w:r w:rsidR="002416B3">
        <w:t>Стоимость всех ресурсов, выделенных на наращивание потенциала развивающихся стран в области статистики (в долларах США)</w:t>
      </w:r>
      <w:r w:rsidR="002416B3">
        <w:t>.</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002416B3">
        <w:rPr>
          <w:rFonts w:eastAsia="Arial Unicode MS" w:cs="Times New Roman"/>
          <w:b/>
          <w:szCs w:val="24"/>
          <w:bdr w:val="nil"/>
          <w:lang w:eastAsia="ru-RU"/>
        </w:rPr>
        <w:t>. Обновление данных</w:t>
      </w:r>
    </w:p>
    <w:p w:rsidR="002416B3" w:rsidRPr="002416B3" w:rsidRDefault="002416B3" w:rsidP="002416B3">
      <w:pPr>
        <w:rPr>
          <w:rFonts w:eastAsia="Times New Roman" w:cs="Times New Roman"/>
          <w:szCs w:val="21"/>
          <w:lang w:eastAsia="en-GB"/>
        </w:rPr>
      </w:pPr>
      <w:r>
        <w:t>2017-07-11</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p>
    <w:p w:rsidR="002416B3" w:rsidRDefault="002416B3" w:rsidP="002416B3">
      <w:pPr>
        <w:rPr>
          <w:rFonts w:eastAsia="Arial Unicode MS" w:cs="Times New Roman"/>
          <w:b/>
          <w:szCs w:val="24"/>
          <w:bdr w:val="nil"/>
          <w:lang w:eastAsia="ru-RU"/>
        </w:rPr>
      </w:pPr>
      <w:r>
        <w:t>17.18.3:</w:t>
      </w:r>
      <w:r w:rsidRPr="002416B3">
        <w:rPr>
          <w:shd w:val="clear" w:color="auto" w:fill="FFFFFF"/>
        </w:rPr>
        <w:t xml:space="preserve"> </w:t>
      </w:r>
      <w:r>
        <w:rPr>
          <w:shd w:val="clear" w:color="auto" w:fill="FFFFFF"/>
        </w:rPr>
        <w:t>Число стран, имеющих полностью финансированный и осуществляемый национальный статистический план, в разбивке по источникам финансирования</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2416B3" w:rsidRDefault="002416B3" w:rsidP="002416B3">
      <w:pPr>
        <w:rPr>
          <w:bdr w:val="nil"/>
          <w:lang w:eastAsia="ru-RU"/>
        </w:rPr>
      </w:pPr>
      <w:r w:rsidRPr="002416B3">
        <w:rPr>
          <w:bdr w:val="nil"/>
          <w:lang w:eastAsia="ru-RU"/>
        </w:rPr>
        <w:t>Партнерство в области статистики в целях развития в 21 веке (PARIS21)</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2416B3" w:rsidRPr="002416B3" w:rsidRDefault="002416B3" w:rsidP="002416B3">
      <w:pPr>
        <w:rPr>
          <w:bdr w:val="nil"/>
          <w:lang w:eastAsia="ru-RU"/>
        </w:rPr>
      </w:pPr>
      <w:r w:rsidRPr="002416B3">
        <w:rPr>
          <w:bdr w:val="nil"/>
          <w:lang w:eastAsia="ru-RU"/>
        </w:rPr>
        <w:t>Партнерство в области статистики в целях развития в 21 веке (PARIS21)</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2416B3">
      <w:r>
        <w:t>Определение:</w:t>
      </w:r>
    </w:p>
    <w:p w:rsidR="002416B3" w:rsidRDefault="002416B3" w:rsidP="002416B3">
      <w:r w:rsidRPr="002416B3">
        <w:t xml:space="preserve">Показатель </w:t>
      </w:r>
      <w:r>
        <w:t>Стоимость всех ресурсов, выделенных на наращивание потенциала развивающихся стран в области статистики (в долларах США)</w:t>
      </w:r>
      <w:r w:rsidRPr="002416B3">
        <w:t xml:space="preserve">, основан на Отчете партнеров о поддержке статистики (PRESS), который разработан и </w:t>
      </w:r>
      <w:proofErr w:type="spellStart"/>
      <w:r w:rsidRPr="002416B3">
        <w:t>администрируется</w:t>
      </w:r>
      <w:proofErr w:type="spellEnd"/>
      <w:r w:rsidRPr="002416B3">
        <w:t xml:space="preserve"> PARIS21, чтобы дать представление о долларовой стоимости текущей статистической поддержки в развивающиеся страны.</w:t>
      </w:r>
      <w:r>
        <w:t xml:space="preserve"> </w:t>
      </w:r>
    </w:p>
    <w:p w:rsidR="00DA19D7" w:rsidRP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407E4E" w:rsidP="0075371E">
      <w:pPr>
        <w:pBdr>
          <w:top w:val="nil"/>
          <w:left w:val="nil"/>
          <w:bottom w:val="nil"/>
          <w:right w:val="nil"/>
          <w:between w:val="nil"/>
          <w:bar w:val="nil"/>
        </w:pBdr>
        <w:spacing w:after="0"/>
        <w:rPr>
          <w:rFonts w:cs="Times New Roman"/>
          <w:szCs w:val="24"/>
        </w:rPr>
      </w:pP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2416B3" w:rsidRPr="002416B3" w:rsidRDefault="002416B3" w:rsidP="002416B3">
      <w:r w:rsidRPr="002416B3">
        <w:t>Чтобы дать полную картину международной поддержки статистики, показатель опирается на три различных источника данных. Первым источником данных является Система отчетности кредиторов ОЭСР (CRS), которая регистрирует данные от членов Комитета содействия развитию (КСР) ОЭСР и некоторых доноров, не входящих в КСР, и обеспечивает всесторонний учет ОПР. Доноры сообщают конкретные коды для сектора, на который направлена ​​их деятельность по оказанию помощи. Наращивание статистического потенциала (SCB) обозначено кодом 16062.</w:t>
      </w:r>
    </w:p>
    <w:p w:rsidR="002416B3" w:rsidRPr="002416B3" w:rsidRDefault="002416B3" w:rsidP="002416B3">
      <w:r w:rsidRPr="002416B3">
        <w:t>Во-вторых, когда SCB является компонентом более крупного проекта, он не идентифицируется этим кодом, что приводит к тому, что цифры CRS занижают фактические уровни поддержки международной помощи. PARIS21 стремится уменьшить эту склонность к занижению путем поиска в описаниях проектов в CRS терминов, указывающих на компонент SCB</w:t>
      </w:r>
      <w:r w:rsidR="00964F1E">
        <w:t xml:space="preserve">. Методология представлена ​​по ссылке </w:t>
      </w:r>
      <w:r w:rsidRPr="002416B3">
        <w:t>http://www.paris21.org/PRESS2015.</w:t>
      </w:r>
    </w:p>
    <w:p w:rsidR="002416B3" w:rsidRPr="002416B3" w:rsidRDefault="002416B3" w:rsidP="002416B3">
      <w:r w:rsidRPr="002416B3">
        <w:t xml:space="preserve">В-третьих, и наконец, Секретариат PARIS21 дополняет эти данные онлайн-анкетой, заполненной глобальной сетью репортеров. Анкета охватывает подмножество переменных, собранных в CRS, и некоторые дополнительные переменные, относящиеся к наращиванию статистического потенциала. Отчетность по вопроснику является добровольной и дает участникам возможность поделиться информацией о своей статистической деятельности. Ответственными за этот вопросник являются страны, которые не отчитываются перед CRS, а также многосторонние учреждения с большим портфелем статистических проектов, </w:t>
      </w:r>
      <w:r w:rsidR="00964F1E" w:rsidRPr="00964F1E">
        <w:t>которые обратились с просьбой отчитываться непосредственно в Секретариат PARIS21.</w:t>
      </w:r>
    </w:p>
    <w:p w:rsidR="002416B3" w:rsidRPr="002416B3" w:rsidRDefault="002416B3" w:rsidP="002416B3">
      <w:r w:rsidRPr="002416B3">
        <w:t>Список:</w:t>
      </w:r>
    </w:p>
    <w:p w:rsidR="002416B3" w:rsidRPr="00BD29EC" w:rsidRDefault="002416B3" w:rsidP="002416B3">
      <w:r w:rsidRPr="002416B3">
        <w:t>Система отчетности кредиторов ОЭСР (CRS), PARIS21</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964F1E" w:rsidRPr="00BD29EC" w:rsidRDefault="00964F1E" w:rsidP="00964F1E">
      <w:r>
        <w:t>С сен-2016</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964F1E" w:rsidRPr="00A71EC6" w:rsidRDefault="00964F1E" w:rsidP="00964F1E">
      <w:r w:rsidRPr="00964F1E">
        <w:t>PARIS21/</w:t>
      </w:r>
      <w:r>
        <w:t>ОЭСР</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964F1E" w:rsidRPr="00BD29EC" w:rsidRDefault="00964F1E" w:rsidP="00964F1E">
      <w:pPr>
        <w:rPr>
          <w:szCs w:val="24"/>
        </w:rPr>
      </w:pPr>
      <w:r w:rsidRPr="00964F1E">
        <w:t>PARIS21</w:t>
      </w:r>
    </w:p>
    <w:p w:rsidR="000A229E" w:rsidRPr="00BD29EC" w:rsidRDefault="000A229E" w:rsidP="0075371E">
      <w:pPr>
        <w:pStyle w:val="MHeader2"/>
        <w:rPr>
          <w:color w:val="auto"/>
          <w:sz w:val="24"/>
          <w:szCs w:val="24"/>
          <w:lang w:val="ru-RU"/>
        </w:rPr>
      </w:pPr>
      <w:r w:rsidRPr="00BD29EC">
        <w:rPr>
          <w:color w:val="auto"/>
          <w:sz w:val="24"/>
          <w:szCs w:val="24"/>
          <w:lang w:val="ru-RU"/>
        </w:rPr>
        <w:lastRenderedPageBreak/>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rPr>
          <w:rFonts w:cs="Times New Roman"/>
          <w:b/>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Pr="00BD29EC" w:rsidRDefault="00964F1E" w:rsidP="00964F1E">
      <w:r w:rsidRPr="00964F1E">
        <w:t>Этот показатель призван дать представление о стоимости текущей статистической поддержки в развивающихся странах в долларах США.</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964F1E" w:rsidRPr="00964F1E" w:rsidRDefault="00964F1E" w:rsidP="00964F1E">
      <w:r w:rsidRPr="00964F1E">
        <w:t xml:space="preserve">Измерение поддержки статистики сопряжено со многими методологическими трудностями. Таким образом, финансовые цифры, представленные в PRESS, необходимо интерпретировать с учетом этих проблем. Например, номера PRESS основаны на Системе отчетности кредиторов (CRS) для обязательств по официальной помощи в целях развития, дополненной добровольной отчетностью дополнительных доноров. Тем не менее, полный охват всех программ не может быть гарантирован. Кроме того, заявленные обязательства можно рассматривать как верхнюю границу фактической поддержки статистики по трем причинам. Во-первых, может иметь место двойной учет проектов, когда донор и исполнитель проекта отчитываются по одному и тому же проекту или когда все </w:t>
      </w:r>
      <w:proofErr w:type="spellStart"/>
      <w:r w:rsidRPr="00964F1E">
        <w:t>софинансирующие</w:t>
      </w:r>
      <w:proofErr w:type="spellEnd"/>
      <w:r w:rsidRPr="00964F1E">
        <w:t xml:space="preserve"> стороны проекта сообщают об итогах проекта. Во-вторых, сообщаемые цифры могут быть завышены при работе с итоговыми показателями многоотраслевых проектов, которые включают лишь небольшой статистический компонент. Наконец, PRESS сообщает об обязательствах доноров, которые не всегда приводят к фактическим выплатам странам-получателям.</w:t>
      </w:r>
      <w:r>
        <w:t xml:space="preserve"> </w:t>
      </w:r>
    </w:p>
    <w:p w:rsidR="00964F1E" w:rsidRPr="00BD29EC" w:rsidRDefault="00964F1E" w:rsidP="00964F1E">
      <w:r>
        <w:t>Показатель</w:t>
      </w:r>
      <w:r w:rsidRPr="00964F1E">
        <w:t xml:space="preserve"> отражает только международную поддержку статистики и не учитывает внутренние ресурсы.</w:t>
      </w:r>
    </w:p>
    <w:p w:rsidR="002E15F9"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p>
    <w:p w:rsidR="00964F1E" w:rsidRPr="00BD29EC" w:rsidRDefault="00964F1E" w:rsidP="00964F1E">
      <w:r w:rsidRPr="00964F1E">
        <w:t>Финансовые суммы были конвертированы в доллары США с использованием среднего обменного курса за период года принятия обязательств по проекту/программе. В тех случаях, когда сообщались суммы выплат, использовался обменный курс, равный среднему за период года выплаты.</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2E15F9" w:rsidRPr="00BD29EC" w:rsidRDefault="002E15F9" w:rsidP="00964F1E">
      <w:pPr>
        <w:pStyle w:val="MText"/>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2E15F9" w:rsidP="0075371E">
      <w:pPr>
        <w:pStyle w:val="MText"/>
        <w:rPr>
          <w:color w:val="auto"/>
          <w:sz w:val="24"/>
          <w:szCs w:val="24"/>
          <w:lang w:val="ru-RU"/>
        </w:rPr>
      </w:pP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694160" w:rsidP="0075371E">
      <w:pPr>
        <w:pStyle w:val="MHeader2"/>
        <w:rPr>
          <w:color w:val="auto"/>
          <w:sz w:val="24"/>
          <w:szCs w:val="24"/>
          <w:lang w:val="ru-RU"/>
        </w:rPr>
      </w:pP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964F1E" w:rsidP="00964F1E">
      <w:r w:rsidRPr="00964F1E">
        <w:lastRenderedPageBreak/>
        <w:t>Совокупные показатели на региональном уровне основаны на сумме национальных, субрегиональных и региональных обязательств.</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7867C7" w:rsidRPr="00BD29EC" w:rsidRDefault="007867C7" w:rsidP="007867C7">
      <w:proofErr w:type="gramStart"/>
      <w:r w:rsidRPr="007867C7">
        <w:t>Отчет партнеров о поддержке статистики (PRESS) за 2016 год, опубликованный PARIS21 (www.paris21.org/</w:t>
      </w:r>
      <w:proofErr w:type="spellStart"/>
      <w:r w:rsidRPr="007867C7">
        <w:t>press</w:t>
      </w:r>
      <w:proofErr w:type="spellEnd"/>
      <w:r w:rsidRPr="007867C7">
        <w:t xml:space="preserve">) на основе данных Системы отчетности кредиторов (https://stats.oecd.org/Index.aspx?DataSetCode=CRS1) и онлайн-опрос PARIS21 </w:t>
      </w:r>
      <w:r>
        <w:rPr>
          <w:lang w:val="en-US"/>
        </w:rPr>
        <w:t>PRESS</w:t>
      </w:r>
      <w:r w:rsidRPr="007867C7">
        <w:t>.</w:t>
      </w:r>
      <w:proofErr w:type="gramEnd"/>
    </w:p>
    <w:p w:rsidR="002E15F9" w:rsidRPr="00BD29EC" w:rsidRDefault="002E15F9" w:rsidP="0075371E">
      <w:pPr>
        <w:pStyle w:val="MHeader2"/>
        <w:rPr>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7867C7" w:rsidRPr="00040034" w:rsidRDefault="007867C7" w:rsidP="007867C7">
      <w:r>
        <w:t>Приглашение</w:t>
      </w:r>
      <w:r w:rsidRPr="007867C7">
        <w:t xml:space="preserve"> доноров проверить и подтвердить информацию, доступную в Интернете (www.paris21.org/</w:t>
      </w:r>
      <w:proofErr w:type="spellStart"/>
      <w:r w:rsidRPr="007867C7">
        <w:t>press</w:t>
      </w:r>
      <w:proofErr w:type="spellEnd"/>
      <w:r w:rsidRPr="007867C7">
        <w:t>).</w:t>
      </w:r>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867C7">
      <w:r w:rsidRPr="00BD29EC">
        <w:t>Доступность данных:</w:t>
      </w:r>
    </w:p>
    <w:p w:rsidR="007867C7" w:rsidRPr="00BD29EC" w:rsidRDefault="007867C7" w:rsidP="007867C7">
      <w:r w:rsidRPr="007867C7">
        <w:t>Текущие временные ряды за 2006–2013 годы охватывают 132 развивающиеся страны.</w:t>
      </w:r>
    </w:p>
    <w:p w:rsidR="0075371E" w:rsidRDefault="0075371E" w:rsidP="007867C7">
      <w:r w:rsidRPr="00BD29EC">
        <w:t>Временные ряды:</w:t>
      </w:r>
    </w:p>
    <w:p w:rsidR="007867C7" w:rsidRPr="00BD29EC" w:rsidRDefault="007867C7" w:rsidP="007867C7">
      <w:r>
        <w:t>С 2006  по 2013.</w:t>
      </w:r>
    </w:p>
    <w:p w:rsidR="0075371E" w:rsidRDefault="0075371E" w:rsidP="007867C7">
      <w:r w:rsidRPr="00BD29EC">
        <w:t>Разбивка:</w:t>
      </w:r>
    </w:p>
    <w:p w:rsidR="007867C7" w:rsidRPr="00BD29EC" w:rsidRDefault="007867C7" w:rsidP="007867C7">
      <w:r w:rsidRPr="007867C7">
        <w:t xml:space="preserve">Сумма обязательств может быть дезагрегирована по географическим регионам, секторам </w:t>
      </w:r>
      <w:proofErr w:type="gramStart"/>
      <w:r w:rsidRPr="007867C7">
        <w:t>ОПР</w:t>
      </w:r>
      <w:proofErr w:type="gramEnd"/>
      <w:r w:rsidRPr="007867C7">
        <w:t>, областям статистики и методам финансирования (грант или кредит).</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040034">
        <w:rPr>
          <w:rFonts w:eastAsia="Times New Roman" w:cs="Times New Roman"/>
          <w:b/>
          <w:szCs w:val="24"/>
          <w:lang w:val="en-US" w:eastAsia="en-GB"/>
        </w:rPr>
        <w:t xml:space="preserve">7. </w:t>
      </w:r>
      <w:r>
        <w:rPr>
          <w:rFonts w:eastAsia="Times New Roman" w:cs="Times New Roman"/>
          <w:b/>
          <w:szCs w:val="24"/>
          <w:lang w:eastAsia="en-GB"/>
        </w:rPr>
        <w:t>Ссылки</w:t>
      </w:r>
      <w:r w:rsidRPr="00040034">
        <w:rPr>
          <w:rFonts w:eastAsia="Times New Roman" w:cs="Times New Roman"/>
          <w:b/>
          <w:szCs w:val="24"/>
          <w:lang w:val="en-US" w:eastAsia="en-GB"/>
        </w:rPr>
        <w:t xml:space="preserve"> </w:t>
      </w:r>
      <w:r>
        <w:rPr>
          <w:rFonts w:eastAsia="Times New Roman" w:cs="Times New Roman"/>
          <w:b/>
          <w:szCs w:val="24"/>
          <w:lang w:eastAsia="en-GB"/>
        </w:rPr>
        <w:t>и</w:t>
      </w:r>
      <w:r w:rsidRPr="00040034">
        <w:rPr>
          <w:rFonts w:eastAsia="Times New Roman" w:cs="Times New Roman"/>
          <w:b/>
          <w:szCs w:val="24"/>
          <w:lang w:val="en-US" w:eastAsia="en-GB"/>
        </w:rPr>
        <w:t xml:space="preserve"> </w:t>
      </w:r>
      <w:r>
        <w:rPr>
          <w:rFonts w:eastAsia="Times New Roman" w:cs="Times New Roman"/>
          <w:b/>
          <w:szCs w:val="24"/>
          <w:lang w:eastAsia="en-GB"/>
        </w:rPr>
        <w:t>документы</w:t>
      </w:r>
    </w:p>
    <w:p w:rsidR="007867C7" w:rsidRPr="007867C7" w:rsidRDefault="007867C7" w:rsidP="007867C7">
      <w:pPr>
        <w:rPr>
          <w:lang w:val="en-US" w:eastAsia="en-GB"/>
        </w:rPr>
      </w:pPr>
      <w:r w:rsidRPr="007867C7">
        <w:rPr>
          <w:lang w:val="en-US" w:eastAsia="en-GB"/>
        </w:rPr>
        <w:t>URL:</w:t>
      </w:r>
    </w:p>
    <w:p w:rsidR="007867C7" w:rsidRPr="007867C7" w:rsidRDefault="007867C7" w:rsidP="007867C7">
      <w:pPr>
        <w:rPr>
          <w:lang w:eastAsia="en-GB"/>
        </w:rPr>
      </w:pPr>
      <w:hyperlink r:id="rId9" w:history="1">
        <w:r w:rsidRPr="007867C7">
          <w:rPr>
            <w:rStyle w:val="ac"/>
            <w:rFonts w:eastAsia="Times New Roman" w:cs="Times New Roman"/>
            <w:sz w:val="21"/>
            <w:szCs w:val="21"/>
            <w:lang w:val="en-US" w:eastAsia="en-GB"/>
          </w:rPr>
          <w:t>www</w:t>
        </w:r>
        <w:r w:rsidRPr="007867C7">
          <w:rPr>
            <w:rStyle w:val="ac"/>
            <w:rFonts w:eastAsia="Times New Roman" w:cs="Times New Roman"/>
            <w:sz w:val="21"/>
            <w:szCs w:val="21"/>
            <w:lang w:eastAsia="en-GB"/>
          </w:rPr>
          <w:t>.</w:t>
        </w:r>
        <w:proofErr w:type="spellStart"/>
        <w:r w:rsidRPr="007867C7">
          <w:rPr>
            <w:rStyle w:val="ac"/>
            <w:rFonts w:eastAsia="Times New Roman" w:cs="Times New Roman"/>
            <w:sz w:val="21"/>
            <w:szCs w:val="21"/>
            <w:lang w:val="en-US" w:eastAsia="en-GB"/>
          </w:rPr>
          <w:t>paris</w:t>
        </w:r>
        <w:proofErr w:type="spellEnd"/>
        <w:r w:rsidRPr="007867C7">
          <w:rPr>
            <w:rStyle w:val="ac"/>
            <w:rFonts w:eastAsia="Times New Roman" w:cs="Times New Roman"/>
            <w:sz w:val="21"/>
            <w:szCs w:val="21"/>
            <w:lang w:eastAsia="en-GB"/>
          </w:rPr>
          <w:t>21.</w:t>
        </w:r>
        <w:r w:rsidRPr="007867C7">
          <w:rPr>
            <w:rStyle w:val="ac"/>
            <w:rFonts w:eastAsia="Times New Roman" w:cs="Times New Roman"/>
            <w:sz w:val="21"/>
            <w:szCs w:val="21"/>
            <w:lang w:val="en-US" w:eastAsia="en-GB"/>
          </w:rPr>
          <w:t>org</w:t>
        </w:r>
      </w:hyperlink>
      <w:r w:rsidRPr="007867C7">
        <w:rPr>
          <w:lang w:eastAsia="en-GB"/>
        </w:rPr>
        <w:t xml:space="preserve"> </w:t>
      </w:r>
    </w:p>
    <w:p w:rsidR="007867C7" w:rsidRPr="007867C7" w:rsidRDefault="007867C7" w:rsidP="007867C7">
      <w:pPr>
        <w:rPr>
          <w:lang w:eastAsia="en-GB"/>
        </w:rPr>
      </w:pPr>
      <w:r>
        <w:rPr>
          <w:lang w:eastAsia="en-GB"/>
        </w:rPr>
        <w:t>Использованные документы</w:t>
      </w:r>
      <w:r w:rsidRPr="007867C7">
        <w:rPr>
          <w:lang w:eastAsia="en-GB"/>
        </w:rPr>
        <w:t>:</w:t>
      </w:r>
    </w:p>
    <w:p w:rsidR="007867C7" w:rsidRPr="007867C7" w:rsidRDefault="007867C7" w:rsidP="007867C7">
      <w:pPr>
        <w:rPr>
          <w:lang w:eastAsia="en-GB"/>
        </w:rPr>
      </w:pPr>
      <w:r w:rsidRPr="007867C7">
        <w:rPr>
          <w:lang w:eastAsia="en-GB"/>
        </w:rPr>
        <w:t>ОЭСР (2007 г.). Указания по отчетности для Системы отчетности кредиторов</w:t>
      </w:r>
      <w:proofErr w:type="gramStart"/>
      <w:r w:rsidRPr="007867C7">
        <w:rPr>
          <w:lang w:eastAsia="en-GB"/>
        </w:rPr>
        <w:t>.</w:t>
      </w:r>
      <w:proofErr w:type="gramEnd"/>
      <w:r w:rsidRPr="007867C7">
        <w:rPr>
          <w:lang w:eastAsia="en-GB"/>
        </w:rPr>
        <w:t xml:space="preserve"> </w:t>
      </w:r>
      <w:r>
        <w:rPr>
          <w:lang w:eastAsia="en-GB"/>
        </w:rPr>
        <w:t>Доступно по ссылке</w:t>
      </w:r>
      <w:r w:rsidRPr="007867C7">
        <w:rPr>
          <w:lang w:eastAsia="en-GB"/>
        </w:rPr>
        <w:t xml:space="preserve"> </w:t>
      </w:r>
      <w:hyperlink r:id="rId10" w:history="1">
        <w:r w:rsidRPr="007867C7">
          <w:rPr>
            <w:rStyle w:val="ac"/>
            <w:rFonts w:eastAsia="Times New Roman" w:cs="Times New Roman"/>
            <w:sz w:val="21"/>
            <w:szCs w:val="21"/>
            <w:lang w:val="en-US" w:eastAsia="en-GB"/>
          </w:rPr>
          <w:t>http</w:t>
        </w:r>
        <w:r w:rsidRPr="007867C7">
          <w:rPr>
            <w:rStyle w:val="ac"/>
            <w:rFonts w:eastAsia="Times New Roman" w:cs="Times New Roman"/>
            <w:sz w:val="21"/>
            <w:szCs w:val="21"/>
            <w:lang w:eastAsia="en-GB"/>
          </w:rPr>
          <w:t>://</w:t>
        </w:r>
        <w:r w:rsidRPr="007867C7">
          <w:rPr>
            <w:rStyle w:val="ac"/>
            <w:rFonts w:eastAsia="Times New Roman" w:cs="Times New Roman"/>
            <w:sz w:val="21"/>
            <w:szCs w:val="21"/>
            <w:lang w:val="en-US" w:eastAsia="en-GB"/>
          </w:rPr>
          <w:t>www</w:t>
        </w:r>
        <w:r w:rsidRPr="007867C7">
          <w:rPr>
            <w:rStyle w:val="ac"/>
            <w:rFonts w:eastAsia="Times New Roman" w:cs="Times New Roman"/>
            <w:sz w:val="21"/>
            <w:szCs w:val="21"/>
            <w:lang w:eastAsia="en-GB"/>
          </w:rPr>
          <w:t>.</w:t>
        </w:r>
        <w:proofErr w:type="spellStart"/>
        <w:r w:rsidRPr="007867C7">
          <w:rPr>
            <w:rStyle w:val="ac"/>
            <w:rFonts w:eastAsia="Times New Roman" w:cs="Times New Roman"/>
            <w:sz w:val="21"/>
            <w:szCs w:val="21"/>
            <w:lang w:val="en-US" w:eastAsia="en-GB"/>
          </w:rPr>
          <w:t>oecd</w:t>
        </w:r>
        <w:proofErr w:type="spellEnd"/>
        <w:r w:rsidRPr="007867C7">
          <w:rPr>
            <w:rStyle w:val="ac"/>
            <w:rFonts w:eastAsia="Times New Roman" w:cs="Times New Roman"/>
            <w:sz w:val="21"/>
            <w:szCs w:val="21"/>
            <w:lang w:eastAsia="en-GB"/>
          </w:rPr>
          <w:t>.</w:t>
        </w:r>
        <w:r w:rsidRPr="007867C7">
          <w:rPr>
            <w:rStyle w:val="ac"/>
            <w:rFonts w:eastAsia="Times New Roman" w:cs="Times New Roman"/>
            <w:sz w:val="21"/>
            <w:szCs w:val="21"/>
            <w:lang w:val="en-US" w:eastAsia="en-GB"/>
          </w:rPr>
          <w:t>org</w:t>
        </w:r>
        <w:r w:rsidRPr="007867C7">
          <w:rPr>
            <w:rStyle w:val="ac"/>
            <w:rFonts w:eastAsia="Times New Roman" w:cs="Times New Roman"/>
            <w:sz w:val="21"/>
            <w:szCs w:val="21"/>
            <w:lang w:eastAsia="en-GB"/>
          </w:rPr>
          <w:t>/</w:t>
        </w:r>
        <w:proofErr w:type="spellStart"/>
        <w:r w:rsidRPr="007867C7">
          <w:rPr>
            <w:rStyle w:val="ac"/>
            <w:rFonts w:eastAsia="Times New Roman" w:cs="Times New Roman"/>
            <w:sz w:val="21"/>
            <w:szCs w:val="21"/>
            <w:lang w:val="en-US" w:eastAsia="en-GB"/>
          </w:rPr>
          <w:t>dac</w:t>
        </w:r>
        <w:proofErr w:type="spellEnd"/>
        <w:r w:rsidRPr="007867C7">
          <w:rPr>
            <w:rStyle w:val="ac"/>
            <w:rFonts w:eastAsia="Times New Roman" w:cs="Times New Roman"/>
            <w:sz w:val="21"/>
            <w:szCs w:val="21"/>
            <w:lang w:eastAsia="en-GB"/>
          </w:rPr>
          <w:t>/</w:t>
        </w:r>
        <w:r w:rsidRPr="007867C7">
          <w:rPr>
            <w:rStyle w:val="ac"/>
            <w:rFonts w:eastAsia="Times New Roman" w:cs="Times New Roman"/>
            <w:sz w:val="21"/>
            <w:szCs w:val="21"/>
            <w:lang w:val="en-US" w:eastAsia="en-GB"/>
          </w:rPr>
          <w:t>stats</w:t>
        </w:r>
        <w:r w:rsidRPr="007867C7">
          <w:rPr>
            <w:rStyle w:val="ac"/>
            <w:rFonts w:eastAsia="Times New Roman" w:cs="Times New Roman"/>
            <w:sz w:val="21"/>
            <w:szCs w:val="21"/>
            <w:lang w:eastAsia="en-GB"/>
          </w:rPr>
          <w:t>/1948102.</w:t>
        </w:r>
        <w:r w:rsidRPr="007867C7">
          <w:rPr>
            <w:rStyle w:val="ac"/>
            <w:rFonts w:eastAsia="Times New Roman" w:cs="Times New Roman"/>
            <w:sz w:val="21"/>
            <w:szCs w:val="21"/>
            <w:lang w:val="en-US" w:eastAsia="en-GB"/>
          </w:rPr>
          <w:t>pdf</w:t>
        </w:r>
      </w:hyperlink>
      <w:r w:rsidRPr="007867C7">
        <w:rPr>
          <w:lang w:eastAsia="en-GB"/>
        </w:rPr>
        <w:t xml:space="preserve"> </w:t>
      </w:r>
    </w:p>
    <w:p w:rsidR="007867C7" w:rsidRPr="007867C7" w:rsidRDefault="007867C7" w:rsidP="007867C7">
      <w:pPr>
        <w:rPr>
          <w:lang w:eastAsia="en-GB"/>
        </w:rPr>
      </w:pPr>
      <w:proofErr w:type="gramStart"/>
      <w:r w:rsidRPr="007867C7">
        <w:rPr>
          <w:lang w:val="en-US" w:eastAsia="en-GB"/>
        </w:rPr>
        <w:t>PARIS21 (2015).</w:t>
      </w:r>
      <w:proofErr w:type="gramEnd"/>
      <w:r w:rsidRPr="007867C7">
        <w:rPr>
          <w:lang w:val="en-US" w:eastAsia="en-GB"/>
        </w:rPr>
        <w:t xml:space="preserve"> </w:t>
      </w:r>
      <w:proofErr w:type="spellStart"/>
      <w:r w:rsidRPr="007867C7">
        <w:rPr>
          <w:lang w:val="en-US" w:eastAsia="en-GB"/>
        </w:rPr>
        <w:t>Отчет</w:t>
      </w:r>
      <w:proofErr w:type="spellEnd"/>
      <w:r w:rsidRPr="007867C7">
        <w:rPr>
          <w:lang w:val="en-US" w:eastAsia="en-GB"/>
        </w:rPr>
        <w:t xml:space="preserve"> </w:t>
      </w:r>
      <w:proofErr w:type="spellStart"/>
      <w:r w:rsidRPr="007867C7">
        <w:rPr>
          <w:lang w:val="en-US" w:eastAsia="en-GB"/>
        </w:rPr>
        <w:t>партнера</w:t>
      </w:r>
      <w:proofErr w:type="spellEnd"/>
      <w:r w:rsidRPr="007867C7">
        <w:rPr>
          <w:lang w:val="en-US" w:eastAsia="en-GB"/>
        </w:rPr>
        <w:t xml:space="preserve"> о </w:t>
      </w:r>
      <w:proofErr w:type="spellStart"/>
      <w:r w:rsidRPr="007867C7">
        <w:rPr>
          <w:lang w:val="en-US" w:eastAsia="en-GB"/>
        </w:rPr>
        <w:t>поддержке</w:t>
      </w:r>
      <w:proofErr w:type="spellEnd"/>
      <w:r w:rsidRPr="007867C7">
        <w:rPr>
          <w:lang w:val="en-US" w:eastAsia="en-GB"/>
        </w:rPr>
        <w:t xml:space="preserve"> </w:t>
      </w:r>
      <w:proofErr w:type="spellStart"/>
      <w:r w:rsidRPr="007867C7">
        <w:rPr>
          <w:lang w:val="en-US" w:eastAsia="en-GB"/>
        </w:rPr>
        <w:t>статистики</w:t>
      </w:r>
      <w:proofErr w:type="spellEnd"/>
      <w:r w:rsidRPr="007867C7">
        <w:rPr>
          <w:lang w:val="en-US" w:eastAsia="en-GB"/>
        </w:rPr>
        <w:t>.</w:t>
      </w:r>
      <w:bookmarkStart w:id="5" w:name="_GoBack"/>
      <w:bookmarkEnd w:id="5"/>
      <w:r>
        <w:rPr>
          <w:lang w:eastAsia="en-GB"/>
        </w:rPr>
        <w:t>Доступно по ссылке</w:t>
      </w:r>
      <w:r>
        <w:t xml:space="preserve"> </w:t>
      </w:r>
      <w:hyperlink r:id="rId11" w:history="1">
        <w:r w:rsidRPr="007867C7">
          <w:rPr>
            <w:rStyle w:val="ac"/>
            <w:rFonts w:eastAsia="Times New Roman" w:cs="Times New Roman"/>
            <w:sz w:val="21"/>
            <w:szCs w:val="21"/>
            <w:lang w:val="en-US" w:eastAsia="en-GB"/>
          </w:rPr>
          <w:t>http</w:t>
        </w:r>
        <w:r w:rsidRPr="007867C7">
          <w:rPr>
            <w:rStyle w:val="ac"/>
            <w:rFonts w:eastAsia="Times New Roman" w:cs="Times New Roman"/>
            <w:sz w:val="21"/>
            <w:szCs w:val="21"/>
            <w:lang w:eastAsia="en-GB"/>
          </w:rPr>
          <w:t>://</w:t>
        </w:r>
        <w:r w:rsidRPr="007867C7">
          <w:rPr>
            <w:rStyle w:val="ac"/>
            <w:rFonts w:eastAsia="Times New Roman" w:cs="Times New Roman"/>
            <w:sz w:val="21"/>
            <w:szCs w:val="21"/>
            <w:lang w:val="en-US" w:eastAsia="en-GB"/>
          </w:rPr>
          <w:t>www</w:t>
        </w:r>
        <w:r w:rsidRPr="007867C7">
          <w:rPr>
            <w:rStyle w:val="ac"/>
            <w:rFonts w:eastAsia="Times New Roman" w:cs="Times New Roman"/>
            <w:sz w:val="21"/>
            <w:szCs w:val="21"/>
            <w:lang w:eastAsia="en-GB"/>
          </w:rPr>
          <w:t>.</w:t>
        </w:r>
        <w:proofErr w:type="spellStart"/>
        <w:r w:rsidRPr="007867C7">
          <w:rPr>
            <w:rStyle w:val="ac"/>
            <w:rFonts w:eastAsia="Times New Roman" w:cs="Times New Roman"/>
            <w:sz w:val="21"/>
            <w:szCs w:val="21"/>
            <w:lang w:val="en-US" w:eastAsia="en-GB"/>
          </w:rPr>
          <w:t>paris</w:t>
        </w:r>
        <w:proofErr w:type="spellEnd"/>
        <w:r w:rsidRPr="007867C7">
          <w:rPr>
            <w:rStyle w:val="ac"/>
            <w:rFonts w:eastAsia="Times New Roman" w:cs="Times New Roman"/>
            <w:sz w:val="21"/>
            <w:szCs w:val="21"/>
            <w:lang w:eastAsia="en-GB"/>
          </w:rPr>
          <w:t>21.</w:t>
        </w:r>
        <w:r w:rsidRPr="007867C7">
          <w:rPr>
            <w:rStyle w:val="ac"/>
            <w:rFonts w:eastAsia="Times New Roman" w:cs="Times New Roman"/>
            <w:sz w:val="21"/>
            <w:szCs w:val="21"/>
            <w:lang w:val="en-US" w:eastAsia="en-GB"/>
          </w:rPr>
          <w:t>org</w:t>
        </w:r>
        <w:r w:rsidRPr="007867C7">
          <w:rPr>
            <w:rStyle w:val="ac"/>
            <w:rFonts w:eastAsia="Times New Roman" w:cs="Times New Roman"/>
            <w:sz w:val="21"/>
            <w:szCs w:val="21"/>
            <w:lang w:eastAsia="en-GB"/>
          </w:rPr>
          <w:t>/</w:t>
        </w:r>
        <w:r w:rsidRPr="007867C7">
          <w:rPr>
            <w:rStyle w:val="ac"/>
            <w:rFonts w:eastAsia="Times New Roman" w:cs="Times New Roman"/>
            <w:sz w:val="21"/>
            <w:szCs w:val="21"/>
            <w:lang w:val="en-US" w:eastAsia="en-GB"/>
          </w:rPr>
          <w:t>PRESS</w:t>
        </w:r>
      </w:hyperlink>
      <w:r w:rsidRPr="007867C7">
        <w:rPr>
          <w:lang w:eastAsia="en-GB"/>
        </w:rPr>
        <w:t xml:space="preserve"> </w:t>
      </w:r>
    </w:p>
    <w:sectPr w:rsidR="007867C7" w:rsidRPr="007867C7">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613" w:rsidRDefault="00555613" w:rsidP="00F73DBC">
      <w:pPr>
        <w:spacing w:after="0" w:line="240" w:lineRule="auto"/>
      </w:pPr>
      <w:r>
        <w:separator/>
      </w:r>
    </w:p>
  </w:endnote>
  <w:endnote w:type="continuationSeparator" w:id="0">
    <w:p w:rsidR="00555613" w:rsidRDefault="00555613"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613" w:rsidRDefault="00555613" w:rsidP="00F73DBC">
      <w:pPr>
        <w:spacing w:after="0" w:line="240" w:lineRule="auto"/>
      </w:pPr>
      <w:r>
        <w:separator/>
      </w:r>
    </w:p>
  </w:footnote>
  <w:footnote w:type="continuationSeparator" w:id="0">
    <w:p w:rsidR="00555613" w:rsidRDefault="00555613"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495496">
      <w:rPr>
        <w:rFonts w:cs="Times New Roman"/>
      </w:rPr>
      <w:t>ок</w:t>
    </w:r>
    <w:r w:rsidR="00B22AB5">
      <w:rPr>
        <w:rFonts w:cs="Times New Roman"/>
      </w:rPr>
      <w:t xml:space="preserve">тябрь </w:t>
    </w:r>
    <w:r w:rsidR="00781DE7" w:rsidRPr="00087B96">
      <w:rPr>
        <w:rFonts w:cs="Times New Roman"/>
      </w:rPr>
      <w:t>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33E1C"/>
    <w:rsid w:val="00040034"/>
    <w:rsid w:val="000410BA"/>
    <w:rsid w:val="000476F9"/>
    <w:rsid w:val="00053D20"/>
    <w:rsid w:val="00087B96"/>
    <w:rsid w:val="000A210D"/>
    <w:rsid w:val="000A229E"/>
    <w:rsid w:val="000C5EF5"/>
    <w:rsid w:val="000F3B83"/>
    <w:rsid w:val="00107A08"/>
    <w:rsid w:val="00116248"/>
    <w:rsid w:val="001470A2"/>
    <w:rsid w:val="00147D8F"/>
    <w:rsid w:val="001612F6"/>
    <w:rsid w:val="00165896"/>
    <w:rsid w:val="001762D0"/>
    <w:rsid w:val="0018353F"/>
    <w:rsid w:val="001A163A"/>
    <w:rsid w:val="001C4663"/>
    <w:rsid w:val="001E2FC9"/>
    <w:rsid w:val="002064C4"/>
    <w:rsid w:val="002306F8"/>
    <w:rsid w:val="002416B3"/>
    <w:rsid w:val="002652D0"/>
    <w:rsid w:val="00291FA0"/>
    <w:rsid w:val="002C7BF9"/>
    <w:rsid w:val="002E122C"/>
    <w:rsid w:val="002E15F9"/>
    <w:rsid w:val="002F63E5"/>
    <w:rsid w:val="00303D71"/>
    <w:rsid w:val="003143BC"/>
    <w:rsid w:val="00320C65"/>
    <w:rsid w:val="00322B59"/>
    <w:rsid w:val="003746BC"/>
    <w:rsid w:val="003859BD"/>
    <w:rsid w:val="003A325C"/>
    <w:rsid w:val="003B3294"/>
    <w:rsid w:val="003D33FA"/>
    <w:rsid w:val="003D58DC"/>
    <w:rsid w:val="003D7A38"/>
    <w:rsid w:val="00407AF0"/>
    <w:rsid w:val="00407E4E"/>
    <w:rsid w:val="004143B4"/>
    <w:rsid w:val="00421928"/>
    <w:rsid w:val="004344AC"/>
    <w:rsid w:val="00456E71"/>
    <w:rsid w:val="00467B9B"/>
    <w:rsid w:val="00495496"/>
    <w:rsid w:val="004A003E"/>
    <w:rsid w:val="004D2413"/>
    <w:rsid w:val="004E087E"/>
    <w:rsid w:val="005016B8"/>
    <w:rsid w:val="00503B4A"/>
    <w:rsid w:val="00504837"/>
    <w:rsid w:val="00532D98"/>
    <w:rsid w:val="00555613"/>
    <w:rsid w:val="00587D0B"/>
    <w:rsid w:val="005A4DCB"/>
    <w:rsid w:val="005C6119"/>
    <w:rsid w:val="005E47BD"/>
    <w:rsid w:val="005F2C0B"/>
    <w:rsid w:val="00655F55"/>
    <w:rsid w:val="006704C2"/>
    <w:rsid w:val="00682107"/>
    <w:rsid w:val="00690B09"/>
    <w:rsid w:val="00691C96"/>
    <w:rsid w:val="00694160"/>
    <w:rsid w:val="006B260E"/>
    <w:rsid w:val="006B3939"/>
    <w:rsid w:val="006C43F8"/>
    <w:rsid w:val="006D5488"/>
    <w:rsid w:val="006D7049"/>
    <w:rsid w:val="00702333"/>
    <w:rsid w:val="00705161"/>
    <w:rsid w:val="00724018"/>
    <w:rsid w:val="00741A39"/>
    <w:rsid w:val="0075371E"/>
    <w:rsid w:val="00753F18"/>
    <w:rsid w:val="00760F87"/>
    <w:rsid w:val="00780F08"/>
    <w:rsid w:val="00781DE7"/>
    <w:rsid w:val="007867C7"/>
    <w:rsid w:val="007953D8"/>
    <w:rsid w:val="007B07B2"/>
    <w:rsid w:val="007B0CFD"/>
    <w:rsid w:val="007B32CE"/>
    <w:rsid w:val="007C27E0"/>
    <w:rsid w:val="007D1185"/>
    <w:rsid w:val="007D1FD7"/>
    <w:rsid w:val="007D5802"/>
    <w:rsid w:val="007F06DF"/>
    <w:rsid w:val="008138AD"/>
    <w:rsid w:val="00836F3E"/>
    <w:rsid w:val="00853C09"/>
    <w:rsid w:val="00864C1A"/>
    <w:rsid w:val="0092739E"/>
    <w:rsid w:val="009508D1"/>
    <w:rsid w:val="00957A62"/>
    <w:rsid w:val="00963238"/>
    <w:rsid w:val="00964F1E"/>
    <w:rsid w:val="009655B4"/>
    <w:rsid w:val="009737AE"/>
    <w:rsid w:val="00980F79"/>
    <w:rsid w:val="00982FE8"/>
    <w:rsid w:val="009C064B"/>
    <w:rsid w:val="009D4322"/>
    <w:rsid w:val="009F43A6"/>
    <w:rsid w:val="00A110F9"/>
    <w:rsid w:val="00A53D4B"/>
    <w:rsid w:val="00A618FC"/>
    <w:rsid w:val="00A71EC6"/>
    <w:rsid w:val="00A82CD3"/>
    <w:rsid w:val="00A91FDE"/>
    <w:rsid w:val="00AC1A97"/>
    <w:rsid w:val="00B0378B"/>
    <w:rsid w:val="00B06B4E"/>
    <w:rsid w:val="00B22AB5"/>
    <w:rsid w:val="00B518DC"/>
    <w:rsid w:val="00B72F77"/>
    <w:rsid w:val="00B80FC8"/>
    <w:rsid w:val="00BD29EC"/>
    <w:rsid w:val="00BE2C5D"/>
    <w:rsid w:val="00BE415C"/>
    <w:rsid w:val="00C47A4A"/>
    <w:rsid w:val="00C515AF"/>
    <w:rsid w:val="00C8596F"/>
    <w:rsid w:val="00C90708"/>
    <w:rsid w:val="00C95AB2"/>
    <w:rsid w:val="00CA1CB1"/>
    <w:rsid w:val="00CA53CA"/>
    <w:rsid w:val="00D05466"/>
    <w:rsid w:val="00D2619D"/>
    <w:rsid w:val="00DA19D7"/>
    <w:rsid w:val="00DC18AA"/>
    <w:rsid w:val="00E123F7"/>
    <w:rsid w:val="00E21B43"/>
    <w:rsid w:val="00E27922"/>
    <w:rsid w:val="00E33CA8"/>
    <w:rsid w:val="00E559F9"/>
    <w:rsid w:val="00E90164"/>
    <w:rsid w:val="00E90BD4"/>
    <w:rsid w:val="00EA206F"/>
    <w:rsid w:val="00EB362A"/>
    <w:rsid w:val="00EB389E"/>
    <w:rsid w:val="00EE0900"/>
    <w:rsid w:val="00F374BA"/>
    <w:rsid w:val="00F53A75"/>
    <w:rsid w:val="00F5412C"/>
    <w:rsid w:val="00F6371F"/>
    <w:rsid w:val="00F73DBC"/>
    <w:rsid w:val="00F84FF1"/>
    <w:rsid w:val="00F85991"/>
    <w:rsid w:val="00F92D6F"/>
    <w:rsid w:val="00FB66D9"/>
    <w:rsid w:val="00FC5800"/>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 w:type="paragraph" w:customStyle="1" w:styleId="MGTHeader">
    <w:name w:val="M.G+T.Header"/>
    <w:basedOn w:val="a"/>
    <w:link w:val="MGTHeaderChar"/>
    <w:qFormat/>
    <w:rsid w:val="002416B3"/>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2416B3"/>
    <w:rPr>
      <w:rFonts w:eastAsia="Times New Roman" w:cs="Times New Roman"/>
      <w:color w:val="333333"/>
      <w:sz w:val="21"/>
      <w:szCs w:val="21"/>
      <w:shd w:val="clear" w:color="auto" w:fill="F5F5F5"/>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 w:type="paragraph" w:customStyle="1" w:styleId="MGTHeader">
    <w:name w:val="M.G+T.Header"/>
    <w:basedOn w:val="a"/>
    <w:link w:val="MGTHeaderChar"/>
    <w:qFormat/>
    <w:rsid w:val="002416B3"/>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2416B3"/>
    <w:rPr>
      <w:rFonts w:eastAsia="Times New Roman" w:cs="Times New Roman"/>
      <w:color w:val="333333"/>
      <w:sz w:val="21"/>
      <w:szCs w:val="21"/>
      <w:shd w:val="clear" w:color="auto" w:fill="F5F5F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is21.org/PRESS" TargetMode="External"/><Relationship Id="rId5" Type="http://schemas.openxmlformats.org/officeDocument/2006/relationships/settings" Target="settings.xml"/><Relationship Id="rId10" Type="http://schemas.openxmlformats.org/officeDocument/2006/relationships/hyperlink" Target="http://www.oecd.org/dac/stats/1948102.pdf" TargetMode="External"/><Relationship Id="rId4" Type="http://schemas.microsoft.com/office/2007/relationships/stylesWithEffects" Target="stylesWithEffects.xml"/><Relationship Id="rId9" Type="http://schemas.openxmlformats.org/officeDocument/2006/relationships/hyperlink" Target="http://www.paris21.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9E3FD-AFD3-4408-9B53-31381B7A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1028</Words>
  <Characters>5864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3</cp:revision>
  <dcterms:created xsi:type="dcterms:W3CDTF">2022-10-05T13:18:00Z</dcterms:created>
  <dcterms:modified xsi:type="dcterms:W3CDTF">2022-10-05T13:36:00Z</dcterms:modified>
</cp:coreProperties>
</file>