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rsidR="00780F08" w:rsidRPr="00A343D5" w:rsidRDefault="00780F08" w:rsidP="00A343D5">
      <w:pPr>
        <w:pBdr>
          <w:top w:val="nil"/>
          <w:left w:val="nil"/>
          <w:bottom w:val="nil"/>
          <w:right w:val="nil"/>
          <w:between w:val="nil"/>
          <w:bar w:val="nil"/>
        </w:pBdr>
        <w:spacing w:after="0"/>
        <w:rPr>
          <w:rFonts w:eastAsia="Arial Unicode MS" w:cs="Times New Roman"/>
          <w:szCs w:val="24"/>
          <w:bdr w:val="nil"/>
          <w:lang w:eastAsia="ru-RU"/>
        </w:rPr>
      </w:pPr>
      <w:r w:rsidRPr="00A343D5">
        <w:rPr>
          <w:rFonts w:eastAsia="Arial Unicode MS" w:cs="Times New Roman"/>
          <w:szCs w:val="24"/>
          <w:bdr w:val="nil"/>
          <w:lang w:eastAsia="ru-RU"/>
        </w:rPr>
        <w:t xml:space="preserve">Цель </w:t>
      </w:r>
      <w:r w:rsidR="00465587">
        <w:rPr>
          <w:rFonts w:eastAsia="Arial Unicode MS" w:cs="Times New Roman"/>
          <w:szCs w:val="24"/>
          <w:bdr w:val="nil"/>
          <w:lang w:eastAsia="ru-RU"/>
        </w:rPr>
        <w:t>5</w:t>
      </w:r>
      <w:r w:rsidRPr="00A343D5">
        <w:rPr>
          <w:rFonts w:eastAsia="Arial Unicode MS" w:cs="Times New Roman"/>
          <w:szCs w:val="24"/>
          <w:bdr w:val="nil"/>
          <w:lang w:eastAsia="ru-RU"/>
        </w:rPr>
        <w:t xml:space="preserve">: </w:t>
      </w:r>
      <w:r w:rsidR="0059042F" w:rsidRPr="0059042F">
        <w:rPr>
          <w:rFonts w:eastAsia="Arial Unicode MS" w:cs="Times New Roman"/>
          <w:szCs w:val="24"/>
          <w:bdr w:val="nil"/>
          <w:lang w:eastAsia="ru-RU"/>
        </w:rPr>
        <w:t>Обеспечение гендерного равенства и расширение прав и возможностей всех женщин и девочек</w:t>
      </w:r>
      <w:r w:rsidR="0059042F">
        <w:rPr>
          <w:rFonts w:eastAsia="Arial Unicode MS" w:cs="Times New Roman"/>
          <w:szCs w:val="24"/>
          <w:bdr w:val="nil"/>
          <w:lang w:eastAsia="ru-RU"/>
        </w:rPr>
        <w:t>.</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rsidR="002F63E5" w:rsidRPr="00A343D5" w:rsidRDefault="00465587" w:rsidP="00A343D5">
      <w:pPr>
        <w:pBdr>
          <w:top w:val="nil"/>
          <w:left w:val="nil"/>
          <w:bottom w:val="nil"/>
          <w:right w:val="nil"/>
          <w:between w:val="nil"/>
          <w:bar w:val="nil"/>
        </w:pBdr>
        <w:spacing w:after="0"/>
        <w:rPr>
          <w:rFonts w:cs="Times New Roman"/>
          <w:szCs w:val="24"/>
        </w:rPr>
      </w:pPr>
      <w:r>
        <w:rPr>
          <w:rFonts w:cs="Times New Roman"/>
          <w:szCs w:val="24"/>
        </w:rPr>
        <w:t>5</w:t>
      </w:r>
      <w:r w:rsidR="00780F08" w:rsidRPr="00A343D5">
        <w:rPr>
          <w:rFonts w:cs="Times New Roman"/>
          <w:szCs w:val="24"/>
        </w:rPr>
        <w:t>.</w:t>
      </w:r>
      <w:r w:rsidR="00766689">
        <w:rPr>
          <w:rFonts w:cs="Times New Roman"/>
          <w:szCs w:val="24"/>
        </w:rPr>
        <w:t>а</w:t>
      </w:r>
      <w:r w:rsidR="00780F08" w:rsidRPr="00A343D5">
        <w:rPr>
          <w:rFonts w:cs="Times New Roman"/>
          <w:szCs w:val="24"/>
        </w:rPr>
        <w:t xml:space="preserve">.  </w:t>
      </w:r>
      <w:r w:rsidR="00766689" w:rsidRPr="00766689">
        <w:rPr>
          <w:rFonts w:cs="Times New Roman"/>
          <w:szCs w:val="24"/>
        </w:rPr>
        <w:t>Провести реформы в целях предоставления женщинам равных прав на экономические ресурсы, а также доступа к владению и распоряжению землей и другими формами собственности, финансовым услугам, наследуемому имуществу и природным ресурсам в соответствии с национальными законами</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rsidR="006677B0"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465587">
        <w:rPr>
          <w:rFonts w:cs="Times New Roman"/>
          <w:szCs w:val="24"/>
        </w:rPr>
        <w:t>5</w:t>
      </w:r>
      <w:r w:rsidR="00780F08" w:rsidRPr="00A343D5">
        <w:rPr>
          <w:rFonts w:cs="Times New Roman"/>
          <w:szCs w:val="24"/>
        </w:rPr>
        <w:t>.</w:t>
      </w:r>
      <w:r w:rsidR="00766689">
        <w:rPr>
          <w:rFonts w:cs="Times New Roman"/>
          <w:szCs w:val="24"/>
        </w:rPr>
        <w:t>а</w:t>
      </w:r>
      <w:r w:rsidR="00465587">
        <w:rPr>
          <w:rFonts w:cs="Times New Roman"/>
          <w:szCs w:val="24"/>
        </w:rPr>
        <w:t>.</w:t>
      </w:r>
      <w:r w:rsidR="006677B0">
        <w:rPr>
          <w:rFonts w:cs="Times New Roman"/>
          <w:szCs w:val="24"/>
        </w:rPr>
        <w:t>2.</w:t>
      </w:r>
      <w:r w:rsidR="006677B0" w:rsidRPr="006677B0">
        <w:rPr>
          <w:rFonts w:cs="Times New Roman"/>
          <w:szCs w:val="24"/>
        </w:rPr>
        <w:t xml:space="preserve"> Доля стран, в которых правовая база (в том числе обычное право) гарантирует женщинам равные права на владение и/или распоряжение землей</w:t>
      </w:r>
      <w:r w:rsidR="006677B0">
        <w:rPr>
          <w:rFonts w:cs="Times New Roman"/>
          <w:szCs w:val="24"/>
        </w:rPr>
        <w:t>.</w:t>
      </w:r>
    </w:p>
    <w:p w:rsidR="003143BC" w:rsidRPr="00A343D5"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rsidR="00C8596F" w:rsidRPr="00A343D5" w:rsidRDefault="0041555F"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31</w:t>
      </w:r>
      <w:r w:rsidR="00F03521">
        <w:rPr>
          <w:rFonts w:eastAsia="Arial Unicode MS" w:cs="Times New Roman"/>
          <w:szCs w:val="24"/>
          <w:bdr w:val="nil"/>
          <w:lang w:eastAsia="ru-RU"/>
        </w:rPr>
        <w:t xml:space="preserve"> </w:t>
      </w:r>
      <w:r>
        <w:rPr>
          <w:rFonts w:eastAsia="Arial Unicode MS" w:cs="Times New Roman"/>
          <w:szCs w:val="24"/>
          <w:bdr w:val="nil"/>
          <w:lang w:eastAsia="ru-RU"/>
        </w:rPr>
        <w:t>марта 2022</w:t>
      </w:r>
      <w:bookmarkStart w:id="0" w:name="_GoBack"/>
      <w:bookmarkEnd w:id="0"/>
    </w:p>
    <w:p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rsidR="00F03521" w:rsidRPr="00F03521" w:rsidRDefault="006677B0" w:rsidP="00F03521">
      <w:pPr>
        <w:pStyle w:val="a0"/>
        <w:rPr>
          <w:lang w:eastAsia="ru-RU"/>
        </w:rPr>
      </w:pPr>
      <w:r>
        <w:rPr>
          <w:lang w:eastAsia="ru-RU"/>
        </w:rPr>
        <w:t>Цель 1, в частности п</w:t>
      </w:r>
      <w:r w:rsidR="00F03521">
        <w:rPr>
          <w:lang w:eastAsia="ru-RU"/>
        </w:rPr>
        <w:t>оказатель ЦУР 1.4.2.</w:t>
      </w:r>
      <w:r>
        <w:rPr>
          <w:lang w:eastAsia="ru-RU"/>
        </w:rPr>
        <w:t xml:space="preserve">, и Цель 5, в частности показатели ЦУР </w:t>
      </w:r>
      <w:r w:rsidRPr="006677B0">
        <w:rPr>
          <w:lang w:eastAsia="ru-RU"/>
        </w:rPr>
        <w:t xml:space="preserve">5.a.1 </w:t>
      </w:r>
      <w:r>
        <w:rPr>
          <w:lang w:eastAsia="ru-RU"/>
        </w:rPr>
        <w:t xml:space="preserve">и </w:t>
      </w:r>
      <w:r w:rsidRPr="006677B0">
        <w:rPr>
          <w:lang w:eastAsia="ru-RU"/>
        </w:rPr>
        <w:t>5.1.1.</w:t>
      </w:r>
    </w:p>
    <w:p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rsidR="00120E95" w:rsidRDefault="00F03521" w:rsidP="00120E95">
      <w:pPr>
        <w:pStyle w:val="a0"/>
        <w:rPr>
          <w:rFonts w:cs="Times New Roman"/>
          <w:szCs w:val="24"/>
        </w:rPr>
      </w:pPr>
      <w:r w:rsidRPr="00F03521">
        <w:rPr>
          <w:rFonts w:cs="Times New Roman"/>
          <w:szCs w:val="24"/>
        </w:rPr>
        <w:t>Продовольственная и сельскохозяйственная организация Объединенных Наций (ФАО)</w:t>
      </w:r>
    </w:p>
    <w:p w:rsidR="00F03521" w:rsidRPr="00120E95" w:rsidRDefault="00F03521" w:rsidP="00120E95">
      <w:pPr>
        <w:pStyle w:val="a0"/>
      </w:pPr>
    </w:p>
    <w:p w:rsidR="00957A62" w:rsidRPr="00162B33" w:rsidRDefault="00957A62" w:rsidP="00A343D5">
      <w:pPr>
        <w:pStyle w:val="MHeader"/>
        <w:rPr>
          <w:b/>
          <w:color w:val="auto"/>
          <w:sz w:val="24"/>
          <w:szCs w:val="24"/>
          <w:lang w:val="ru-RU"/>
        </w:rPr>
      </w:pPr>
      <w:bookmarkStart w:id="1" w:name="_Toc37932744"/>
      <w:bookmarkStart w:id="2" w:name="_Toc36813072"/>
      <w:bookmarkStart w:id="3" w:name="_Toc36812685"/>
      <w:bookmarkStart w:id="4" w:name="_Toc36812572"/>
      <w:bookmarkStart w:id="5" w:name="_Toc36655609"/>
      <w:r w:rsidRPr="00162B33">
        <w:rPr>
          <w:b/>
          <w:color w:val="auto"/>
          <w:sz w:val="24"/>
          <w:szCs w:val="24"/>
          <w:lang w:val="ru-RU"/>
        </w:rPr>
        <w:t xml:space="preserve">1. </w:t>
      </w:r>
      <w:bookmarkEnd w:id="1"/>
      <w:bookmarkEnd w:id="2"/>
      <w:bookmarkEnd w:id="3"/>
      <w:bookmarkEnd w:id="4"/>
      <w:bookmarkEnd w:id="5"/>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162B33" w:rsidRPr="00162B33" w:rsidRDefault="00162B33" w:rsidP="00162B33">
      <w:r w:rsidRPr="00162B33">
        <w:t>Детский фонд Организации Объединенных Наций (ЮНИСЕФ)</w:t>
      </w:r>
    </w:p>
    <w:p w:rsidR="00957A62" w:rsidRPr="00A343D5" w:rsidRDefault="00957A62" w:rsidP="00162B33">
      <w:pPr>
        <w:pStyle w:val="MHeader"/>
        <w:rPr>
          <w:b/>
          <w:color w:val="auto"/>
          <w:sz w:val="24"/>
          <w:szCs w:val="24"/>
          <w:lang w:val="ru-RU"/>
        </w:rPr>
      </w:pPr>
      <w:r w:rsidRPr="00A343D5">
        <w:rPr>
          <w:b/>
          <w:color w:val="auto"/>
          <w:sz w:val="24"/>
          <w:szCs w:val="24"/>
          <w:lang w:val="ru-RU"/>
        </w:rPr>
        <w:t xml:space="preserve">2. Определения, </w:t>
      </w:r>
      <w:r w:rsidR="00A41B68" w:rsidRPr="00A343D5">
        <w:rPr>
          <w:b/>
          <w:color w:val="auto"/>
          <w:sz w:val="24"/>
          <w:szCs w:val="24"/>
          <w:lang w:val="ru-RU"/>
        </w:rPr>
        <w:t>понятия</w:t>
      </w:r>
      <w:r w:rsidRPr="00A343D5">
        <w:rPr>
          <w:b/>
          <w:color w:val="auto"/>
          <w:sz w:val="24"/>
          <w:szCs w:val="24"/>
          <w:lang w:val="ru-RU"/>
        </w:rPr>
        <w:t xml:space="preserve"> и классификации</w:t>
      </w:r>
    </w:p>
    <w:p w:rsidR="00A41B68" w:rsidRPr="00A343D5" w:rsidRDefault="00957A62"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a</w:t>
      </w:r>
      <w:r w:rsidRPr="00A343D5">
        <w:rPr>
          <w:color w:val="auto"/>
          <w:sz w:val="24"/>
          <w:szCs w:val="24"/>
          <w:lang w:val="ru-RU"/>
        </w:rPr>
        <w:t xml:space="preserve">. Определения и </w:t>
      </w:r>
      <w:r w:rsidR="00A41B68" w:rsidRPr="00A343D5">
        <w:rPr>
          <w:color w:val="auto"/>
          <w:sz w:val="24"/>
          <w:szCs w:val="24"/>
          <w:lang w:val="ru-RU"/>
        </w:rPr>
        <w:t>понятия</w:t>
      </w:r>
    </w:p>
    <w:p w:rsidR="006677B0" w:rsidRDefault="006677B0" w:rsidP="006677B0">
      <w:pPr>
        <w:pStyle w:val="a0"/>
        <w:spacing w:after="200" w:line="276" w:lineRule="auto"/>
        <w:rPr>
          <w:rFonts w:cs="Times New Roman"/>
          <w:szCs w:val="24"/>
        </w:rPr>
      </w:pPr>
      <w:r w:rsidRPr="00133714">
        <w:rPr>
          <w:rFonts w:cs="Times New Roman"/>
          <w:szCs w:val="24"/>
        </w:rPr>
        <w:t>Показатель 5.a.2 рассматривает степень, в которой правовая основа (включая обычное право) гарантирует женщинам ра</w:t>
      </w:r>
      <w:r>
        <w:rPr>
          <w:rFonts w:cs="Times New Roman"/>
          <w:szCs w:val="24"/>
        </w:rPr>
        <w:t>вные права на владение и</w:t>
      </w:r>
      <w:r w:rsidRPr="00133714">
        <w:rPr>
          <w:rFonts w:cs="Times New Roman"/>
          <w:szCs w:val="24"/>
        </w:rPr>
        <w:t xml:space="preserve">/или </w:t>
      </w:r>
      <w:r>
        <w:rPr>
          <w:rFonts w:cs="Times New Roman"/>
          <w:szCs w:val="24"/>
        </w:rPr>
        <w:t>распоряжение землей</w:t>
      </w:r>
      <w:r w:rsidRPr="00133714">
        <w:rPr>
          <w:rFonts w:cs="Times New Roman"/>
          <w:szCs w:val="24"/>
        </w:rPr>
        <w:t>.</w:t>
      </w:r>
    </w:p>
    <w:p w:rsidR="00FD4F35" w:rsidRDefault="00FD4F35" w:rsidP="006677B0">
      <w:pPr>
        <w:pStyle w:val="a0"/>
        <w:spacing w:after="200" w:line="276" w:lineRule="auto"/>
        <w:rPr>
          <w:rFonts w:cs="Times New Roman"/>
          <w:szCs w:val="24"/>
        </w:rPr>
      </w:pPr>
      <w:proofErr w:type="gramStart"/>
      <w:r w:rsidRPr="00FD4F35">
        <w:rPr>
          <w:rFonts w:cs="Times New Roman"/>
          <w:szCs w:val="24"/>
        </w:rPr>
        <w:t xml:space="preserve">Показатель “измеряет” уровень, </w:t>
      </w:r>
      <w:r w:rsidR="00746D95">
        <w:rPr>
          <w:rFonts w:cs="Times New Roman"/>
          <w:szCs w:val="24"/>
        </w:rPr>
        <w:t>на</w:t>
      </w:r>
      <w:r w:rsidRPr="00FD4F35">
        <w:rPr>
          <w:rFonts w:cs="Times New Roman"/>
          <w:szCs w:val="24"/>
        </w:rPr>
        <w:t xml:space="preserve"> котором правовая база страны поддерживает права женщин на землю, путем сопоставления этой базы с шестью </w:t>
      </w:r>
      <w:r w:rsidR="00746D95">
        <w:rPr>
          <w:rFonts w:cs="Times New Roman"/>
          <w:szCs w:val="24"/>
        </w:rPr>
        <w:t>прокси-</w:t>
      </w:r>
      <w:r w:rsidRPr="00FD4F35">
        <w:rPr>
          <w:rFonts w:cs="Times New Roman"/>
          <w:szCs w:val="24"/>
        </w:rPr>
        <w:t xml:space="preserve">показателями, взятыми из международного права и </w:t>
      </w:r>
      <w:proofErr w:type="spellStart"/>
      <w:r w:rsidRPr="00FD4F35">
        <w:rPr>
          <w:rFonts w:cs="Times New Roman"/>
          <w:szCs w:val="24"/>
        </w:rPr>
        <w:t>международно</w:t>
      </w:r>
      <w:proofErr w:type="spellEnd"/>
      <w:r w:rsidRPr="00FD4F35">
        <w:rPr>
          <w:rFonts w:cs="Times New Roman"/>
          <w:szCs w:val="24"/>
        </w:rPr>
        <w:t xml:space="preserve"> признанной передовой практики, в частности Конвенции о ликвидации дискриминации в отношении женщин (КЛДЖ), ратифицированной 189 странами, и Добровольных руководящих принципов за ответственное управление землевладением, рыболовством и лесным хозяйством (VGGT), единогласно одобренн</w:t>
      </w:r>
      <w:r w:rsidR="00BA25B8">
        <w:rPr>
          <w:rFonts w:cs="Times New Roman"/>
          <w:szCs w:val="24"/>
        </w:rPr>
        <w:t>ых</w:t>
      </w:r>
      <w:r w:rsidRPr="00FD4F35">
        <w:rPr>
          <w:rFonts w:cs="Times New Roman"/>
          <w:szCs w:val="24"/>
        </w:rPr>
        <w:t xml:space="preserve"> членами Комитета</w:t>
      </w:r>
      <w:r w:rsidR="00746D95">
        <w:rPr>
          <w:rFonts w:cs="Times New Roman"/>
          <w:szCs w:val="24"/>
        </w:rPr>
        <w:t xml:space="preserve"> по</w:t>
      </w:r>
      <w:proofErr w:type="gramEnd"/>
      <w:r w:rsidR="00746D95">
        <w:rPr>
          <w:rFonts w:cs="Times New Roman"/>
          <w:szCs w:val="24"/>
        </w:rPr>
        <w:t xml:space="preserve"> всемирной</w:t>
      </w:r>
      <w:r w:rsidRPr="00FD4F35">
        <w:rPr>
          <w:rFonts w:cs="Times New Roman"/>
          <w:szCs w:val="24"/>
        </w:rPr>
        <w:t xml:space="preserve"> продовольственной безопасности (КВПБ) в 2012 году.</w:t>
      </w:r>
    </w:p>
    <w:p w:rsidR="006677B0" w:rsidRPr="00133714" w:rsidRDefault="006677B0" w:rsidP="006677B0">
      <w:pPr>
        <w:pStyle w:val="a0"/>
        <w:spacing w:after="200" w:line="276" w:lineRule="auto"/>
        <w:rPr>
          <w:rFonts w:cs="Times New Roman"/>
          <w:szCs w:val="24"/>
        </w:rPr>
      </w:pPr>
      <w:proofErr w:type="gramStart"/>
      <w:r>
        <w:rPr>
          <w:rFonts w:cs="Times New Roman"/>
          <w:szCs w:val="24"/>
        </w:rPr>
        <w:t>Далее представлены ш</w:t>
      </w:r>
      <w:r w:rsidRPr="00133714">
        <w:rPr>
          <w:rFonts w:cs="Times New Roman"/>
          <w:szCs w:val="24"/>
        </w:rPr>
        <w:t>есть прокси</w:t>
      </w:r>
      <w:r w:rsidR="00746D95">
        <w:rPr>
          <w:rFonts w:cs="Times New Roman"/>
          <w:szCs w:val="24"/>
        </w:rPr>
        <w:t>-показателей</w:t>
      </w:r>
      <w:r w:rsidRPr="00133714">
        <w:rPr>
          <w:rFonts w:cs="Times New Roman"/>
          <w:szCs w:val="24"/>
        </w:rPr>
        <w:t xml:space="preserve">, через которые отслеживается </w:t>
      </w:r>
      <w:r>
        <w:rPr>
          <w:rFonts w:cs="Times New Roman"/>
          <w:szCs w:val="24"/>
        </w:rPr>
        <w:t>показатель 5.a.2</w:t>
      </w:r>
      <w:r w:rsidRPr="00133714">
        <w:rPr>
          <w:rFonts w:cs="Times New Roman"/>
          <w:szCs w:val="24"/>
        </w:rPr>
        <w:t>:</w:t>
      </w:r>
      <w:proofErr w:type="gramEnd"/>
    </w:p>
    <w:p w:rsidR="006677B0" w:rsidRPr="00B03CB0" w:rsidRDefault="00746D95" w:rsidP="006677B0">
      <w:pPr>
        <w:pStyle w:val="a0"/>
        <w:spacing w:after="200" w:line="276" w:lineRule="auto"/>
        <w:rPr>
          <w:rFonts w:cs="Times New Roman"/>
          <w:i/>
          <w:szCs w:val="24"/>
        </w:rPr>
      </w:pPr>
      <w:r>
        <w:rPr>
          <w:rFonts w:cs="Times New Roman"/>
          <w:i/>
          <w:szCs w:val="24"/>
        </w:rPr>
        <w:lastRenderedPageBreak/>
        <w:t xml:space="preserve">Прокси-показатель </w:t>
      </w:r>
      <w:r w:rsidR="006677B0" w:rsidRPr="00B03CB0">
        <w:rPr>
          <w:rFonts w:cs="Times New Roman"/>
          <w:i/>
          <w:szCs w:val="24"/>
        </w:rPr>
        <w:t xml:space="preserve">A: </w:t>
      </w:r>
      <w:r w:rsidRPr="00746D95">
        <w:rPr>
          <w:rFonts w:cs="Times New Roman"/>
          <w:i/>
          <w:szCs w:val="24"/>
        </w:rPr>
        <w:t>Совместная регистрация земли обязательна или поощряется с помощью экономических стимулов</w:t>
      </w:r>
    </w:p>
    <w:p w:rsidR="006677B0" w:rsidRPr="00B03CB0" w:rsidRDefault="00746D95" w:rsidP="006677B0">
      <w:pPr>
        <w:pStyle w:val="a0"/>
        <w:spacing w:after="200" w:line="276" w:lineRule="auto"/>
        <w:rPr>
          <w:rFonts w:cs="Times New Roman"/>
          <w:i/>
          <w:szCs w:val="24"/>
        </w:rPr>
      </w:pPr>
      <w:r>
        <w:rPr>
          <w:rFonts w:cs="Times New Roman"/>
          <w:i/>
          <w:szCs w:val="24"/>
        </w:rPr>
        <w:t>Прокси-показатель</w:t>
      </w:r>
      <w:r w:rsidR="006677B0" w:rsidRPr="00B03CB0">
        <w:rPr>
          <w:rFonts w:cs="Times New Roman"/>
          <w:i/>
          <w:szCs w:val="24"/>
        </w:rPr>
        <w:t xml:space="preserve"> B: </w:t>
      </w:r>
      <w:r w:rsidRPr="00746D95">
        <w:rPr>
          <w:rFonts w:cs="Times New Roman"/>
          <w:i/>
          <w:szCs w:val="24"/>
        </w:rPr>
        <w:t>Обязательное согласие супруга на совершение сделок с землей</w:t>
      </w:r>
    </w:p>
    <w:p w:rsidR="006677B0" w:rsidRPr="00B03CB0" w:rsidRDefault="00746D95" w:rsidP="006677B0">
      <w:pPr>
        <w:pStyle w:val="a0"/>
        <w:spacing w:after="200" w:line="276" w:lineRule="auto"/>
        <w:rPr>
          <w:rFonts w:cs="Times New Roman"/>
          <w:i/>
          <w:szCs w:val="24"/>
        </w:rPr>
      </w:pPr>
      <w:r>
        <w:rPr>
          <w:rFonts w:cs="Times New Roman"/>
          <w:i/>
          <w:szCs w:val="24"/>
        </w:rPr>
        <w:t>Прокси-показатель</w:t>
      </w:r>
      <w:r w:rsidR="006677B0" w:rsidRPr="00B03CB0">
        <w:rPr>
          <w:rFonts w:cs="Times New Roman"/>
          <w:i/>
          <w:szCs w:val="24"/>
        </w:rPr>
        <w:t xml:space="preserve"> C: </w:t>
      </w:r>
      <w:r w:rsidRPr="00746D95">
        <w:rPr>
          <w:rFonts w:cs="Times New Roman"/>
          <w:i/>
          <w:szCs w:val="24"/>
        </w:rPr>
        <w:t>Равные права женщин и девочек на наследование</w:t>
      </w:r>
    </w:p>
    <w:p w:rsidR="006677B0" w:rsidRPr="00B03CB0" w:rsidRDefault="00746D95" w:rsidP="006677B0">
      <w:pPr>
        <w:pStyle w:val="a0"/>
        <w:spacing w:after="200" w:line="276" w:lineRule="auto"/>
        <w:rPr>
          <w:rFonts w:cs="Times New Roman"/>
          <w:i/>
          <w:szCs w:val="24"/>
        </w:rPr>
      </w:pPr>
      <w:r>
        <w:rPr>
          <w:rFonts w:cs="Times New Roman"/>
          <w:i/>
          <w:szCs w:val="24"/>
        </w:rPr>
        <w:t>Прокси-показатель</w:t>
      </w:r>
      <w:r w:rsidR="006677B0" w:rsidRPr="00B03CB0">
        <w:rPr>
          <w:rFonts w:cs="Times New Roman"/>
          <w:i/>
          <w:szCs w:val="24"/>
        </w:rPr>
        <w:t xml:space="preserve"> D: </w:t>
      </w:r>
      <w:r w:rsidRPr="00746D95">
        <w:rPr>
          <w:rFonts w:cs="Times New Roman"/>
          <w:i/>
          <w:szCs w:val="24"/>
        </w:rPr>
        <w:t xml:space="preserve">Выделение финансовых ресурсов для расширения прав женщин на владение землей и </w:t>
      </w:r>
      <w:r w:rsidR="001745DA">
        <w:rPr>
          <w:rFonts w:cs="Times New Roman"/>
          <w:i/>
          <w:szCs w:val="24"/>
        </w:rPr>
        <w:t xml:space="preserve">распоряжение </w:t>
      </w:r>
      <w:r w:rsidRPr="00746D95">
        <w:rPr>
          <w:rFonts w:cs="Times New Roman"/>
          <w:i/>
          <w:szCs w:val="24"/>
        </w:rPr>
        <w:t>ей</w:t>
      </w:r>
    </w:p>
    <w:p w:rsidR="006677B0" w:rsidRPr="00B03CB0" w:rsidRDefault="00746D95" w:rsidP="006677B0">
      <w:pPr>
        <w:pStyle w:val="a0"/>
        <w:spacing w:after="200" w:line="276" w:lineRule="auto"/>
        <w:rPr>
          <w:rFonts w:cs="Times New Roman"/>
          <w:i/>
          <w:szCs w:val="24"/>
        </w:rPr>
      </w:pPr>
      <w:r>
        <w:rPr>
          <w:rFonts w:cs="Times New Roman"/>
          <w:i/>
          <w:szCs w:val="24"/>
        </w:rPr>
        <w:t>Прокси-показатель</w:t>
      </w:r>
      <w:r w:rsidR="006677B0" w:rsidRPr="00B03CB0">
        <w:rPr>
          <w:rFonts w:cs="Times New Roman"/>
          <w:i/>
          <w:szCs w:val="24"/>
        </w:rPr>
        <w:t xml:space="preserve"> E: </w:t>
      </w:r>
      <w:r w:rsidRPr="00746D95">
        <w:rPr>
          <w:rFonts w:cs="Times New Roman"/>
          <w:i/>
          <w:szCs w:val="24"/>
        </w:rPr>
        <w:t>В правовых системах, признающих традиционное землевладение, наличие четкой защиты земельных прав женщин</w:t>
      </w:r>
    </w:p>
    <w:p w:rsidR="006677B0" w:rsidRPr="00B03CB0" w:rsidRDefault="00746D95" w:rsidP="006677B0">
      <w:pPr>
        <w:pStyle w:val="a0"/>
        <w:spacing w:after="200" w:line="276" w:lineRule="auto"/>
        <w:rPr>
          <w:rFonts w:cs="Times New Roman"/>
          <w:i/>
          <w:szCs w:val="24"/>
        </w:rPr>
      </w:pPr>
      <w:r>
        <w:rPr>
          <w:rFonts w:cs="Times New Roman"/>
          <w:i/>
          <w:szCs w:val="24"/>
        </w:rPr>
        <w:t>Прокси-показатель</w:t>
      </w:r>
      <w:r w:rsidR="006677B0" w:rsidRPr="00B03CB0">
        <w:rPr>
          <w:rFonts w:cs="Times New Roman"/>
          <w:i/>
          <w:szCs w:val="24"/>
        </w:rPr>
        <w:t xml:space="preserve"> F: </w:t>
      </w:r>
      <w:r w:rsidRPr="00746D95">
        <w:rPr>
          <w:rFonts w:cs="Times New Roman"/>
          <w:i/>
          <w:szCs w:val="24"/>
        </w:rPr>
        <w:t>Обязательные квоты для участия женщин в управлении земельными ресурсами и административных учреждениях</w:t>
      </w:r>
    </w:p>
    <w:p w:rsidR="006677B0" w:rsidRDefault="006677B0" w:rsidP="006677B0">
      <w:pPr>
        <w:pStyle w:val="a0"/>
        <w:spacing w:after="200" w:line="276" w:lineRule="auto"/>
        <w:rPr>
          <w:rFonts w:cs="Times New Roman"/>
          <w:szCs w:val="24"/>
        </w:rPr>
      </w:pPr>
      <w:r w:rsidRPr="00AB71DC">
        <w:rPr>
          <w:rFonts w:cs="Times New Roman"/>
          <w:szCs w:val="24"/>
        </w:rPr>
        <w:t>Основные понятия:</w:t>
      </w:r>
    </w:p>
    <w:p w:rsidR="00746D95" w:rsidRPr="00746D95" w:rsidRDefault="00746D95" w:rsidP="00746D95">
      <w:pPr>
        <w:pStyle w:val="a0"/>
        <w:spacing w:after="200"/>
        <w:rPr>
          <w:rFonts w:cs="Times New Roman"/>
          <w:szCs w:val="24"/>
        </w:rPr>
      </w:pPr>
      <w:r w:rsidRPr="00746D95">
        <w:rPr>
          <w:rFonts w:cs="Times New Roman"/>
          <w:szCs w:val="24"/>
        </w:rPr>
        <w:t>Этот показатель отслеживает прогре</w:t>
      </w:r>
      <w:proofErr w:type="gramStart"/>
      <w:r w:rsidRPr="00746D95">
        <w:rPr>
          <w:rFonts w:cs="Times New Roman"/>
          <w:szCs w:val="24"/>
        </w:rPr>
        <w:t>сс в пр</w:t>
      </w:r>
      <w:proofErr w:type="gramEnd"/>
      <w:r w:rsidRPr="00746D95">
        <w:rPr>
          <w:rFonts w:cs="Times New Roman"/>
          <w:szCs w:val="24"/>
        </w:rPr>
        <w:t xml:space="preserve">оведении правовых реформ, гарантирующих права женщин на землю (включая обычное право) с точки </w:t>
      </w:r>
      <w:r>
        <w:rPr>
          <w:rFonts w:cs="Times New Roman"/>
          <w:szCs w:val="24"/>
        </w:rPr>
        <w:t xml:space="preserve">зрения владения и/или </w:t>
      </w:r>
      <w:r w:rsidR="001745DA">
        <w:rPr>
          <w:rFonts w:cs="Times New Roman"/>
          <w:szCs w:val="24"/>
        </w:rPr>
        <w:t>распоряжения</w:t>
      </w:r>
      <w:r>
        <w:rPr>
          <w:rFonts w:cs="Times New Roman"/>
          <w:szCs w:val="24"/>
        </w:rPr>
        <w:t>.</w:t>
      </w:r>
    </w:p>
    <w:p w:rsidR="00746D95" w:rsidRPr="00746D95" w:rsidRDefault="00746D95" w:rsidP="00746D95">
      <w:pPr>
        <w:pStyle w:val="a0"/>
        <w:spacing w:after="200"/>
        <w:rPr>
          <w:rFonts w:cs="Times New Roman"/>
          <w:szCs w:val="24"/>
        </w:rPr>
      </w:pPr>
      <w:r w:rsidRPr="00746D95">
        <w:rPr>
          <w:rFonts w:cs="Times New Roman"/>
          <w:szCs w:val="24"/>
        </w:rPr>
        <w:t xml:space="preserve">Традиционный аспект этого показателя очень важен, поскольку во многих контекстах, в которых преобладает обычное право, права женщин на землю, как правило, ущемляются или не защищены. Однако огромное разнообразие обычаев и социальных норм, которые регулируют использование традиционных земель между странами и внутри них, а также их неписаный характер создают серьезную проблему для оценки того, присутствуют ли доверенные лица в этих системах. Таким образом, аспект обычного права будет рассматриваться только в том случае, если он </w:t>
      </w:r>
      <w:r>
        <w:rPr>
          <w:rFonts w:cs="Times New Roman"/>
          <w:szCs w:val="24"/>
        </w:rPr>
        <w:t>был включен в правовую систему.</w:t>
      </w:r>
    </w:p>
    <w:p w:rsidR="00746D95" w:rsidRDefault="00746D95" w:rsidP="00746D95">
      <w:pPr>
        <w:pStyle w:val="a0"/>
        <w:spacing w:after="200" w:line="276" w:lineRule="auto"/>
        <w:rPr>
          <w:rFonts w:cs="Times New Roman"/>
          <w:szCs w:val="24"/>
        </w:rPr>
      </w:pPr>
      <w:r w:rsidRPr="00746D95">
        <w:rPr>
          <w:rFonts w:cs="Times New Roman"/>
          <w:szCs w:val="24"/>
        </w:rPr>
        <w:t xml:space="preserve">Наконец, показатель относится к владению землей и/или </w:t>
      </w:r>
      <w:r w:rsidR="001745DA">
        <w:rPr>
          <w:rFonts w:cs="Times New Roman"/>
          <w:szCs w:val="24"/>
        </w:rPr>
        <w:t>распоряжения ей</w:t>
      </w:r>
      <w:r w:rsidRPr="00746D95">
        <w:rPr>
          <w:rFonts w:cs="Times New Roman"/>
          <w:szCs w:val="24"/>
        </w:rPr>
        <w:t xml:space="preserve">, которые являются двумя важнейшими, но различными аспектами земельных прав женщин. Владение землей относится к юридически признанному праву приобретать, использовать и передавать земельную собственность, в то время как </w:t>
      </w:r>
      <w:r w:rsidR="001745DA">
        <w:rPr>
          <w:rFonts w:cs="Times New Roman"/>
          <w:szCs w:val="24"/>
        </w:rPr>
        <w:t xml:space="preserve">распоряжение </w:t>
      </w:r>
      <w:r w:rsidRPr="00746D95">
        <w:rPr>
          <w:rFonts w:cs="Times New Roman"/>
          <w:szCs w:val="24"/>
        </w:rPr>
        <w:t xml:space="preserve"> землей </w:t>
      </w:r>
      <w:proofErr w:type="gramStart"/>
      <w:r w:rsidRPr="00746D95">
        <w:rPr>
          <w:rFonts w:cs="Times New Roman"/>
          <w:szCs w:val="24"/>
        </w:rPr>
        <w:t>связан</w:t>
      </w:r>
      <w:proofErr w:type="gramEnd"/>
      <w:r w:rsidRPr="00746D95">
        <w:rPr>
          <w:rFonts w:cs="Times New Roman"/>
          <w:szCs w:val="24"/>
        </w:rPr>
        <w:t xml:space="preserve"> со способностью принимать решения по поводу земли.</w:t>
      </w:r>
    </w:p>
    <w:p w:rsidR="006677B0" w:rsidRDefault="00746D95" w:rsidP="00746D95">
      <w:pPr>
        <w:pStyle w:val="a0"/>
        <w:spacing w:after="200" w:line="276" w:lineRule="auto"/>
        <w:rPr>
          <w:rFonts w:cs="Times New Roman"/>
          <w:szCs w:val="24"/>
        </w:rPr>
      </w:pPr>
      <w:r>
        <w:rPr>
          <w:rFonts w:cs="Times New Roman"/>
          <w:szCs w:val="24"/>
        </w:rPr>
        <w:t>Понятия</w:t>
      </w:r>
      <w:r w:rsidR="006677B0" w:rsidRPr="00AB71DC">
        <w:rPr>
          <w:rFonts w:cs="Times New Roman"/>
          <w:szCs w:val="24"/>
        </w:rPr>
        <w:t>:</w:t>
      </w:r>
    </w:p>
    <w:p w:rsidR="002C072D" w:rsidRPr="002C072D" w:rsidRDefault="002C072D" w:rsidP="002C072D">
      <w:pPr>
        <w:pStyle w:val="a0"/>
        <w:spacing w:after="200"/>
        <w:rPr>
          <w:rFonts w:cs="Times New Roman"/>
          <w:b/>
          <w:szCs w:val="24"/>
        </w:rPr>
      </w:pPr>
      <w:r w:rsidRPr="002C072D">
        <w:rPr>
          <w:rFonts w:cs="Times New Roman"/>
          <w:b/>
          <w:szCs w:val="24"/>
        </w:rPr>
        <w:t>Земля</w:t>
      </w:r>
    </w:p>
    <w:p w:rsidR="002C072D" w:rsidRPr="002C072D" w:rsidRDefault="002C072D" w:rsidP="002C072D">
      <w:r w:rsidRPr="002C072D">
        <w:t>Земля определяется как все недвижимое имущество – например, дом, земля, на которой построен дом, и земля, которая используется для других целей, таких как сельскохозяйственное производство. Это также включает в себя любые другие сооружения, построенные на суше для удовлетворения постоянных целей. В правовых системах обычно используются термины "недвижимое имущество" или "недвижимая собственность", когда речь идет о земле.</w:t>
      </w:r>
    </w:p>
    <w:p w:rsidR="002C072D" w:rsidRPr="002C072D" w:rsidRDefault="002C072D" w:rsidP="002C072D">
      <w:pPr>
        <w:pStyle w:val="a0"/>
        <w:spacing w:after="200"/>
        <w:rPr>
          <w:rFonts w:cs="Times New Roman"/>
          <w:b/>
          <w:szCs w:val="24"/>
        </w:rPr>
      </w:pPr>
      <w:r>
        <w:rPr>
          <w:rFonts w:cs="Times New Roman"/>
          <w:b/>
          <w:szCs w:val="24"/>
        </w:rPr>
        <w:t>Землевладение</w:t>
      </w:r>
    </w:p>
    <w:p w:rsidR="002C072D" w:rsidRPr="002C072D" w:rsidRDefault="002C072D" w:rsidP="002C072D">
      <w:pPr>
        <w:pStyle w:val="a0"/>
        <w:spacing w:after="200"/>
        <w:rPr>
          <w:rFonts w:cs="Times New Roman"/>
          <w:szCs w:val="24"/>
        </w:rPr>
      </w:pPr>
      <w:r w:rsidRPr="002C072D">
        <w:rPr>
          <w:rFonts w:cs="Times New Roman"/>
          <w:szCs w:val="24"/>
        </w:rPr>
        <w:t xml:space="preserve">Землевладение - это юридически признанное право на приобретение, использование и передачу земли. В системах частной собственности это право сродни праву свободного владения. В системах, где земля находится в собственности государства, термин </w:t>
      </w:r>
      <w:r w:rsidRPr="002C072D">
        <w:rPr>
          <w:rFonts w:cs="Times New Roman"/>
          <w:szCs w:val="24"/>
        </w:rPr>
        <w:lastRenderedPageBreak/>
        <w:t xml:space="preserve">“землевладение” относится к обладанию правами, наиболее близкими к собственности в системе частной </w:t>
      </w:r>
      <w:proofErr w:type="gramStart"/>
      <w:r w:rsidRPr="002C072D">
        <w:rPr>
          <w:rFonts w:cs="Times New Roman"/>
          <w:szCs w:val="24"/>
        </w:rPr>
        <w:t>собственности</w:t>
      </w:r>
      <w:proofErr w:type="gramEnd"/>
      <w:r w:rsidRPr="002C072D">
        <w:rPr>
          <w:rFonts w:cs="Times New Roman"/>
          <w:szCs w:val="24"/>
        </w:rPr>
        <w:t xml:space="preserve"> например, долгосрочной арендой, пребыванием, арендой или правами пользования, предоставленными государством, которые могут передаваться и предоставляются пользователям на несколько десятилетий (например, 99 лет).</w:t>
      </w:r>
    </w:p>
    <w:p w:rsidR="002C072D" w:rsidRPr="002C072D" w:rsidRDefault="001745DA" w:rsidP="002C072D">
      <w:pPr>
        <w:pStyle w:val="a0"/>
        <w:spacing w:after="200"/>
        <w:rPr>
          <w:rFonts w:cs="Times New Roman"/>
          <w:b/>
          <w:szCs w:val="24"/>
        </w:rPr>
      </w:pPr>
      <w:r>
        <w:rPr>
          <w:rFonts w:cs="Times New Roman"/>
          <w:b/>
          <w:szCs w:val="24"/>
        </w:rPr>
        <w:t>Распоряжение</w:t>
      </w:r>
      <w:r w:rsidR="002C072D" w:rsidRPr="002C072D">
        <w:rPr>
          <w:rFonts w:cs="Times New Roman"/>
          <w:b/>
          <w:szCs w:val="24"/>
        </w:rPr>
        <w:t xml:space="preserve"> землей</w:t>
      </w:r>
    </w:p>
    <w:p w:rsidR="002C072D" w:rsidRPr="002C072D" w:rsidRDefault="001745DA" w:rsidP="002C072D">
      <w:pPr>
        <w:pStyle w:val="a0"/>
        <w:spacing w:after="200" w:line="276" w:lineRule="auto"/>
        <w:rPr>
          <w:rFonts w:cs="Times New Roman"/>
          <w:szCs w:val="24"/>
        </w:rPr>
      </w:pPr>
      <w:r w:rsidRPr="001745DA">
        <w:rPr>
          <w:rFonts w:cs="Times New Roman"/>
          <w:szCs w:val="24"/>
        </w:rPr>
        <w:t>Распоряжение</w:t>
      </w:r>
      <w:r w:rsidR="002C072D" w:rsidRPr="002C072D">
        <w:rPr>
          <w:rFonts w:cs="Times New Roman"/>
          <w:szCs w:val="24"/>
        </w:rPr>
        <w:t xml:space="preserve"> землей - это способность принимать решения по поводу земли. Это может включать права принимать решения о том, как следует использовать землю, в том числе какие культуры следует сажать, и получать финансовую выгоду от продажи урожая.</w:t>
      </w:r>
    </w:p>
    <w:p w:rsidR="002C072D" w:rsidRPr="002C072D" w:rsidRDefault="002C072D" w:rsidP="002C072D">
      <w:pPr>
        <w:pStyle w:val="a0"/>
        <w:spacing w:after="200"/>
        <w:rPr>
          <w:rFonts w:cs="Times New Roman"/>
          <w:b/>
          <w:szCs w:val="24"/>
        </w:rPr>
      </w:pPr>
      <w:r w:rsidRPr="002C072D">
        <w:rPr>
          <w:rFonts w:cs="Times New Roman"/>
          <w:b/>
          <w:szCs w:val="24"/>
        </w:rPr>
        <w:t>Обычное землевладение</w:t>
      </w:r>
    </w:p>
    <w:p w:rsidR="002C072D" w:rsidRPr="002C072D" w:rsidRDefault="002C072D" w:rsidP="002C072D">
      <w:r w:rsidRPr="002C072D">
        <w:t>Обычное землевладение определяется как совокупность правил и институтов, регулирующих порядок владения землей и природными ресурсами, управления ими, использования и сделок с ними в рамках систем обычного права.</w:t>
      </w:r>
    </w:p>
    <w:p w:rsidR="002C072D" w:rsidRPr="002C072D" w:rsidRDefault="002C072D" w:rsidP="002C072D">
      <w:pPr>
        <w:pStyle w:val="a0"/>
        <w:spacing w:after="200"/>
        <w:rPr>
          <w:rFonts w:cs="Times New Roman"/>
          <w:b/>
          <w:szCs w:val="24"/>
        </w:rPr>
      </w:pPr>
      <w:r w:rsidRPr="002C072D">
        <w:rPr>
          <w:rFonts w:cs="Times New Roman"/>
          <w:b/>
          <w:szCs w:val="24"/>
        </w:rPr>
        <w:t>Системы обычного права</w:t>
      </w:r>
    </w:p>
    <w:p w:rsidR="002C072D" w:rsidRPr="00622A0E" w:rsidRDefault="002C072D" w:rsidP="00622A0E">
      <w:r w:rsidRPr="00622A0E">
        <w:t xml:space="preserve">Системы обычного права - это системы, существующие на местном или общинном уровне, которые не были созданы государством и которые черпают свою легитимность из ценностей и традиций коренного населения или местной группы. Системы обычного права </w:t>
      </w:r>
      <w:proofErr w:type="gramStart"/>
      <w:r w:rsidRPr="00622A0E">
        <w:t>могут</w:t>
      </w:r>
      <w:proofErr w:type="gramEnd"/>
      <w:r w:rsidRPr="00622A0E">
        <w:t xml:space="preserve"> </w:t>
      </w:r>
      <w:r w:rsidR="00622A0E" w:rsidRPr="00622A0E">
        <w:t xml:space="preserve">как </w:t>
      </w:r>
      <w:r w:rsidRPr="00622A0E">
        <w:t>признаваться</w:t>
      </w:r>
      <w:r w:rsidR="00622A0E" w:rsidRPr="00622A0E">
        <w:t>, так и не признаваться</w:t>
      </w:r>
      <w:r w:rsidRPr="00622A0E">
        <w:t xml:space="preserve"> национальным законодательством</w:t>
      </w:r>
      <w:r w:rsidR="00622A0E" w:rsidRPr="00622A0E">
        <w:t>.</w:t>
      </w:r>
    </w:p>
    <w:p w:rsidR="00BA25B8" w:rsidRPr="00BA25B8" w:rsidRDefault="00BA25B8" w:rsidP="002C072D">
      <w:pPr>
        <w:pStyle w:val="a0"/>
        <w:spacing w:after="200" w:line="276" w:lineRule="auto"/>
        <w:rPr>
          <w:rFonts w:cs="Times New Roman"/>
          <w:b/>
          <w:szCs w:val="24"/>
        </w:rPr>
      </w:pPr>
      <w:r w:rsidRPr="00BA25B8">
        <w:rPr>
          <w:rFonts w:cs="Times New Roman"/>
          <w:b/>
          <w:szCs w:val="24"/>
        </w:rPr>
        <w:t xml:space="preserve">Нормативно-правовая база </w:t>
      </w:r>
    </w:p>
    <w:p w:rsidR="00EF0802" w:rsidRPr="00EF0802" w:rsidRDefault="002C072D" w:rsidP="002C072D">
      <w:pPr>
        <w:pStyle w:val="a0"/>
        <w:spacing w:after="200" w:line="276" w:lineRule="auto"/>
        <w:rPr>
          <w:rFonts w:cs="Times New Roman"/>
          <w:szCs w:val="24"/>
        </w:rPr>
      </w:pPr>
      <w:r w:rsidRPr="00EF0802">
        <w:rPr>
          <w:rFonts w:cs="Times New Roman"/>
          <w:szCs w:val="24"/>
        </w:rPr>
        <w:t xml:space="preserve">Нормативно-правовая база включает в себя набор общедоступных правовых и политических инструментов, регулирующих земельные и семейные вопросы, действующих на момент проведения оценки, включая Конституцию, первичное и </w:t>
      </w:r>
      <w:r w:rsidR="00EF0802">
        <w:rPr>
          <w:rFonts w:cs="Times New Roman"/>
          <w:szCs w:val="24"/>
        </w:rPr>
        <w:t>вторичное законодательство и политические стратегии</w:t>
      </w:r>
      <w:r w:rsidRPr="00EF0802">
        <w:rPr>
          <w:rFonts w:cs="Times New Roman"/>
          <w:szCs w:val="24"/>
        </w:rPr>
        <w:t>. Она включает в себя обычные правовые системы там, где они были признаны статутным правом.</w:t>
      </w:r>
    </w:p>
    <w:p w:rsidR="00622A0E" w:rsidRPr="00622A0E" w:rsidRDefault="00622A0E" w:rsidP="00622A0E">
      <w:pPr>
        <w:pStyle w:val="a0"/>
        <w:spacing w:after="200"/>
        <w:rPr>
          <w:rFonts w:cs="Times New Roman"/>
          <w:b/>
          <w:szCs w:val="24"/>
        </w:rPr>
      </w:pPr>
      <w:r>
        <w:rPr>
          <w:rFonts w:cs="Times New Roman"/>
          <w:b/>
          <w:szCs w:val="24"/>
        </w:rPr>
        <w:t>Персональные законы</w:t>
      </w:r>
    </w:p>
    <w:p w:rsidR="00622A0E" w:rsidRPr="00622A0E" w:rsidRDefault="00622A0E" w:rsidP="00622A0E">
      <w:r>
        <w:t xml:space="preserve">Персональные законы </w:t>
      </w:r>
      <w:r w:rsidRPr="00622A0E">
        <w:t>определя</w:t>
      </w:r>
      <w:r>
        <w:t>ю</w:t>
      </w:r>
      <w:r w:rsidRPr="00622A0E">
        <w:t>тся как набор кодифицированных правил и норм, применимых к группе людей, разделяющих общую религиозную веру в личных вопросах. Эти законы обычно охватывают семейные отношения, брак и наследование. Этот термин может использоваться взаимозамен</w:t>
      </w:r>
      <w:r>
        <w:t>яемо с "религиозными законами".</w:t>
      </w:r>
    </w:p>
    <w:p w:rsidR="00622A0E" w:rsidRDefault="00622A0E" w:rsidP="00622A0E">
      <w:pPr>
        <w:pStyle w:val="a0"/>
        <w:spacing w:after="200"/>
        <w:rPr>
          <w:rFonts w:cs="Times New Roman"/>
          <w:b/>
          <w:szCs w:val="24"/>
        </w:rPr>
      </w:pPr>
      <w:r w:rsidRPr="00622A0E">
        <w:rPr>
          <w:rFonts w:cs="Times New Roman"/>
          <w:b/>
          <w:szCs w:val="24"/>
        </w:rPr>
        <w:t xml:space="preserve">Первичное законодательство </w:t>
      </w:r>
    </w:p>
    <w:p w:rsidR="00622A0E" w:rsidRPr="00622A0E" w:rsidRDefault="00622A0E" w:rsidP="00622A0E">
      <w:r w:rsidRPr="00622A0E">
        <w:t>Первичное законодательство относится к (i) актам или статутам, которые были официально приняты на национальном уровне в соответствии с официальной парламентской процедурой принятия законов (в парламентских системах); (</w:t>
      </w:r>
      <w:proofErr w:type="spellStart"/>
      <w:r w:rsidRPr="00622A0E">
        <w:t>ii</w:t>
      </w:r>
      <w:proofErr w:type="spellEnd"/>
      <w:r w:rsidRPr="00622A0E">
        <w:t xml:space="preserve">) другим актам на национальном уровне, имеющим силу закона, таким как </w:t>
      </w:r>
      <w:proofErr w:type="gramStart"/>
      <w:r w:rsidRPr="00622A0E">
        <w:t>указы-подзаконные</w:t>
      </w:r>
      <w:proofErr w:type="gramEnd"/>
      <w:r w:rsidRPr="00622A0E">
        <w:t xml:space="preserve"> акты и законодательные декреты и </w:t>
      </w:r>
      <w:r>
        <w:t>иные</w:t>
      </w:r>
      <w:r w:rsidRPr="00622A0E">
        <w:t xml:space="preserve"> (в парламентских системах); (</w:t>
      </w:r>
      <w:proofErr w:type="spellStart"/>
      <w:r w:rsidRPr="00622A0E">
        <w:t>iii</w:t>
      </w:r>
      <w:proofErr w:type="spellEnd"/>
      <w:r w:rsidRPr="00622A0E">
        <w:t>) другие правовые документы, которые были официально одобрены законотворческим органом, например</w:t>
      </w:r>
      <w:r>
        <w:t>,</w:t>
      </w:r>
      <w:r w:rsidRPr="00622A0E">
        <w:t xml:space="preserve"> президентские и королевские </w:t>
      </w:r>
      <w:r>
        <w:t>приказы</w:t>
      </w:r>
      <w:r w:rsidRPr="00622A0E">
        <w:t xml:space="preserve"> или президентские и королевские указы (в непарламентских системах или системах, где законотворческая власть принадлежит дополнительному институту по отношению к парламенту). Во всех случаях первичное </w:t>
      </w:r>
      <w:r w:rsidRPr="00622A0E">
        <w:lastRenderedPageBreak/>
        <w:t xml:space="preserve">законодательство должно иметь силу закона, быть </w:t>
      </w:r>
      <w:proofErr w:type="gramStart"/>
      <w:r w:rsidRPr="00622A0E">
        <w:t>обязательным к исполнению</w:t>
      </w:r>
      <w:proofErr w:type="gramEnd"/>
      <w:r w:rsidRPr="00622A0E">
        <w:t>. Для этой оценки первичным законодат</w:t>
      </w:r>
      <w:r>
        <w:t xml:space="preserve">ельством является Конституция. </w:t>
      </w:r>
    </w:p>
    <w:p w:rsidR="00622A0E" w:rsidRDefault="00622A0E" w:rsidP="00622A0E">
      <w:pPr>
        <w:pStyle w:val="a0"/>
        <w:spacing w:after="200" w:line="276" w:lineRule="auto"/>
        <w:rPr>
          <w:rFonts w:cs="Times New Roman"/>
          <w:b/>
          <w:szCs w:val="24"/>
        </w:rPr>
      </w:pPr>
      <w:r w:rsidRPr="00622A0E">
        <w:rPr>
          <w:rFonts w:cs="Times New Roman"/>
          <w:b/>
          <w:szCs w:val="24"/>
        </w:rPr>
        <w:t xml:space="preserve">Вторичное законодательство </w:t>
      </w:r>
    </w:p>
    <w:p w:rsidR="00622A0E" w:rsidRDefault="00622A0E" w:rsidP="00622A0E">
      <w:r w:rsidRPr="00622A0E">
        <w:t xml:space="preserve">Вторичное законодательство включает вспомогательные, делегированные или подзаконные правовые акты, которые имеют силу закона, являются обязательными для исполнения и не должны противоречить первичному законодательству. Они обычно принимаются исполнительной властью, такие как национальные нормативные акты, правила, подзаконные акты, определения, указания, циркуляры, приказы и </w:t>
      </w:r>
      <w:proofErr w:type="spellStart"/>
      <w:r w:rsidRPr="00622A0E">
        <w:t>имплементационные</w:t>
      </w:r>
      <w:proofErr w:type="spellEnd"/>
      <w:r w:rsidRPr="00622A0E">
        <w:t xml:space="preserve"> декреты</w:t>
      </w:r>
      <w:r w:rsidR="00431758">
        <w:t>.</w:t>
      </w:r>
    </w:p>
    <w:p w:rsidR="00431758" w:rsidRPr="00431758" w:rsidRDefault="00431758" w:rsidP="00431758">
      <w:pPr>
        <w:pStyle w:val="a0"/>
        <w:spacing w:after="200"/>
        <w:rPr>
          <w:rFonts w:cs="Times New Roman"/>
          <w:b/>
          <w:szCs w:val="24"/>
        </w:rPr>
      </w:pPr>
      <w:r w:rsidRPr="00431758">
        <w:rPr>
          <w:rFonts w:cs="Times New Roman"/>
          <w:b/>
          <w:szCs w:val="24"/>
        </w:rPr>
        <w:t>Совместная регистрация</w:t>
      </w:r>
    </w:p>
    <w:p w:rsidR="00431758" w:rsidRPr="00431758" w:rsidRDefault="00431758" w:rsidP="00431758">
      <w:r w:rsidRPr="00431758">
        <w:t>Совместная регистрация - это когда имена обоих супругов или обоих партнеров в незамужней паре вносятся в земельный реестр в качестве владельцев или основных пользователей регистрируемой земли. Совместная регистрация означает форму совместного владения землей – обычно это либо совместная аренда/</w:t>
      </w:r>
      <w:r>
        <w:t>пребывание, либо общая аренда</w:t>
      </w:r>
      <w:r w:rsidRPr="00431758">
        <w:t>. В правовых системах, которые включают рамки для оформления прав собственности на землю, совместную регистрацию обычно называют совместным оф</w:t>
      </w:r>
      <w:r>
        <w:t xml:space="preserve">ормлением прав собственности.  </w:t>
      </w:r>
    </w:p>
    <w:p w:rsidR="00431758" w:rsidRDefault="00431758" w:rsidP="00431758">
      <w:pPr>
        <w:pStyle w:val="a0"/>
        <w:spacing w:after="200"/>
        <w:rPr>
          <w:rFonts w:cs="Times New Roman"/>
          <w:szCs w:val="24"/>
        </w:rPr>
      </w:pPr>
      <w:r w:rsidRPr="00431758">
        <w:rPr>
          <w:rFonts w:cs="Times New Roman"/>
          <w:b/>
          <w:szCs w:val="24"/>
        </w:rPr>
        <w:t>Неженатые пары</w:t>
      </w:r>
      <w:r w:rsidRPr="00431758">
        <w:rPr>
          <w:rFonts w:cs="Times New Roman"/>
          <w:szCs w:val="24"/>
        </w:rPr>
        <w:t xml:space="preserve"> </w:t>
      </w:r>
    </w:p>
    <w:p w:rsidR="00431758" w:rsidRPr="00431758" w:rsidRDefault="00431758" w:rsidP="00431758">
      <w:r w:rsidRPr="00BA25B8">
        <w:t>Неженатые пары</w:t>
      </w:r>
      <w:r w:rsidRPr="00431758">
        <w:t xml:space="preserve"> определяются как пары, которые живут вместе (сожительствуют)</w:t>
      </w:r>
      <w:r>
        <w:t xml:space="preserve"> и находятся</w:t>
      </w:r>
      <w:r w:rsidRPr="00431758">
        <w:t xml:space="preserve"> в интимных отношениях, но которые не состоят в браке в соответствии с законом о </w:t>
      </w:r>
      <w:proofErr w:type="gramStart"/>
      <w:r w:rsidRPr="00431758">
        <w:t>браке страны</w:t>
      </w:r>
      <w:proofErr w:type="gramEnd"/>
      <w:r w:rsidRPr="00431758">
        <w:t>. Это относится к парам, которые были женаты в соответствии с обычаями или религиозными законами, где такие браки не признаются или не соответствуют требованиям официального закона. Это может также относиться к отношениям, которые признаются государством, но которые не считаются браком – например, гражданскому партнерству и отношениям де-факто, зарегистрированным государством. Термин "неженатые пары" часто используется как синоним "союзов де-факто", "союзов по обоюдному согласию" или "нерегулярных союзов’. Члены неженатой пары именуются ‘партнерами’.</w:t>
      </w:r>
    </w:p>
    <w:p w:rsidR="00431758" w:rsidRPr="00431758" w:rsidRDefault="00431758" w:rsidP="00431758">
      <w:pPr>
        <w:pStyle w:val="a0"/>
        <w:spacing w:after="200"/>
        <w:rPr>
          <w:rFonts w:cs="Times New Roman"/>
          <w:b/>
          <w:szCs w:val="24"/>
        </w:rPr>
      </w:pPr>
      <w:r w:rsidRPr="00431758">
        <w:rPr>
          <w:rFonts w:cs="Times New Roman"/>
          <w:b/>
          <w:szCs w:val="24"/>
        </w:rPr>
        <w:t>Сделки с землей</w:t>
      </w:r>
    </w:p>
    <w:p w:rsidR="00622A0E" w:rsidRDefault="00431758" w:rsidP="00431758">
      <w:r>
        <w:t xml:space="preserve">Сделками с землей </w:t>
      </w:r>
      <w:r w:rsidRPr="00431758">
        <w:t>в соответствии с методологией являются крупные земельные сделки, в частности</w:t>
      </w:r>
      <w:r>
        <w:t>,</w:t>
      </w:r>
      <w:r w:rsidRPr="00431758">
        <w:t xml:space="preserve"> продажа </w:t>
      </w:r>
      <w:r>
        <w:t xml:space="preserve">земли </w:t>
      </w:r>
      <w:r w:rsidRPr="00431758">
        <w:t>и</w:t>
      </w:r>
      <w:r>
        <w:t xml:space="preserve"> наличие обременения (ипотеки</w:t>
      </w:r>
      <w:r w:rsidRPr="00431758">
        <w:t>)</w:t>
      </w:r>
      <w:r>
        <w:t xml:space="preserve"> на землю</w:t>
      </w:r>
      <w:r w:rsidRPr="00431758">
        <w:t>.</w:t>
      </w:r>
    </w:p>
    <w:p w:rsidR="00DE6B2D" w:rsidRDefault="00DE6B2D" w:rsidP="00DE6B2D">
      <w:pPr>
        <w:pStyle w:val="a0"/>
      </w:pPr>
    </w:p>
    <w:p w:rsidR="00DE6B2D" w:rsidRPr="00DE6B2D" w:rsidRDefault="00DE6B2D" w:rsidP="00DE6B2D">
      <w:pPr>
        <w:rPr>
          <w:b/>
        </w:rPr>
      </w:pPr>
      <w:r w:rsidRPr="00DE6B2D">
        <w:rPr>
          <w:b/>
        </w:rPr>
        <w:t>Наследование</w:t>
      </w:r>
    </w:p>
    <w:p w:rsidR="00DE6B2D" w:rsidRDefault="00DE6B2D" w:rsidP="00DE6B2D">
      <w:r>
        <w:t>Наследование определяется как имущество, переходящее после смерти владельца к наследнику или те</w:t>
      </w:r>
      <w:r w:rsidR="00BA25B8">
        <w:t>м, кто имеет право наследовать.</w:t>
      </w:r>
    </w:p>
    <w:p w:rsidR="00DE6B2D" w:rsidRPr="00DE6B2D" w:rsidRDefault="00DE6B2D" w:rsidP="00DE6B2D">
      <w:pPr>
        <w:pStyle w:val="a0"/>
      </w:pPr>
    </w:p>
    <w:p w:rsidR="00DE6B2D" w:rsidRPr="00DE6B2D" w:rsidRDefault="00DE6B2D" w:rsidP="00DE6B2D">
      <w:pPr>
        <w:rPr>
          <w:b/>
        </w:rPr>
      </w:pPr>
      <w:r w:rsidRPr="00DE6B2D">
        <w:rPr>
          <w:b/>
        </w:rPr>
        <w:t xml:space="preserve">Имущество </w:t>
      </w:r>
      <w:proofErr w:type="gramStart"/>
      <w:r>
        <w:rPr>
          <w:b/>
        </w:rPr>
        <w:t>умершего</w:t>
      </w:r>
      <w:proofErr w:type="gramEnd"/>
    </w:p>
    <w:p w:rsidR="00DE6B2D" w:rsidRDefault="00DE6B2D" w:rsidP="00DE6B2D">
      <w:r>
        <w:t xml:space="preserve">Имущество умершего включает в себя законные права, интересы и привилегии на имущество любого рода (не только на землю), которым пользовался умерший супруг или партнер на момент смерти, за вычетом любых обязательств. В зависимости от правовой </w:t>
      </w:r>
      <w:r>
        <w:lastRenderedPageBreak/>
        <w:t>системы супружеская собственность может быть полностью исключена из расчета наследства умершего, или же будет включена 50%-</w:t>
      </w:r>
      <w:proofErr w:type="spellStart"/>
      <w:r>
        <w:t>ная</w:t>
      </w:r>
      <w:proofErr w:type="spellEnd"/>
      <w:r>
        <w:t xml:space="preserve"> доля умершего в супружеской собственности.</w:t>
      </w:r>
    </w:p>
    <w:p w:rsidR="00DE6B2D" w:rsidRPr="00DE6B2D" w:rsidRDefault="00DE6B2D" w:rsidP="00DE6B2D">
      <w:pPr>
        <w:rPr>
          <w:b/>
        </w:rPr>
      </w:pPr>
      <w:r w:rsidRPr="00DE6B2D">
        <w:rPr>
          <w:b/>
        </w:rPr>
        <w:t>Равные права наследования для сыновей и дочерей</w:t>
      </w:r>
    </w:p>
    <w:p w:rsidR="00DE6B2D" w:rsidRDefault="00DE6B2D" w:rsidP="00DE6B2D">
      <w:r>
        <w:t>Равные права наследования для сыновей и дочерей требуют, чтобы закон о наследовании без завещания был либо гендерно нейтральным, либо предусматривал как равный ранг, так и равные доли в наследстве для братьев и сестер (или дочерей и сыновей).</w:t>
      </w:r>
    </w:p>
    <w:p w:rsidR="00DE6B2D" w:rsidRPr="00DE6B2D" w:rsidRDefault="00DE6B2D" w:rsidP="00DE6B2D">
      <w:pPr>
        <w:pStyle w:val="a0"/>
      </w:pPr>
    </w:p>
    <w:p w:rsidR="00407E4E" w:rsidRPr="00A343D5" w:rsidRDefault="00407E4E"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Единица измерения</w:t>
      </w:r>
    </w:p>
    <w:p w:rsidR="00DE6B2D" w:rsidRPr="00DE6B2D" w:rsidRDefault="00DE6B2D" w:rsidP="00DE6B2D">
      <w:pPr>
        <w:rPr>
          <w:lang w:eastAsia="en-GB"/>
        </w:rPr>
      </w:pPr>
      <w:r w:rsidRPr="00DE6B2D">
        <w:rPr>
          <w:lang w:eastAsia="en-GB"/>
        </w:rPr>
        <w:t>Доля стран, в которых правовая база (включая обычное право) гарантирует женщинам равные права на владение землей и/или управление ею, является единицей измерения прогресса на глобальном и/или региональном уровне.</w:t>
      </w:r>
    </w:p>
    <w:p w:rsidR="006677B0" w:rsidRPr="00F03521" w:rsidRDefault="00DE6B2D" w:rsidP="00DE6B2D">
      <w:pPr>
        <w:rPr>
          <w:lang w:eastAsia="en-GB"/>
        </w:rPr>
      </w:pPr>
      <w:r w:rsidRPr="00DE6B2D">
        <w:rPr>
          <w:lang w:eastAsia="en-GB"/>
        </w:rPr>
        <w:t xml:space="preserve">На национальном уровне </w:t>
      </w:r>
      <w:r>
        <w:rPr>
          <w:lang w:eastAsia="en-GB"/>
        </w:rPr>
        <w:t>показатель</w:t>
      </w:r>
      <w:r w:rsidRPr="00DE6B2D">
        <w:rPr>
          <w:lang w:eastAsia="en-GB"/>
        </w:rPr>
        <w:t xml:space="preserve"> «измеряет» степень, в которой правовая и политическая база защищает права женщин на землю </w:t>
      </w:r>
      <w:r w:rsidR="00EF0802">
        <w:rPr>
          <w:lang w:eastAsia="en-GB"/>
        </w:rPr>
        <w:t>в соответствии</w:t>
      </w:r>
      <w:r w:rsidRPr="00DE6B2D">
        <w:rPr>
          <w:lang w:eastAsia="en-GB"/>
        </w:rPr>
        <w:t xml:space="preserve"> с 6 </w:t>
      </w:r>
      <w:r>
        <w:rPr>
          <w:lang w:eastAsia="en-GB"/>
        </w:rPr>
        <w:t>прокси-</w:t>
      </w:r>
      <w:r w:rsidRPr="00DE6B2D">
        <w:rPr>
          <w:lang w:eastAsia="en-GB"/>
        </w:rPr>
        <w:t xml:space="preserve">показателями, определенными для мониторинга показателя 5.a.2 ЦУР. В соответствии с количеством выявленных </w:t>
      </w:r>
      <w:r w:rsidR="00EF0802">
        <w:rPr>
          <w:lang w:eastAsia="en-GB"/>
        </w:rPr>
        <w:t>прокси-</w:t>
      </w:r>
      <w:r w:rsidRPr="00DE6B2D">
        <w:rPr>
          <w:lang w:eastAsia="en-GB"/>
        </w:rPr>
        <w:t>показателей страны классифицируются по шкале от 1 = отсутствие доказательств до 6 = наивысший уровень гарантий.</w:t>
      </w:r>
    </w:p>
    <w:p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2.</w:t>
      </w:r>
      <w:r w:rsidRPr="00A343D5">
        <w:rPr>
          <w:color w:val="auto"/>
          <w:sz w:val="24"/>
          <w:szCs w:val="24"/>
        </w:rPr>
        <w:t>c</w:t>
      </w:r>
      <w:r w:rsidRPr="00A343D5">
        <w:rPr>
          <w:color w:val="auto"/>
          <w:sz w:val="24"/>
          <w:szCs w:val="24"/>
          <w:lang w:val="ru-RU"/>
        </w:rPr>
        <w:t xml:space="preserve">. </w:t>
      </w:r>
      <w:r w:rsidRPr="00A343D5">
        <w:rPr>
          <w:b/>
          <w:color w:val="auto"/>
          <w:sz w:val="24"/>
          <w:szCs w:val="24"/>
          <w:lang w:val="ru-RU"/>
        </w:rPr>
        <w:t>Классификации</w:t>
      </w:r>
    </w:p>
    <w:p w:rsidR="00BA25B8" w:rsidRDefault="00BA25B8" w:rsidP="00BA25B8">
      <w:pPr>
        <w:pStyle w:val="a0"/>
        <w:spacing w:after="200" w:line="276" w:lineRule="auto"/>
        <w:rPr>
          <w:rFonts w:cs="Times New Roman"/>
          <w:szCs w:val="24"/>
        </w:rPr>
      </w:pPr>
      <w:proofErr w:type="gramStart"/>
      <w:r>
        <w:rPr>
          <w:rFonts w:cs="Times New Roman"/>
          <w:szCs w:val="24"/>
        </w:rPr>
        <w:t>Ш</w:t>
      </w:r>
      <w:r w:rsidRPr="00FD4F35">
        <w:rPr>
          <w:rFonts w:cs="Times New Roman"/>
          <w:szCs w:val="24"/>
        </w:rPr>
        <w:t>ес</w:t>
      </w:r>
      <w:r>
        <w:rPr>
          <w:rFonts w:cs="Times New Roman"/>
          <w:szCs w:val="24"/>
        </w:rPr>
        <w:t>ть</w:t>
      </w:r>
      <w:r w:rsidRPr="00FD4F35">
        <w:rPr>
          <w:rFonts w:cs="Times New Roman"/>
          <w:szCs w:val="24"/>
        </w:rPr>
        <w:t xml:space="preserve"> </w:t>
      </w:r>
      <w:r>
        <w:rPr>
          <w:rFonts w:cs="Times New Roman"/>
          <w:szCs w:val="24"/>
        </w:rPr>
        <w:t>прокси-</w:t>
      </w:r>
      <w:r w:rsidRPr="00FD4F35">
        <w:rPr>
          <w:rFonts w:cs="Times New Roman"/>
          <w:szCs w:val="24"/>
        </w:rPr>
        <w:t>показател</w:t>
      </w:r>
      <w:r>
        <w:rPr>
          <w:rFonts w:cs="Times New Roman"/>
          <w:szCs w:val="24"/>
        </w:rPr>
        <w:t xml:space="preserve">ей заимствованы </w:t>
      </w:r>
      <w:r w:rsidRPr="00FD4F35">
        <w:rPr>
          <w:rFonts w:cs="Times New Roman"/>
          <w:szCs w:val="24"/>
        </w:rPr>
        <w:t xml:space="preserve">из международного права и </w:t>
      </w:r>
      <w:proofErr w:type="spellStart"/>
      <w:r w:rsidRPr="00FD4F35">
        <w:rPr>
          <w:rFonts w:cs="Times New Roman"/>
          <w:szCs w:val="24"/>
        </w:rPr>
        <w:t>международно</w:t>
      </w:r>
      <w:proofErr w:type="spellEnd"/>
      <w:r w:rsidRPr="00FD4F35">
        <w:rPr>
          <w:rFonts w:cs="Times New Roman"/>
          <w:szCs w:val="24"/>
        </w:rPr>
        <w:t xml:space="preserve"> признанной передовой практики, в частности Конвенции о ликвидации дискриминации в отношении женщин (КЛДЖ), ратифицированной 189 странами, и Добровольных руководящих принципов за ответственное управление землевладением, рыболовством и лесным хозяйством (VGGT), единогласно одобренн</w:t>
      </w:r>
      <w:r>
        <w:rPr>
          <w:rFonts w:cs="Times New Roman"/>
          <w:szCs w:val="24"/>
        </w:rPr>
        <w:t>ых</w:t>
      </w:r>
      <w:r w:rsidRPr="00FD4F35">
        <w:rPr>
          <w:rFonts w:cs="Times New Roman"/>
          <w:szCs w:val="24"/>
        </w:rPr>
        <w:t xml:space="preserve"> членами Комитета</w:t>
      </w:r>
      <w:r>
        <w:rPr>
          <w:rFonts w:cs="Times New Roman"/>
          <w:szCs w:val="24"/>
        </w:rPr>
        <w:t xml:space="preserve"> по всемирной</w:t>
      </w:r>
      <w:r w:rsidRPr="00FD4F35">
        <w:rPr>
          <w:rFonts w:cs="Times New Roman"/>
          <w:szCs w:val="24"/>
        </w:rPr>
        <w:t xml:space="preserve"> продовольственной безопасности (КВПБ) в 2012 году.</w:t>
      </w:r>
      <w:proofErr w:type="gramEnd"/>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6677B0" w:rsidRDefault="006677B0" w:rsidP="006677B0">
      <w:r w:rsidRPr="006677B0">
        <w:t xml:space="preserve">Источниками данных для измерения показателя 5.а.2 являются официальные версии национальной политики, первичного и вторичного законодательства, которые должны быть общедоступными. </w:t>
      </w:r>
      <w:proofErr w:type="gramStart"/>
      <w:r w:rsidR="00BA25B8" w:rsidRPr="00BA25B8">
        <w:t>В частности, соответствующие законы включают следующее: земля, семья, брак, наследство, регистрация земли, законы о гендерном равенстве, конституция, аграрная реформа.</w:t>
      </w:r>
      <w:proofErr w:type="gramEnd"/>
      <w:r w:rsidR="00BA25B8" w:rsidRPr="00BA25B8">
        <w:t xml:space="preserve"> Соответствующая политика включает земельную, сельскохозяйственную и гендерную политику.</w:t>
      </w:r>
    </w:p>
    <w:p w:rsidR="00995788" w:rsidRPr="00A343D5" w:rsidRDefault="000A229E" w:rsidP="009558D8">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b</w:t>
      </w:r>
      <w:r w:rsidRPr="00A343D5">
        <w:rPr>
          <w:color w:val="auto"/>
          <w:sz w:val="24"/>
          <w:szCs w:val="24"/>
          <w:lang w:val="ru-RU"/>
        </w:rPr>
        <w:t xml:space="preserve">. </w:t>
      </w:r>
      <w:r w:rsidRPr="00A343D5">
        <w:rPr>
          <w:b/>
          <w:color w:val="auto"/>
          <w:sz w:val="24"/>
          <w:szCs w:val="24"/>
          <w:lang w:val="ru-RU"/>
        </w:rPr>
        <w:t>Метод сбора данных</w:t>
      </w:r>
    </w:p>
    <w:p w:rsidR="00BA25B8" w:rsidRDefault="00BA25B8" w:rsidP="006677B0">
      <w:pPr>
        <w:pStyle w:val="a0"/>
        <w:spacing w:after="200" w:line="276" w:lineRule="auto"/>
        <w:rPr>
          <w:rFonts w:cs="Times New Roman"/>
          <w:szCs w:val="24"/>
        </w:rPr>
      </w:pPr>
      <w:r w:rsidRPr="00BA25B8">
        <w:rPr>
          <w:rFonts w:cs="Times New Roman"/>
          <w:szCs w:val="24"/>
        </w:rPr>
        <w:t xml:space="preserve">Для официальной отчетности будут представлены только </w:t>
      </w:r>
      <w:r w:rsidR="0043446D">
        <w:rPr>
          <w:rFonts w:cs="Times New Roman"/>
          <w:szCs w:val="24"/>
        </w:rPr>
        <w:t>прокси-</w:t>
      </w:r>
      <w:r w:rsidRPr="00BA25B8">
        <w:rPr>
          <w:rFonts w:cs="Times New Roman"/>
          <w:szCs w:val="24"/>
        </w:rPr>
        <w:t>показатели, локализованные в первичном и/или вторичном законодательстве, из-за их обязательного характера. Единственным исключением из этого правила является прокси</w:t>
      </w:r>
      <w:r w:rsidR="0043446D">
        <w:rPr>
          <w:rFonts w:cs="Times New Roman"/>
          <w:szCs w:val="24"/>
        </w:rPr>
        <w:t>-показатель</w:t>
      </w:r>
      <w:r w:rsidRPr="00BA25B8">
        <w:rPr>
          <w:rFonts w:cs="Times New Roman"/>
          <w:szCs w:val="24"/>
        </w:rPr>
        <w:t xml:space="preserve"> D, где для целей оценки также рассматриваются национальные земельные/аграрные реформы или программы предоставления прав собственности.  Однако для значимости оценки для анализа рассматриваются соответствующие политики, но они указаны только в разделе дополнительной информации, поскольку </w:t>
      </w:r>
      <w:r w:rsidR="0043446D" w:rsidRPr="0043446D">
        <w:rPr>
          <w:rFonts w:cs="Times New Roman"/>
          <w:szCs w:val="24"/>
        </w:rPr>
        <w:t xml:space="preserve">представляют собой основы закона, </w:t>
      </w:r>
      <w:r w:rsidR="0043446D" w:rsidRPr="0043446D">
        <w:rPr>
          <w:rFonts w:cs="Times New Roman"/>
          <w:szCs w:val="24"/>
        </w:rPr>
        <w:lastRenderedPageBreak/>
        <w:t>излагающие принципы, указывающие направление, в котором стремится двигаться страна, и очень часто предлагают реформы, которы</w:t>
      </w:r>
      <w:r w:rsidR="009D003A">
        <w:rPr>
          <w:rFonts w:cs="Times New Roman"/>
          <w:szCs w:val="24"/>
        </w:rPr>
        <w:t>е необходимо провести в правовом поле</w:t>
      </w:r>
      <w:r w:rsidR="0043446D" w:rsidRPr="0043446D">
        <w:rPr>
          <w:rFonts w:cs="Times New Roman"/>
          <w:szCs w:val="24"/>
        </w:rPr>
        <w:t>.</w:t>
      </w:r>
      <w:r w:rsidRPr="00BA25B8">
        <w:rPr>
          <w:rFonts w:cs="Times New Roman"/>
          <w:szCs w:val="24"/>
        </w:rPr>
        <w:t xml:space="preserve"> В этом смысле, если </w:t>
      </w:r>
      <w:r w:rsidR="009D003A">
        <w:rPr>
          <w:rFonts w:cs="Times New Roman"/>
          <w:szCs w:val="24"/>
        </w:rPr>
        <w:t>прокси-показатели</w:t>
      </w:r>
      <w:r w:rsidRPr="00BA25B8">
        <w:rPr>
          <w:rFonts w:cs="Times New Roman"/>
          <w:szCs w:val="24"/>
        </w:rPr>
        <w:t xml:space="preserve"> присутствуют </w:t>
      </w:r>
      <w:proofErr w:type="gramStart"/>
      <w:r w:rsidRPr="00BA25B8">
        <w:rPr>
          <w:rFonts w:cs="Times New Roman"/>
          <w:szCs w:val="24"/>
        </w:rPr>
        <w:t>в</w:t>
      </w:r>
      <w:proofErr w:type="gramEnd"/>
      <w:r w:rsidRPr="00BA25B8">
        <w:rPr>
          <w:rFonts w:cs="Times New Roman"/>
          <w:szCs w:val="24"/>
        </w:rPr>
        <w:t xml:space="preserve"> </w:t>
      </w:r>
      <w:proofErr w:type="gramStart"/>
      <w:r w:rsidRPr="00BA25B8">
        <w:rPr>
          <w:rFonts w:cs="Times New Roman"/>
          <w:szCs w:val="24"/>
        </w:rPr>
        <w:t>такого</w:t>
      </w:r>
      <w:proofErr w:type="gramEnd"/>
      <w:r w:rsidRPr="00BA25B8">
        <w:rPr>
          <w:rFonts w:cs="Times New Roman"/>
          <w:szCs w:val="24"/>
        </w:rPr>
        <w:t xml:space="preserve"> рода документах, они представляют собой важный шаг на пути к созданию правовой базы, более учитывающей гендерные аспекты.</w:t>
      </w:r>
    </w:p>
    <w:p w:rsidR="009D003A" w:rsidRPr="009D003A" w:rsidRDefault="009D003A" w:rsidP="009D003A">
      <w:r w:rsidRPr="009D003A">
        <w:t xml:space="preserve">Данные извлекаются непосредственно из законов, действующих на момент проведения оценки. Сбор/предоставление данных влечет за собой оценку соответствующих законов, чтобы определить, присутствуют или нет в правовой базе шесть </w:t>
      </w:r>
      <w:r>
        <w:t>прокси-</w:t>
      </w:r>
      <w:r w:rsidRPr="009D003A">
        <w:t xml:space="preserve">показателей. Что касается </w:t>
      </w:r>
      <w:r>
        <w:t>прокси-</w:t>
      </w:r>
      <w:r w:rsidRPr="009D003A">
        <w:t xml:space="preserve">показателей D и F, то в случае, если в нормативно-правовой базе не определены какие-либо положения, их можно считать в равной степени присутствующими, если представлены официальные национальные статистические данные, свидетельствующие о том, </w:t>
      </w:r>
      <w:proofErr w:type="gramStart"/>
      <w:r w:rsidRPr="009D003A">
        <w:t>что</w:t>
      </w:r>
      <w:proofErr w:type="gramEnd"/>
      <w:r w:rsidRPr="009D003A">
        <w:t xml:space="preserve"> по крайней мере 40 процентов женщин владеют землей и/или </w:t>
      </w:r>
      <w:r w:rsidR="001745DA">
        <w:t>распоряжаются ей</w:t>
      </w:r>
      <w:r w:rsidRPr="009D003A">
        <w:t xml:space="preserve">. Это объясняется тем, что эти </w:t>
      </w:r>
      <w:r>
        <w:t>прокси-</w:t>
      </w:r>
      <w:r w:rsidRPr="009D003A">
        <w:t xml:space="preserve">показателей связаны со специальными временными мерами по обеспечению равного владения землей женщинами и мужчинами и/или </w:t>
      </w:r>
      <w:r w:rsidR="001745DA">
        <w:t>распоряжения ей</w:t>
      </w:r>
      <w:r w:rsidRPr="009D003A">
        <w:t xml:space="preserve">. </w:t>
      </w:r>
      <w:r>
        <w:t xml:space="preserve"> </w:t>
      </w:r>
    </w:p>
    <w:p w:rsidR="009D003A" w:rsidRDefault="009D003A" w:rsidP="009D003A">
      <w:r w:rsidRPr="009D003A">
        <w:t>Данные будут собраны в электронном вопроснике, организованном следующим образом:</w:t>
      </w:r>
      <w:r>
        <w:t xml:space="preserve"> </w:t>
      </w:r>
    </w:p>
    <w:p w:rsidR="009D003A" w:rsidRPr="009D003A" w:rsidRDefault="009D003A" w:rsidP="009D003A">
      <w:pPr>
        <w:pStyle w:val="a0"/>
        <w:rPr>
          <w:b/>
        </w:rPr>
      </w:pPr>
      <w:r w:rsidRPr="009D003A">
        <w:rPr>
          <w:b/>
        </w:rPr>
        <w:t xml:space="preserve">Раздел 1: Общие инструкции </w:t>
      </w:r>
    </w:p>
    <w:p w:rsidR="009D003A" w:rsidRDefault="009D003A" w:rsidP="009D003A">
      <w:pPr>
        <w:pStyle w:val="a0"/>
      </w:pPr>
    </w:p>
    <w:p w:rsidR="009D003A" w:rsidRDefault="00DC2872" w:rsidP="009D003A">
      <w:pPr>
        <w:pStyle w:val="a0"/>
      </w:pPr>
      <w:r>
        <w:t>•</w:t>
      </w:r>
      <w:r w:rsidR="009D003A">
        <w:t xml:space="preserve"> Информация о респонденте</w:t>
      </w:r>
    </w:p>
    <w:p w:rsidR="009D003A" w:rsidRDefault="009D003A" w:rsidP="009D003A">
      <w:pPr>
        <w:pStyle w:val="a0"/>
      </w:pPr>
      <w:r>
        <w:t>• Инструкции по заполнению анкеты</w:t>
      </w:r>
    </w:p>
    <w:p w:rsidR="009D003A" w:rsidRDefault="009D003A" w:rsidP="009D003A">
      <w:pPr>
        <w:pStyle w:val="a0"/>
      </w:pPr>
    </w:p>
    <w:p w:rsidR="009D003A" w:rsidRPr="009D003A" w:rsidRDefault="009D003A" w:rsidP="009D003A">
      <w:pPr>
        <w:pStyle w:val="a0"/>
        <w:rPr>
          <w:b/>
        </w:rPr>
      </w:pPr>
      <w:r w:rsidRPr="009D003A">
        <w:rPr>
          <w:b/>
        </w:rPr>
        <w:t>Раздел 2: Правовая оценка</w:t>
      </w:r>
    </w:p>
    <w:p w:rsidR="009D003A" w:rsidRDefault="009D003A" w:rsidP="009D003A">
      <w:pPr>
        <w:pStyle w:val="a0"/>
      </w:pPr>
    </w:p>
    <w:p w:rsidR="009D003A" w:rsidRDefault="00DC2872" w:rsidP="009D003A">
      <w:pPr>
        <w:pStyle w:val="a0"/>
        <w:spacing w:after="200"/>
      </w:pPr>
      <w:r>
        <w:t>•</w:t>
      </w:r>
      <w:r w:rsidR="009D003A">
        <w:t xml:space="preserve"> Контрольный список политических и правовых инструментов, имеющих отношение к оценке, чтобы помочь эксперту определить недостатки в политике и правовой базе анализируемой страны.</w:t>
      </w:r>
    </w:p>
    <w:p w:rsidR="009D003A" w:rsidRDefault="00DC2872" w:rsidP="009D003A">
      <w:pPr>
        <w:pStyle w:val="a0"/>
        <w:spacing w:after="200"/>
      </w:pPr>
      <w:r>
        <w:t>•</w:t>
      </w:r>
      <w:r w:rsidR="009D003A">
        <w:t xml:space="preserve"> Форма 1 “Политика и правовые инструменты, включая положения для </w:t>
      </w:r>
      <w:r>
        <w:t>прокси-показателя</w:t>
      </w:r>
      <w:r w:rsidR="009D003A">
        <w:t xml:space="preserve"> (x)”. Эта форма состоит из набора вопросов, на которые необходимо ответить (да или нет), чтобы определить, присутствует ли </w:t>
      </w:r>
      <w:r>
        <w:t>прокси-показатель</w:t>
      </w:r>
      <w:r w:rsidR="009D003A">
        <w:t>. Подробная информация об инструментах, содержащих прокси-</w:t>
      </w:r>
      <w:r>
        <w:t>показатель</w:t>
      </w:r>
      <w:r w:rsidR="009D003A">
        <w:t>, должна быть предоставлена в этой форме.</w:t>
      </w:r>
    </w:p>
    <w:p w:rsidR="009D003A" w:rsidRDefault="009D003A" w:rsidP="009D003A">
      <w:pPr>
        <w:pStyle w:val="a0"/>
        <w:spacing w:after="200" w:line="276" w:lineRule="auto"/>
        <w:rPr>
          <w:rFonts w:cs="Times New Roman"/>
          <w:szCs w:val="24"/>
        </w:rPr>
      </w:pPr>
      <w:r>
        <w:t xml:space="preserve">•. Форма 2 “Результаты оценки – </w:t>
      </w:r>
      <w:r w:rsidR="00DC2872">
        <w:t>прокси-</w:t>
      </w:r>
      <w:r>
        <w:t>показатель (x)”. В этой форме суммируются результаты оценки по каждому доверенному лицу, проводящему разъяснительную работу.</w:t>
      </w:r>
    </w:p>
    <w:p w:rsidR="00DC2872" w:rsidRPr="00DC2872" w:rsidRDefault="00DC2872" w:rsidP="00DC2872">
      <w:pPr>
        <w:pStyle w:val="a0"/>
        <w:spacing w:after="200"/>
        <w:rPr>
          <w:rFonts w:cs="Times New Roman"/>
          <w:szCs w:val="24"/>
        </w:rPr>
      </w:pPr>
      <w:r w:rsidRPr="00DC2872">
        <w:rPr>
          <w:rFonts w:cs="Times New Roman"/>
          <w:szCs w:val="24"/>
        </w:rPr>
        <w:t>Раздел 3: Краткое изложение оценки (результаты по странам)</w:t>
      </w:r>
    </w:p>
    <w:p w:rsidR="00DC2872" w:rsidRPr="00DC2872" w:rsidRDefault="00DC2872" w:rsidP="00DC2872">
      <w:pPr>
        <w:pStyle w:val="a0"/>
        <w:spacing w:after="200"/>
        <w:rPr>
          <w:rFonts w:cs="Times New Roman"/>
          <w:szCs w:val="24"/>
        </w:rPr>
      </w:pPr>
      <w:r w:rsidRPr="00DC2872">
        <w:rPr>
          <w:rFonts w:cs="Times New Roman"/>
          <w:szCs w:val="24"/>
        </w:rPr>
        <w:t>Для завершения оценки показателя 5.a.2 национальные эксперты по правовым вопросам должны изучить национальную правовую базу и полити</w:t>
      </w:r>
      <w:r>
        <w:rPr>
          <w:rFonts w:cs="Times New Roman"/>
          <w:szCs w:val="24"/>
        </w:rPr>
        <w:t>ческую базу</w:t>
      </w:r>
      <w:r w:rsidRPr="00DC2872">
        <w:rPr>
          <w:rFonts w:cs="Times New Roman"/>
          <w:szCs w:val="24"/>
        </w:rPr>
        <w:t xml:space="preserve"> и заполнить электронную анкету в соответствии с методологическими рекомендациями. Это включает в себя три шага, которые необходимо повтори</w:t>
      </w:r>
      <w:r>
        <w:rPr>
          <w:rFonts w:cs="Times New Roman"/>
          <w:szCs w:val="24"/>
        </w:rPr>
        <w:t xml:space="preserve">ть для каждого прокси-показателя. </w:t>
      </w:r>
    </w:p>
    <w:p w:rsidR="00DC2872" w:rsidRPr="00DC2872" w:rsidRDefault="00DC2872" w:rsidP="00DC2872">
      <w:pPr>
        <w:pStyle w:val="a0"/>
        <w:spacing w:after="200"/>
        <w:rPr>
          <w:rFonts w:cs="Times New Roman"/>
          <w:szCs w:val="24"/>
        </w:rPr>
      </w:pPr>
      <w:r w:rsidRPr="00DC2872">
        <w:rPr>
          <w:rFonts w:cs="Times New Roman"/>
          <w:szCs w:val="24"/>
        </w:rPr>
        <w:t>1. Соберите все соответствующие политические и юридические документы, используя в качестве руководства контрольный список, содержащийся в анкете.</w:t>
      </w:r>
    </w:p>
    <w:p w:rsidR="00DC2872" w:rsidRPr="00DC2872" w:rsidRDefault="00DC2872" w:rsidP="00DC2872">
      <w:pPr>
        <w:pStyle w:val="a0"/>
        <w:spacing w:after="200"/>
        <w:rPr>
          <w:rFonts w:cs="Times New Roman"/>
          <w:szCs w:val="24"/>
        </w:rPr>
      </w:pPr>
      <w:r w:rsidRPr="00DC2872">
        <w:rPr>
          <w:rFonts w:cs="Times New Roman"/>
          <w:szCs w:val="24"/>
        </w:rPr>
        <w:t xml:space="preserve">2. Используя подробные методологические рекомендации, определите, существует ли </w:t>
      </w:r>
      <w:r>
        <w:rPr>
          <w:rFonts w:cs="Times New Roman"/>
          <w:szCs w:val="24"/>
        </w:rPr>
        <w:t>прокси-</w:t>
      </w:r>
      <w:r w:rsidRPr="00DC2872">
        <w:rPr>
          <w:rFonts w:cs="Times New Roman"/>
          <w:szCs w:val="24"/>
        </w:rPr>
        <w:t>показатель в правовой и политической базе и в каких инструментах.</w:t>
      </w:r>
    </w:p>
    <w:p w:rsidR="00DC2872" w:rsidRPr="00DC2872" w:rsidRDefault="00DC2872" w:rsidP="00DC2872">
      <w:pPr>
        <w:pStyle w:val="a0"/>
        <w:spacing w:after="200"/>
        <w:rPr>
          <w:rFonts w:cs="Times New Roman"/>
          <w:szCs w:val="24"/>
        </w:rPr>
      </w:pPr>
      <w:r w:rsidRPr="00DC2872">
        <w:rPr>
          <w:rFonts w:cs="Times New Roman"/>
          <w:szCs w:val="24"/>
        </w:rPr>
        <w:lastRenderedPageBreak/>
        <w:t xml:space="preserve">3. Заполните анкету по каждому </w:t>
      </w:r>
      <w:r>
        <w:rPr>
          <w:rFonts w:cs="Times New Roman"/>
          <w:szCs w:val="24"/>
        </w:rPr>
        <w:t>прокси-</w:t>
      </w:r>
      <w:r w:rsidRPr="00DC2872">
        <w:rPr>
          <w:rFonts w:cs="Times New Roman"/>
          <w:szCs w:val="24"/>
        </w:rPr>
        <w:t xml:space="preserve">показателю, указав инструмент и соответствующие положения, в которых был указан </w:t>
      </w:r>
      <w:r>
        <w:rPr>
          <w:rFonts w:cs="Times New Roman"/>
          <w:szCs w:val="24"/>
        </w:rPr>
        <w:t>прокси-п</w:t>
      </w:r>
      <w:r w:rsidRPr="00DC2872">
        <w:rPr>
          <w:rFonts w:cs="Times New Roman"/>
          <w:szCs w:val="24"/>
        </w:rPr>
        <w:t>оказатель, в форме 1, а также любую соответствующую информацию или исключени</w:t>
      </w:r>
      <w:r>
        <w:rPr>
          <w:rFonts w:cs="Times New Roman"/>
          <w:szCs w:val="24"/>
        </w:rPr>
        <w:t>я</w:t>
      </w:r>
      <w:r w:rsidRPr="00DC2872">
        <w:rPr>
          <w:rFonts w:cs="Times New Roman"/>
          <w:szCs w:val="24"/>
        </w:rPr>
        <w:t xml:space="preserve">, непосредственно связанные с </w:t>
      </w:r>
      <w:r>
        <w:rPr>
          <w:rFonts w:cs="Times New Roman"/>
          <w:szCs w:val="24"/>
        </w:rPr>
        <w:t>прокси-</w:t>
      </w:r>
      <w:r w:rsidRPr="00DC2872">
        <w:rPr>
          <w:rFonts w:cs="Times New Roman"/>
          <w:szCs w:val="24"/>
        </w:rPr>
        <w:t>показателем, в поле дополнительной информации (форма 2), например, полити</w:t>
      </w:r>
      <w:r>
        <w:rPr>
          <w:rFonts w:cs="Times New Roman"/>
          <w:szCs w:val="24"/>
        </w:rPr>
        <w:t>ческую базу</w:t>
      </w:r>
      <w:r w:rsidRPr="00DC2872">
        <w:rPr>
          <w:rFonts w:cs="Times New Roman"/>
          <w:szCs w:val="24"/>
        </w:rPr>
        <w:t xml:space="preserve"> и/или принятые законопроекты. Включите гиперссылку на те</w:t>
      </w:r>
      <w:proofErr w:type="gramStart"/>
      <w:r w:rsidRPr="00DC2872">
        <w:rPr>
          <w:rFonts w:cs="Times New Roman"/>
          <w:szCs w:val="24"/>
        </w:rPr>
        <w:t>кст пр</w:t>
      </w:r>
      <w:proofErr w:type="gramEnd"/>
      <w:r w:rsidRPr="00DC2872">
        <w:rPr>
          <w:rFonts w:cs="Times New Roman"/>
          <w:szCs w:val="24"/>
        </w:rPr>
        <w:t>авов</w:t>
      </w:r>
      <w:r>
        <w:rPr>
          <w:rFonts w:cs="Times New Roman"/>
          <w:szCs w:val="24"/>
        </w:rPr>
        <w:t xml:space="preserve">ого и политического документа. </w:t>
      </w:r>
    </w:p>
    <w:p w:rsidR="00DC2872" w:rsidRDefault="00DC2872" w:rsidP="00DC2872">
      <w:pPr>
        <w:pStyle w:val="a0"/>
        <w:spacing w:after="200" w:line="276" w:lineRule="auto"/>
        <w:rPr>
          <w:rFonts w:cs="Times New Roman"/>
          <w:szCs w:val="24"/>
        </w:rPr>
      </w:pPr>
      <w:r w:rsidRPr="00DC2872">
        <w:rPr>
          <w:rFonts w:cs="Times New Roman"/>
          <w:szCs w:val="24"/>
        </w:rPr>
        <w:t xml:space="preserve">После выполнения этих трех шагов по всем шести </w:t>
      </w:r>
      <w:r>
        <w:rPr>
          <w:rFonts w:cs="Times New Roman"/>
          <w:szCs w:val="24"/>
        </w:rPr>
        <w:t>прокси-</w:t>
      </w:r>
      <w:r w:rsidRPr="00DC2872">
        <w:rPr>
          <w:rFonts w:cs="Times New Roman"/>
          <w:szCs w:val="24"/>
        </w:rPr>
        <w:t xml:space="preserve">показателям ответственное национальное учреждение определит уровень защиты земельных прав женщин, предусмотренный правовой базой, в соответствии с количеством установленных </w:t>
      </w:r>
      <w:r w:rsidR="00E04846">
        <w:rPr>
          <w:rFonts w:cs="Times New Roman"/>
          <w:szCs w:val="24"/>
        </w:rPr>
        <w:t>прокси-</w:t>
      </w:r>
      <w:r w:rsidRPr="00DC2872">
        <w:rPr>
          <w:rFonts w:cs="Times New Roman"/>
          <w:szCs w:val="24"/>
        </w:rPr>
        <w:t>показателей.</w:t>
      </w:r>
    </w:p>
    <w:p w:rsidR="009D003A" w:rsidRDefault="00DC2872" w:rsidP="00DC2872">
      <w:pPr>
        <w:pStyle w:val="a0"/>
        <w:spacing w:after="200" w:line="276" w:lineRule="auto"/>
        <w:rPr>
          <w:rFonts w:cs="Times New Roman"/>
          <w:szCs w:val="24"/>
        </w:rPr>
      </w:pPr>
      <w:r w:rsidRPr="00DC2872">
        <w:rPr>
          <w:rFonts w:cs="Times New Roman"/>
          <w:szCs w:val="24"/>
        </w:rPr>
        <w:t>Заполненный вопросник будет направлен в ФАО для контроля качества и глобальной отчетности в Секретариат ЦУР ООН.</w:t>
      </w:r>
    </w:p>
    <w:p w:rsidR="009E707C" w:rsidRDefault="009E707C" w:rsidP="009E707C">
      <w:pPr>
        <w:pStyle w:val="MHeader2"/>
        <w:rPr>
          <w:b/>
          <w:color w:val="auto"/>
          <w:sz w:val="24"/>
          <w:szCs w:val="24"/>
          <w:lang w:val="ru-RU"/>
        </w:rPr>
      </w:pPr>
      <w:r w:rsidRPr="009E707C">
        <w:rPr>
          <w:color w:val="auto"/>
          <w:sz w:val="24"/>
          <w:szCs w:val="24"/>
          <w:lang w:val="ru-RU"/>
        </w:rPr>
        <w:t>3.</w:t>
      </w:r>
      <w:r w:rsidR="00900860">
        <w:rPr>
          <w:color w:val="auto"/>
          <w:sz w:val="24"/>
          <w:szCs w:val="24"/>
          <w:lang w:val="ru-RU"/>
        </w:rPr>
        <w:t>с</w:t>
      </w:r>
      <w:r w:rsidRPr="009E707C">
        <w:rPr>
          <w:b/>
          <w:color w:val="auto"/>
          <w:sz w:val="24"/>
          <w:szCs w:val="24"/>
          <w:lang w:val="ru-RU"/>
        </w:rPr>
        <w:t>.</w:t>
      </w:r>
      <w:r w:rsidR="00900860">
        <w:rPr>
          <w:b/>
          <w:color w:val="auto"/>
          <w:sz w:val="24"/>
          <w:szCs w:val="24"/>
          <w:lang w:val="ru-RU"/>
        </w:rPr>
        <w:t xml:space="preserve"> </w:t>
      </w:r>
      <w:r w:rsidRPr="009E707C">
        <w:rPr>
          <w:b/>
          <w:color w:val="auto"/>
          <w:sz w:val="24"/>
          <w:szCs w:val="24"/>
          <w:lang w:val="ru-RU"/>
        </w:rPr>
        <w:t xml:space="preserve">Календарь </w:t>
      </w:r>
      <w:r>
        <w:rPr>
          <w:b/>
          <w:color w:val="auto"/>
          <w:sz w:val="24"/>
          <w:szCs w:val="24"/>
          <w:lang w:val="ru-RU"/>
        </w:rPr>
        <w:t>сбора</w:t>
      </w:r>
      <w:r w:rsidRPr="009E707C">
        <w:rPr>
          <w:b/>
          <w:color w:val="auto"/>
          <w:sz w:val="24"/>
          <w:szCs w:val="24"/>
          <w:lang w:val="ru-RU"/>
        </w:rPr>
        <w:t xml:space="preserve"> данных</w:t>
      </w:r>
    </w:p>
    <w:p w:rsidR="006677B0" w:rsidRDefault="006677B0" w:rsidP="00A039E4">
      <w:r w:rsidRPr="006677B0">
        <w:t>Ожидается, что страны будут отчитываться каждые два года.</w:t>
      </w:r>
    </w:p>
    <w:p w:rsidR="000A229E" w:rsidRPr="00A343D5" w:rsidRDefault="009E707C" w:rsidP="00A343D5">
      <w:pPr>
        <w:pStyle w:val="MHeader2"/>
        <w:spacing w:line="276" w:lineRule="auto"/>
        <w:rPr>
          <w:color w:val="auto"/>
          <w:sz w:val="24"/>
          <w:szCs w:val="24"/>
          <w:lang w:val="ru-RU"/>
        </w:rPr>
      </w:pPr>
      <w:r>
        <w:rPr>
          <w:color w:val="auto"/>
          <w:sz w:val="24"/>
          <w:szCs w:val="24"/>
          <w:lang w:val="ru-RU"/>
        </w:rPr>
        <w:t>3</w:t>
      </w:r>
      <w:r w:rsidR="000A229E" w:rsidRPr="00A343D5">
        <w:rPr>
          <w:color w:val="auto"/>
          <w:sz w:val="24"/>
          <w:szCs w:val="24"/>
          <w:lang w:val="ru-RU"/>
        </w:rPr>
        <w:t>.</w:t>
      </w:r>
      <w:r w:rsidR="000A229E" w:rsidRPr="00A343D5">
        <w:rPr>
          <w:color w:val="auto"/>
          <w:sz w:val="24"/>
          <w:szCs w:val="24"/>
        </w:rPr>
        <w:t>d</w:t>
      </w:r>
      <w:r w:rsidR="003A389C" w:rsidRPr="00A343D5">
        <w:rPr>
          <w:color w:val="auto"/>
          <w:sz w:val="24"/>
          <w:szCs w:val="24"/>
          <w:lang w:val="ru-RU"/>
        </w:rPr>
        <w:t>.</w:t>
      </w:r>
      <w:r w:rsidR="000A229E" w:rsidRPr="00A343D5">
        <w:rPr>
          <w:b/>
          <w:color w:val="auto"/>
          <w:sz w:val="24"/>
          <w:szCs w:val="24"/>
          <w:lang w:val="ru-RU"/>
        </w:rPr>
        <w:t>Календарь выпуска данных</w:t>
      </w:r>
    </w:p>
    <w:p w:rsidR="00947FA7" w:rsidRDefault="00947FA7" w:rsidP="00A039E4">
      <w:r w:rsidRPr="00947FA7">
        <w:t xml:space="preserve">Все страны могут </w:t>
      </w:r>
      <w:r>
        <w:t>предоставить</w:t>
      </w:r>
      <w:r w:rsidRPr="00947FA7">
        <w:t xml:space="preserve"> отчетность за первый год, поскольку источник данных (</w:t>
      </w:r>
      <w:r>
        <w:t xml:space="preserve">а именно - </w:t>
      </w:r>
      <w:r w:rsidRPr="00947FA7">
        <w:t xml:space="preserve">законы) доступен </w:t>
      </w:r>
      <w:r>
        <w:t xml:space="preserve">в каждой </w:t>
      </w:r>
      <w:r w:rsidRPr="00947FA7">
        <w:t xml:space="preserve">из них, а </w:t>
      </w:r>
      <w:r>
        <w:t xml:space="preserve">процесс оценки </w:t>
      </w:r>
      <w:r w:rsidRPr="00947FA7">
        <w:t>показател</w:t>
      </w:r>
      <w:r>
        <w:t>я очень прост</w:t>
      </w:r>
      <w:r w:rsidRPr="00947FA7">
        <w:t>. Причем оценка может быть проведена одним юристом в очень короткие сроки (около 15 дней).</w:t>
      </w:r>
    </w:p>
    <w:p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E04846" w:rsidRDefault="00E04846" w:rsidP="00E04846">
      <w:r w:rsidRPr="00E04846">
        <w:t>Правительствам следует назначить национальное учреждение, ответственное за процесс мониторинга и отчетности по показателю 5.a.2. При назначении ответственного учреждения следует руководствоваться характером требуемой информации, в частности соответствующими положениями земельного и семейного законодательства. Ввиду этого наиболее подходящими национальными учреждениями, которые могли бы быть назначены для выполнения этой обязанности, являются учреждения, связанные с земельными ресурсами (например, Министерства земельных ресурсов или национальное учреждение, регулирующее земельные вопросы), и/или национальное гендерное учреждение (например</w:t>
      </w:r>
      <w:r w:rsidR="003015BD">
        <w:t>,</w:t>
      </w:r>
      <w:r w:rsidRPr="00E04846">
        <w:t xml:space="preserve"> Комиссии по гендерному равенству, по делам женщин или гендерные министерства).</w:t>
      </w:r>
    </w:p>
    <w:p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3015BD" w:rsidRDefault="003015BD" w:rsidP="003015BD">
      <w:r w:rsidRPr="003015BD">
        <w:t>ФАО отвечает за составление и представление отчетности по этому показателю на глобальном уровне. После проверки и подтверждения результатов ответственный национальный орган отправляет вопросник в ФАО. После получения вопросника ФАО проведет проверку качества и обратится к ответственному национальному учреждению в случае необходимости разъяснений или изменений. Затем ФАО рассчитает показатель на основе информации, предоставленной странами, и передаст результаты в Секретариат ЦУР ООН.</w:t>
      </w:r>
    </w:p>
    <w:p w:rsidR="003015BD" w:rsidRPr="003015BD" w:rsidRDefault="003015BD" w:rsidP="003015BD">
      <w:pPr>
        <w:pStyle w:val="a0"/>
      </w:pPr>
    </w:p>
    <w:p w:rsidR="000A229E" w:rsidRPr="00A343D5" w:rsidRDefault="000A229E" w:rsidP="00A343D5">
      <w:pPr>
        <w:pStyle w:val="MHeader2"/>
        <w:spacing w:line="276" w:lineRule="auto"/>
        <w:rPr>
          <w:color w:val="auto"/>
          <w:sz w:val="24"/>
          <w:szCs w:val="24"/>
          <w:lang w:val="ru-RU"/>
        </w:rPr>
      </w:pPr>
      <w:r w:rsidRPr="00A343D5">
        <w:rPr>
          <w:color w:val="auto"/>
          <w:sz w:val="24"/>
          <w:szCs w:val="24"/>
          <w:lang w:val="ru-RU"/>
        </w:rPr>
        <w:lastRenderedPageBreak/>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3015BD" w:rsidRDefault="00EF47D7" w:rsidP="00EF47D7">
      <w:r w:rsidRPr="00EF47D7">
        <w:t xml:space="preserve">Статья I Устава ФАО требует, чтобы Организация собирала, анализировала, интерпретировала и распространяла информацию, касающуюся питания, продовольствия и сельского хозяйства </w:t>
      </w:r>
    </w:p>
    <w:p w:rsidR="00EF47D7" w:rsidRDefault="00EF47D7" w:rsidP="00EF47D7">
      <w:r w:rsidRPr="00EF47D7">
        <w:t>http://www.fao.org/3/K8024E</w:t>
      </w:r>
      <w:r>
        <w:t xml:space="preserve">/K8024E.pdf </w:t>
      </w:r>
    </w:p>
    <w:p w:rsidR="002E15F9" w:rsidRPr="00A343D5" w:rsidRDefault="002E15F9" w:rsidP="00A343D5">
      <w:pPr>
        <w:pStyle w:val="MHeader"/>
        <w:rPr>
          <w:b/>
          <w:color w:val="auto"/>
          <w:sz w:val="24"/>
          <w:szCs w:val="24"/>
          <w:lang w:val="ru-RU"/>
        </w:rPr>
      </w:pPr>
      <w:r w:rsidRPr="00A343D5">
        <w:rPr>
          <w:b/>
          <w:color w:val="auto"/>
          <w:sz w:val="24"/>
          <w:szCs w:val="24"/>
          <w:lang w:val="ru-RU"/>
        </w:rPr>
        <w:t>4. Иные методологические соображения</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3015BD" w:rsidRPr="003015BD" w:rsidRDefault="003015BD" w:rsidP="003015BD">
      <w:r w:rsidRPr="003015BD">
        <w:t xml:space="preserve">Показатель 5.a.2 измеряет степень, в которой правовая база стран (включая обычное право) гарантирует женщинам равные права на владение землей и/или </w:t>
      </w:r>
      <w:r w:rsidR="001745DA">
        <w:t xml:space="preserve">распоряжение </w:t>
      </w:r>
      <w:r w:rsidRPr="003015BD">
        <w:t>ей.</w:t>
      </w:r>
    </w:p>
    <w:p w:rsidR="003015BD" w:rsidRDefault="003015BD" w:rsidP="003015BD">
      <w:r>
        <w:t>Акцент внимания на земле</w:t>
      </w:r>
      <w:r w:rsidRPr="003015BD">
        <w:t xml:space="preserve"> в показателе 5.a.2 отражает признание того, что земля является ключевым экономическим ресурсом, неразрывно связанным с доступом к другим экономическим и производственным ресурсам, их использованием и </w:t>
      </w:r>
      <w:r w:rsidR="001745DA">
        <w:t>распоряжения ими</w:t>
      </w:r>
      <w:r w:rsidRPr="003015BD">
        <w:t>. Это ключевой вклад в сельскохозяйственное производство; он может облегчить доступ к финансовым услугам и услугам по распространению знаний или к организация</w:t>
      </w:r>
      <w:r w:rsidR="000E0805">
        <w:t>м производителей. Более того, земля</w:t>
      </w:r>
      <w:r w:rsidRPr="003015BD">
        <w:t xml:space="preserve"> может приносить доход напрямую, если сдается в аренду или продается. </w:t>
      </w:r>
      <w:r w:rsidR="000E0805">
        <w:t>Т</w:t>
      </w:r>
      <w:r w:rsidRPr="003015BD">
        <w:t xml:space="preserve">акже признается, что владение женщинами землей и/или </w:t>
      </w:r>
      <w:r w:rsidR="001745DA">
        <w:t>распоряжение ей</w:t>
      </w:r>
      <w:r w:rsidRPr="003015BD">
        <w:t xml:space="preserve"> имеют решающее значение для сокращения масштабов нищеты, обеспечения продовольственной безопасности, обеспечения </w:t>
      </w:r>
      <w:proofErr w:type="spellStart"/>
      <w:r w:rsidRPr="003015BD">
        <w:t>инклюзивности</w:t>
      </w:r>
      <w:proofErr w:type="spellEnd"/>
      <w:r w:rsidRPr="003015BD">
        <w:t xml:space="preserve"> и достижения общих целей устойчивого развития.  Наконец, гендерное равенство в области владения землей и </w:t>
      </w:r>
      <w:r w:rsidR="001745DA">
        <w:t xml:space="preserve">распоряжения </w:t>
      </w:r>
      <w:r w:rsidRPr="003015BD">
        <w:t xml:space="preserve">ей является правом человека. Например, Международный пакт о гражданских и политических правах (МПГПП) гарантирует равенство между женщинами и мужчинами и запрещает дискриминацию по признаку пола в статье 2. Статья 26 МПГПП закрепляет равенство перед законом и может применяться для защиты права женщин на </w:t>
      </w:r>
      <w:proofErr w:type="spellStart"/>
      <w:r w:rsidRPr="003015BD">
        <w:t>недискриминацию</w:t>
      </w:r>
      <w:proofErr w:type="spellEnd"/>
      <w:r w:rsidRPr="003015BD">
        <w:t xml:space="preserve"> и равенство, включая экономические и социальные права. Далее, в Конвенции о ликвидации дискриминации в отношении женщин (КЛДЖ) подчеркивается, что дискриминация в отношении женщин “нарушает принципы равенства прав и уважения человеческого достоинства".</w:t>
      </w:r>
    </w:p>
    <w:p w:rsidR="000E0805" w:rsidRPr="000E0805" w:rsidRDefault="000E0805" w:rsidP="000E0805">
      <w:r w:rsidRPr="000E0805">
        <w:t xml:space="preserve">В следующих пунктах описываются сфера охвата и обоснование </w:t>
      </w:r>
      <w:r>
        <w:t>прокси</w:t>
      </w:r>
      <w:r w:rsidRPr="000E0805">
        <w:t xml:space="preserve">-показателей, а также их конкретное содержание. </w:t>
      </w:r>
    </w:p>
    <w:p w:rsidR="000E0805" w:rsidRPr="000E0805" w:rsidRDefault="000E0805" w:rsidP="000E0805">
      <w:r w:rsidRPr="000E0805">
        <w:t xml:space="preserve">Для получения указаний относительно значения терминов, используемых в </w:t>
      </w:r>
      <w:r>
        <w:t>прокси-</w:t>
      </w:r>
      <w:r w:rsidRPr="000E0805">
        <w:t xml:space="preserve">показателях, пожалуйста, обратитесь к терминологии в разделе 2.a “Определения и </w:t>
      </w:r>
      <w:r>
        <w:t>понятия</w:t>
      </w:r>
      <w:r w:rsidRPr="000E0805">
        <w:t xml:space="preserve">” настоящего документа. Для получения подробной информации об условиях, определяющих, существует ли </w:t>
      </w:r>
      <w:r>
        <w:t>прокси-</w:t>
      </w:r>
      <w:r w:rsidRPr="000E0805">
        <w:t>показатель в правовой базе, пожалуйста, обратитесь к методическим рекомендациям “Реализация прав женщин на землю в законодательстве. Руководство по представлению отчет</w:t>
      </w:r>
      <w:r>
        <w:t>ности по показателю 5.a.2 ЦУР”.</w:t>
      </w:r>
    </w:p>
    <w:p w:rsidR="000E0805" w:rsidRPr="000E0805" w:rsidRDefault="000E0805" w:rsidP="000E0805">
      <w:r w:rsidRPr="000E0805">
        <w:rPr>
          <w:b/>
        </w:rPr>
        <w:t>Прокси-показатель A:</w:t>
      </w:r>
      <w:r w:rsidRPr="000E0805">
        <w:t xml:space="preserve"> Является ли совместная регистрация земли обязательной или поощряется с </w:t>
      </w:r>
      <w:r>
        <w:t>помощью экономических стимулов?</w:t>
      </w:r>
    </w:p>
    <w:p w:rsidR="000E0805" w:rsidRPr="000E0805" w:rsidRDefault="000E0805" w:rsidP="000E0805">
      <w:r w:rsidRPr="000E0805">
        <w:t xml:space="preserve">Без указания их имен в документах о праве собственности на землю, акте или свидетельстве имущественные права женщин остаются незащищенными, особенно в контексте программ регистрации земли и имущества, приобретенного супругами во время </w:t>
      </w:r>
      <w:r w:rsidRPr="000E0805">
        <w:lastRenderedPageBreak/>
        <w:t>брака. Особенно это касается замужних женщин, которые расстаются, разводятся, оказываются бро</w:t>
      </w:r>
      <w:r>
        <w:t>шенными или становятся вдовами.</w:t>
      </w:r>
    </w:p>
    <w:p w:rsidR="003015BD" w:rsidRDefault="000E0805" w:rsidP="000E0805">
      <w:r w:rsidRPr="000E0805">
        <w:t>Таким образом,</w:t>
      </w:r>
      <w:r w:rsidR="005B4C24">
        <w:t xml:space="preserve"> прокси-</w:t>
      </w:r>
      <w:r w:rsidRPr="000E0805">
        <w:t xml:space="preserve">показатель оценивает, включает ли правовая и политическая база положения, требующие совместной регистрации земли или поощряющие совместную регистрацию посредством экономических стимулов как для состоящих в браке, так и для не состоящих в </w:t>
      </w:r>
      <w:proofErr w:type="gramStart"/>
      <w:r w:rsidRPr="000E0805">
        <w:t>браке пар</w:t>
      </w:r>
      <w:proofErr w:type="gramEnd"/>
      <w:r w:rsidRPr="000E0805">
        <w:t xml:space="preserve">. Для наличия </w:t>
      </w:r>
      <w:r w:rsidR="005B4C24">
        <w:t>прокси-</w:t>
      </w:r>
      <w:r w:rsidRPr="000E0805">
        <w:t>показателя достаточно, чтобы была предусмотрена совместная регистрация, по крайней мере, для супружеских пар.</w:t>
      </w:r>
    </w:p>
    <w:p w:rsidR="005B4C24" w:rsidRDefault="005B4C24" w:rsidP="005B4C24">
      <w:r w:rsidRPr="005B4C24">
        <w:rPr>
          <w:b/>
        </w:rPr>
        <w:t>Прокси-показатель B:</w:t>
      </w:r>
      <w:r>
        <w:t xml:space="preserve"> Требует ли правовая и политическая база согласия супруга на совершение сделок с землей?</w:t>
      </w:r>
    </w:p>
    <w:p w:rsidR="005B4C24" w:rsidRDefault="005B4C24" w:rsidP="005B4C24">
      <w:r>
        <w:t xml:space="preserve">Крупные земельные сделки, такие как продажа, ипотека или аренда семейной земли или семейного дома, могут непосредственно повлиять на земельные права женщин, если они не участвуют в принятии решений. Таким образом, требования о согласии супруга или партнера на совершение такой сделки укрепляют права женщин на </w:t>
      </w:r>
      <w:r w:rsidR="001745DA">
        <w:t>распоряжение</w:t>
      </w:r>
      <w:r>
        <w:t xml:space="preserve"> землей, защищая их от односторонних действий, предпринимаемых их мужем или, в случае незамужних пар, партнером. Положения, поддерживающие равенство в брачных отношениях и предусматривающие совместное </w:t>
      </w:r>
      <w:proofErr w:type="gramStart"/>
      <w:r>
        <w:t>управление</w:t>
      </w:r>
      <w:proofErr w:type="gramEnd"/>
      <w:r>
        <w:t xml:space="preserve"> имуществом супругов, включая землю, непосредственно способствуют гендерному равенству в вопросах </w:t>
      </w:r>
      <w:r w:rsidR="001745DA">
        <w:t>распоряжения</w:t>
      </w:r>
      <w:r>
        <w:t xml:space="preserve"> землей.  </w:t>
      </w:r>
    </w:p>
    <w:p w:rsidR="003015BD" w:rsidRDefault="005B4C24" w:rsidP="005B4C24">
      <w:r>
        <w:t>Прокси-показатель проверяет, предусматривает ли национальное законодательство обязательное согласие супруга или партнера на совершение сделок с землей. Как и в случае с прокси-показателем</w:t>
      </w:r>
      <w:proofErr w:type="gramStart"/>
      <w:r>
        <w:t xml:space="preserve"> А</w:t>
      </w:r>
      <w:proofErr w:type="gramEnd"/>
      <w:r>
        <w:t xml:space="preserve"> оценка охватывает как состоящие в браке, так и неженатые пары. Тем не менее, для наличия прокси-показателя</w:t>
      </w:r>
      <w:proofErr w:type="gramStart"/>
      <w:r>
        <w:t xml:space="preserve"> </w:t>
      </w:r>
      <w:r w:rsidR="00CC11B6">
        <w:t>В</w:t>
      </w:r>
      <w:proofErr w:type="gramEnd"/>
      <w:r w:rsidR="00CC11B6">
        <w:t xml:space="preserve"> достаточно, чтобы была необходимость предоставления</w:t>
      </w:r>
      <w:r>
        <w:t xml:space="preserve"> </w:t>
      </w:r>
      <w:r w:rsidR="00CC11B6">
        <w:t>согласия супруга</w:t>
      </w:r>
      <w:r w:rsidR="007651F3">
        <w:t xml:space="preserve"> (супруги)</w:t>
      </w:r>
      <w:r>
        <w:t xml:space="preserve">, по крайней мере, для </w:t>
      </w:r>
      <w:r w:rsidR="00CC11B6">
        <w:t>женатых</w:t>
      </w:r>
      <w:r>
        <w:t xml:space="preserve"> пар.</w:t>
      </w:r>
    </w:p>
    <w:p w:rsidR="00CC11B6" w:rsidRDefault="00CC11B6" w:rsidP="00CC11B6">
      <w:r w:rsidRPr="00F94E94">
        <w:rPr>
          <w:b/>
        </w:rPr>
        <w:t>Прокси-показатель C:</w:t>
      </w:r>
      <w:r>
        <w:t xml:space="preserve"> Поддержива</w:t>
      </w:r>
      <w:r w:rsidR="001745DA">
        <w:t>е</w:t>
      </w:r>
      <w:r>
        <w:t>т ли правов</w:t>
      </w:r>
      <w:r w:rsidR="001745DA">
        <w:t>ая</w:t>
      </w:r>
      <w:r>
        <w:t xml:space="preserve"> и политическ</w:t>
      </w:r>
      <w:r w:rsidR="001745DA">
        <w:t>ая</w:t>
      </w:r>
      <w:r>
        <w:t xml:space="preserve"> </w:t>
      </w:r>
      <w:r w:rsidR="001745DA">
        <w:t>база</w:t>
      </w:r>
      <w:r>
        <w:t xml:space="preserve"> равные права женщин и девочек на наследование?</w:t>
      </w:r>
      <w:r w:rsidR="00A27D34">
        <w:t xml:space="preserve"> </w:t>
      </w:r>
    </w:p>
    <w:p w:rsidR="00CC11B6" w:rsidRDefault="00CC11B6" w:rsidP="00CC11B6">
      <w:r>
        <w:t xml:space="preserve">Наследование является одним из основных каналов, с помощью которых женщины приобретают собственность и обеспечивают себе независимые права на землю. Однако сохранение дискриминационных культурных и правовых норм часто лишает женщин и </w:t>
      </w:r>
      <w:proofErr w:type="gramStart"/>
      <w:r>
        <w:t>девочек</w:t>
      </w:r>
      <w:proofErr w:type="gramEnd"/>
      <w:r>
        <w:t xml:space="preserve"> равных прав наследования и ограничивает возможности женщин приобретать собс</w:t>
      </w:r>
      <w:r w:rsidR="00A27D34">
        <w:t>твенность наравне с мужчинами. Персональные</w:t>
      </w:r>
      <w:r>
        <w:t xml:space="preserve"> законы и обычаи, в частности, часто отказывают женщинам в праве на наследование или в наследовании в равных долях. Однако многие </w:t>
      </w:r>
      <w:proofErr w:type="spellStart"/>
      <w:r>
        <w:t>постколониальные</w:t>
      </w:r>
      <w:proofErr w:type="spellEnd"/>
      <w:r>
        <w:t xml:space="preserve"> правительства включили эти правила в официальную правовую архитектуру. В некоторых случаях дочери могут иметь право на наследование только в отсутствие родственника мужского пола. </w:t>
      </w:r>
      <w:r w:rsidR="00A27D34">
        <w:t xml:space="preserve"> </w:t>
      </w:r>
    </w:p>
    <w:p w:rsidR="00CC11B6" w:rsidRDefault="00A27D34" w:rsidP="00CC11B6">
      <w:r>
        <w:t xml:space="preserve">Прокси-показатель </w:t>
      </w:r>
      <w:r w:rsidR="00CC11B6">
        <w:t>C показывает, в какой степени национальные законы о наследовании по завещанию устанавливают равные права наследования для оставшихся в живых детей и супруг</w:t>
      </w:r>
      <w:proofErr w:type="gramStart"/>
      <w:r w:rsidR="00CC11B6">
        <w:t>а(</w:t>
      </w:r>
      <w:proofErr w:type="spellStart"/>
      <w:proofErr w:type="gramEnd"/>
      <w:r w:rsidR="00CC11B6">
        <w:t>ов</w:t>
      </w:r>
      <w:proofErr w:type="spellEnd"/>
      <w:r w:rsidR="00CC11B6">
        <w:t>) независимо от пола.</w:t>
      </w:r>
      <w:r>
        <w:t xml:space="preserve"> </w:t>
      </w:r>
    </w:p>
    <w:p w:rsidR="00CC11B6" w:rsidRDefault="00CC11B6" w:rsidP="00CC11B6">
      <w:r>
        <w:t xml:space="preserve">Этот </w:t>
      </w:r>
      <w:r w:rsidR="00A27D34">
        <w:t xml:space="preserve">прокси-показатель </w:t>
      </w:r>
      <w:r>
        <w:t xml:space="preserve">направлен на определение того, предусматривает ли правовая и политическая база страны, что:  </w:t>
      </w:r>
    </w:p>
    <w:p w:rsidR="00CC11B6" w:rsidRDefault="00CC11B6" w:rsidP="00CC11B6">
      <w:r>
        <w:t>1. Сыновья и дочери имеют равные права наследования и равные доли; и</w:t>
      </w:r>
    </w:p>
    <w:p w:rsidR="00CC11B6" w:rsidRDefault="00CC11B6" w:rsidP="00CC11B6">
      <w:r>
        <w:lastRenderedPageBreak/>
        <w:t>2. Оставшийся в живых супруг и/или партнер мужского и женского пола имеют равные права на имущество умершего супруга и/или на пожизненное пользование семейным домом.</w:t>
      </w:r>
    </w:p>
    <w:p w:rsidR="00CC11B6" w:rsidRDefault="00A27D34" w:rsidP="00CC11B6">
      <w:r>
        <w:t>Для наличия прокси-показателя</w:t>
      </w:r>
      <w:proofErr w:type="gramStart"/>
      <w:r>
        <w:t xml:space="preserve"> С</w:t>
      </w:r>
      <w:proofErr w:type="gramEnd"/>
      <w:r>
        <w:t xml:space="preserve"> з</w:t>
      </w:r>
      <w:r w:rsidR="00CC11B6">
        <w:t xml:space="preserve">акон должен предусматривать равные права наследования как для сыновей и дочерей, так и для </w:t>
      </w:r>
      <w:r>
        <w:t>оставшегося в живых супруга</w:t>
      </w:r>
      <w:r w:rsidR="007651F3">
        <w:t xml:space="preserve"> (супруги)</w:t>
      </w:r>
      <w:r>
        <w:t xml:space="preserve"> и/или партнера.</w:t>
      </w:r>
    </w:p>
    <w:p w:rsidR="007D0906" w:rsidRDefault="007D0906" w:rsidP="007D0906">
      <w:r w:rsidRPr="007D0906">
        <w:rPr>
          <w:b/>
        </w:rPr>
        <w:t>Прокси-показатель D:</w:t>
      </w:r>
      <w:r>
        <w:t xml:space="preserve"> </w:t>
      </w:r>
      <w:r w:rsidRPr="007D0906">
        <w:t>Предусматривает ли правовая и политическая база выделение финансовых ресурсов для расширения права собственнос</w:t>
      </w:r>
      <w:r>
        <w:t xml:space="preserve">ти женщин и </w:t>
      </w:r>
      <w:r w:rsidR="001745DA">
        <w:t>распоряжения</w:t>
      </w:r>
      <w:r>
        <w:t xml:space="preserve"> землей?</w:t>
      </w:r>
    </w:p>
    <w:p w:rsidR="007D0906" w:rsidRDefault="007D0906" w:rsidP="007D0906">
      <w:r>
        <w:t xml:space="preserve">Правовые реформы, направленные на поддержку гендерного равенства в области владения землей и/или </w:t>
      </w:r>
      <w:r w:rsidR="001745DA">
        <w:t>распоряжения</w:t>
      </w:r>
      <w:r>
        <w:t xml:space="preserve"> и доступа к другим производственным ресурсам, не всегда воплощались на практике. Слабое осуществление политики и законов, связанных с земельными ресурсами и сельским хозяйством, направленных на укрепление гендерного равенства, частично объясняется отсутствием или недостаточностью финансовых ресурсов. </w:t>
      </w:r>
    </w:p>
    <w:p w:rsidR="007D0906" w:rsidRDefault="007D0906" w:rsidP="007D0906">
      <w:r>
        <w:t xml:space="preserve">По этой причине этот </w:t>
      </w:r>
      <w:r w:rsidR="00F94E94">
        <w:t>прокси-</w:t>
      </w:r>
      <w:r>
        <w:t xml:space="preserve">показатель определяет любое правовое положение, обязывающее правительство выделять финансовые ресурсы для расширения прав собственности женщин на землю и </w:t>
      </w:r>
      <w:r w:rsidR="001745DA">
        <w:t>распоряжения ей</w:t>
      </w:r>
      <w:r>
        <w:t xml:space="preserve"> или доступа к производственным ресурсам, включая землю. Такие положения широко рассматриваются в качестве новаторских мер по поддержке прав женщин на землю и неизменно одобряются Комитетом КЛДЖ в ходе его обсуждений и замечаний по докладам государств-участников в соответствии с договором. Чтобы этот </w:t>
      </w:r>
      <w:r w:rsidR="00F94E94" w:rsidRPr="00F94E94">
        <w:t>прокси-</w:t>
      </w:r>
      <w:r w:rsidRPr="00F94E94">
        <w:t xml:space="preserve">показатель </w:t>
      </w:r>
      <w:r>
        <w:t>присутствовал, фонд должен быть закреплен в национальном законодательстве, в котором прямо упоминается цель улучшения земельных прав женщин.</w:t>
      </w:r>
      <w:r w:rsidR="00F94E94">
        <w:t xml:space="preserve"> </w:t>
      </w:r>
    </w:p>
    <w:p w:rsidR="007651F3" w:rsidRDefault="007D0906" w:rsidP="007D0906">
      <w:r>
        <w:t xml:space="preserve">Поскольку </w:t>
      </w:r>
      <w:r w:rsidR="00F94E94" w:rsidRPr="00F94E94">
        <w:t>прокси-</w:t>
      </w:r>
      <w:r w:rsidRPr="00F94E94">
        <w:t xml:space="preserve">показатель </w:t>
      </w:r>
      <w:r>
        <w:t xml:space="preserve">D представляет собой “специальную меру” в соответствии со статьей 4 КЛДЖ, страны, которые не включают эту меру в свою правовую базу, могут предоставить официальные национальные статистические данные, свидетельствующие о </w:t>
      </w:r>
      <w:proofErr w:type="gramStart"/>
      <w:r>
        <w:t>достижении</w:t>
      </w:r>
      <w:proofErr w:type="gramEnd"/>
      <w:r>
        <w:t xml:space="preserve"> по крайней мере 40 процентов владения женщинами землей и/или </w:t>
      </w:r>
      <w:r w:rsidR="001745DA">
        <w:t xml:space="preserve">распоряжения </w:t>
      </w:r>
      <w:r>
        <w:t xml:space="preserve">ей (например, данные по ЦУР 5.a.1 или 1.4.2.), чтобы соответствовать </w:t>
      </w:r>
      <w:r w:rsidR="00F94E94">
        <w:t xml:space="preserve">данному </w:t>
      </w:r>
      <w:r w:rsidR="00F94E94" w:rsidRPr="00F94E94">
        <w:t>прокси-</w:t>
      </w:r>
      <w:r w:rsidR="00F94E94">
        <w:t>показателю</w:t>
      </w:r>
      <w:r>
        <w:t>.</w:t>
      </w:r>
      <w:r w:rsidR="00F94E94">
        <w:t xml:space="preserve"> </w:t>
      </w:r>
    </w:p>
    <w:p w:rsidR="00382626" w:rsidRDefault="00382626" w:rsidP="00382626">
      <w:r w:rsidRPr="00CB22F7">
        <w:rPr>
          <w:b/>
        </w:rPr>
        <w:t>Прокси-показатель E:</w:t>
      </w:r>
      <w:r>
        <w:t xml:space="preserve"> </w:t>
      </w:r>
      <w:r w:rsidR="00CB22F7" w:rsidRPr="00CB22F7">
        <w:t>В правовых системах, признающих традиционное землевладение, защищает ли правовая и политиче</w:t>
      </w:r>
      <w:r w:rsidR="00CB22F7">
        <w:t>ская база права женщин на землю</w:t>
      </w:r>
      <w:r>
        <w:t>?</w:t>
      </w:r>
    </w:p>
    <w:p w:rsidR="00382626" w:rsidRDefault="00382626" w:rsidP="00382626">
      <w:r>
        <w:t>Многие страны включили традиционные права землевладения в официальную правов</w:t>
      </w:r>
      <w:r w:rsidR="00CB22F7">
        <w:t>ую систему, фактически «оформив»</w:t>
      </w:r>
      <w:r>
        <w:t xml:space="preserve"> их. Однако юридическое признание традиционного землевладения может усилить дискриминационную практику в тех случаях, когда нет четкой защиты традиционных прав женщин на землю. Кроме того, использование нейтральных с гендерной точки зрения положений в контексте официального оформления обычного землевладения на практике было связано с недостаточной защитой прав женщин. Чтобы избежать подобных последствий, четкие положения, защищающие права женщин на землю, должны сопровождаться правовыми положениями, признающими традиционные права на землю. </w:t>
      </w:r>
    </w:p>
    <w:p w:rsidR="00382626" w:rsidRDefault="00382626" w:rsidP="00382626"/>
    <w:p w:rsidR="00382626" w:rsidRDefault="00CB22F7" w:rsidP="00382626">
      <w:r>
        <w:lastRenderedPageBreak/>
        <w:t>Прокси-</w:t>
      </w:r>
      <w:r w:rsidR="00382626">
        <w:t xml:space="preserve">показатель E оценивает, защищает ли Конституция и/или любой закон, касающийся земли, который признает </w:t>
      </w:r>
      <w:r w:rsidRPr="00CB22F7">
        <w:t xml:space="preserve">традиционное </w:t>
      </w:r>
      <w:r w:rsidR="00382626">
        <w:t>землев</w:t>
      </w:r>
      <w:r>
        <w:t xml:space="preserve">ладение, права женщин на землю. </w:t>
      </w:r>
    </w:p>
    <w:p w:rsidR="00382626" w:rsidRDefault="00382626" w:rsidP="00382626">
      <w:r>
        <w:t xml:space="preserve">Важно отметить, что для тех стран, где обычное право не было включено в правовую базу, </w:t>
      </w:r>
      <w:r w:rsidR="00CB22F7">
        <w:t>прокси-</w:t>
      </w:r>
      <w:r>
        <w:t xml:space="preserve">показатель E неприменим и не будет учитываться при расчете. Как отмечалось выше, </w:t>
      </w:r>
      <w:r w:rsidR="001C6E80" w:rsidRPr="001C6E80">
        <w:t>традиционн</w:t>
      </w:r>
      <w:r w:rsidR="001C6E80">
        <w:t>ый</w:t>
      </w:r>
      <w:r>
        <w:t xml:space="preserve"> аспект этого показателя будет учитываться только тогда, когда он будет признан юридически.</w:t>
      </w:r>
    </w:p>
    <w:p w:rsidR="001C6E80" w:rsidRDefault="00534C30" w:rsidP="001C6E80">
      <w:r>
        <w:rPr>
          <w:b/>
        </w:rPr>
        <w:t>Прокси-</w:t>
      </w:r>
      <w:r w:rsidR="001C6E80" w:rsidRPr="001C6E80">
        <w:rPr>
          <w:b/>
        </w:rPr>
        <w:t>показатель F:</w:t>
      </w:r>
      <w:r w:rsidR="001C6E80">
        <w:t xml:space="preserve"> Предусматривает ли нормативно-правовая база участие женщин в управлении земельными ресурсами и административных учреждениях?</w:t>
      </w:r>
    </w:p>
    <w:p w:rsidR="001C6E80" w:rsidRDefault="001C6E80" w:rsidP="001C6E80">
      <w:r>
        <w:t xml:space="preserve">Учреждения, связанные с земельными ресурсами, отвечают за регулирование систем землевладения и отвечают за управление земельными ресурсами. Женщины часто отстранены от участия в повседневных процессах управления земельными ресурсами на всех уровнях и, следовательно, имеют ограниченные возможности влиять на процесс принятия решений. </w:t>
      </w:r>
      <w:proofErr w:type="gramStart"/>
      <w:r>
        <w:t>Недостаточная</w:t>
      </w:r>
      <w:proofErr w:type="gramEnd"/>
      <w:r>
        <w:t xml:space="preserve"> представленность женщин в управлении земельными ресурсами, как правило, приводит к предвзятым результатам в процессах учета земель и </w:t>
      </w:r>
      <w:r w:rsidR="009C780C">
        <w:t xml:space="preserve">их </w:t>
      </w:r>
      <w:r>
        <w:t xml:space="preserve">постановки на учет и препятствует удовлетворению претензий женщин на землю, например, из-за игнорирования прав женщин на общие земли. </w:t>
      </w:r>
    </w:p>
    <w:p w:rsidR="001C6E80" w:rsidRDefault="009C780C" w:rsidP="001C6E80">
      <w:r>
        <w:t>Прокси-</w:t>
      </w:r>
      <w:r w:rsidR="001C6E80">
        <w:t xml:space="preserve">показатель F </w:t>
      </w:r>
      <w:proofErr w:type="gramStart"/>
      <w:r w:rsidR="001C6E80">
        <w:t>направлен</w:t>
      </w:r>
      <w:proofErr w:type="gramEnd"/>
      <w:r w:rsidR="001C6E80">
        <w:t xml:space="preserve"> на выявление положений в рамках правовой базы, требующих обязательного участия женщин (квот) в учреждениях, связанных с управлением земельными ресурсами.</w:t>
      </w:r>
    </w:p>
    <w:p w:rsidR="001C6E80" w:rsidRPr="001C6E80" w:rsidRDefault="001C6E80" w:rsidP="001C6E80">
      <w:r>
        <w:t xml:space="preserve">Поскольку косвенный показатель F представляет собой “специальную меру” в соответствии со статьей 4 КЛДЖ, страны, которые не включают эту меру в свои правовые и политические рамки, тем не </w:t>
      </w:r>
      <w:proofErr w:type="gramStart"/>
      <w:r>
        <w:t>менее</w:t>
      </w:r>
      <w:proofErr w:type="gramEnd"/>
      <w:r>
        <w:t xml:space="preserve"> предоставляют официальные национальные статистические данные, свидетельствующие о достижении по меньшей мере 40 процентов владения женщинами землей и/или </w:t>
      </w:r>
      <w:r w:rsidR="001745DA">
        <w:t>распоряжения ей</w:t>
      </w:r>
      <w:r>
        <w:t xml:space="preserve"> (например, данные по ЦУР 5.a.1 или 1.4.2.), в равной степени удовлетворит </w:t>
      </w:r>
      <w:proofErr w:type="gramStart"/>
      <w:r w:rsidR="009C780C">
        <w:t>данному</w:t>
      </w:r>
      <w:proofErr w:type="gramEnd"/>
      <w:r>
        <w:t xml:space="preserve"> </w:t>
      </w:r>
      <w:r w:rsidR="009C780C">
        <w:t>прокси-</w:t>
      </w:r>
      <w:r>
        <w:t>показателю.</w:t>
      </w:r>
    </w:p>
    <w:p w:rsidR="002E15F9" w:rsidRDefault="002E15F9" w:rsidP="00D273C6">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r w:rsidR="005B4C24">
        <w:rPr>
          <w:b/>
          <w:color w:val="auto"/>
          <w:sz w:val="24"/>
          <w:szCs w:val="24"/>
          <w:lang w:val="ru-RU"/>
        </w:rPr>
        <w:t xml:space="preserve"> </w:t>
      </w:r>
    </w:p>
    <w:p w:rsidR="00063136" w:rsidRPr="00063136" w:rsidRDefault="00063136" w:rsidP="00063136">
      <w:r w:rsidRPr="00063136">
        <w:t xml:space="preserve">Обычное право </w:t>
      </w:r>
    </w:p>
    <w:p w:rsidR="00063136" w:rsidRDefault="00063136" w:rsidP="00063136">
      <w:r w:rsidRPr="00063136">
        <w:t xml:space="preserve">Поскольку обычное право не является однородной правовой системой, оценить, устанавливает ли оно равные права на владение землей и/или </w:t>
      </w:r>
      <w:r w:rsidR="001745DA">
        <w:t>распоряжения ей</w:t>
      </w:r>
      <w:r w:rsidRPr="00063136">
        <w:t xml:space="preserve"> для женщин и мужчин, очень сложно. Таким образом, методология определяет, что обычное право будет рассматриваться только в той мере, в какой оно признано в правовой базе. Однако это также означает, что представленные данные не охватывают правовые системы, в которых обычное право не было официально оформлено, но продолжает регулировать семейные и земельные вопросы, что, возможно, является основным фактором дискриминации в отношении женщин. Кроме того, учитывая, что обычное право существует не во всех странах, оно не является универсально применимым. Методология решила эту проблему путем создания двойной системы вычисления результатов, которая объясняется ниже в разделе 4.</w:t>
      </w:r>
    </w:p>
    <w:p w:rsidR="00063136" w:rsidRDefault="00063136" w:rsidP="00063136">
      <w:pPr>
        <w:pStyle w:val="a0"/>
      </w:pPr>
    </w:p>
    <w:p w:rsidR="00063136" w:rsidRDefault="00063136" w:rsidP="00063136">
      <w:pPr>
        <w:pStyle w:val="a0"/>
      </w:pPr>
    </w:p>
    <w:p w:rsidR="00063136" w:rsidRPr="00063136" w:rsidRDefault="00063136" w:rsidP="00063136">
      <w:pPr>
        <w:pStyle w:val="a0"/>
      </w:pPr>
    </w:p>
    <w:p w:rsidR="00063136" w:rsidRPr="00063136" w:rsidRDefault="00063136" w:rsidP="00063136">
      <w:r w:rsidRPr="00063136">
        <w:lastRenderedPageBreak/>
        <w:t xml:space="preserve">Географический охват. </w:t>
      </w:r>
    </w:p>
    <w:p w:rsidR="00063136" w:rsidRPr="00063136" w:rsidRDefault="00063136" w:rsidP="00063136">
      <w:r w:rsidRPr="00063136">
        <w:t>Данные</w:t>
      </w:r>
      <w:r>
        <w:t xml:space="preserve"> по показателю</w:t>
      </w:r>
      <w:r w:rsidRPr="00063136">
        <w:t xml:space="preserve"> 5.a.2 ЦУР, собираются на национальном уровне, чтобы гарантировать, что они адекватно отражают национальную правовую систему. Это означает, что оценка 5.a.2 для определения наличия </w:t>
      </w:r>
      <w:r>
        <w:t>прокси-</w:t>
      </w:r>
      <w:r w:rsidRPr="00063136">
        <w:t xml:space="preserve">показателей должна быть сосредоточена на правовых и политических инструментах, имеющих общенациональный авторитет. В странах, где законодательные полномочия по земельным или гендерным вопросам не принадлежат центральному органу власти (или распределяются между национальным правительством и субнациональным правительством), для оценки может потребоваться анализ законов на уровне штата, провинции или графства. </w:t>
      </w:r>
      <w:proofErr w:type="gramStart"/>
      <w:r w:rsidRPr="00063136">
        <w:t xml:space="preserve">Однако любое исследование на субнациональном уровне может быть проведено только после составления карты и анализа соответствующих положений всеобъемлющей правовой базы на конституционном и федеральном уровнях для целенаправленного и эффективного процесса сбора данных. </w:t>
      </w:r>
      <w:proofErr w:type="gramEnd"/>
    </w:p>
    <w:p w:rsidR="00063136" w:rsidRDefault="00063136" w:rsidP="00063136">
      <w:r w:rsidRPr="00063136">
        <w:t>В случае</w:t>
      </w:r>
      <w:r>
        <w:t xml:space="preserve"> </w:t>
      </w:r>
      <w:r w:rsidRPr="00063136">
        <w:t xml:space="preserve">если для оценки потребуется сбор и анализ данных на субнациональном уровне, будет создана выборка штатов, провинций или округов, включая наиболее густонаселенные штаты, вплоть до достижения 50 процентов от общей численности населения страны. Поскольку результаты должны иметь общенациональную силу, </w:t>
      </w:r>
      <w:r>
        <w:t>прокси-</w:t>
      </w:r>
      <w:r w:rsidRPr="00063136">
        <w:t xml:space="preserve">показатель должен быть указан в законах каждого штата, провинции или округа, входящих в выборку. Если это не так, то </w:t>
      </w:r>
      <w:r>
        <w:t>прокси-</w:t>
      </w:r>
      <w:r w:rsidRPr="00063136">
        <w:t>показатель отсутствует.</w:t>
      </w:r>
    </w:p>
    <w:p w:rsidR="00D273C6" w:rsidRPr="00063136" w:rsidRDefault="002E15F9" w:rsidP="00063136">
      <w:pPr>
        <w:pStyle w:val="MHeader2"/>
        <w:spacing w:line="276" w:lineRule="auto"/>
        <w:rPr>
          <w:b/>
          <w:color w:val="auto"/>
          <w:sz w:val="24"/>
          <w:szCs w:val="24"/>
          <w:lang w:val="ru-RU"/>
        </w:rPr>
      </w:pPr>
      <w:r w:rsidRPr="00063136">
        <w:rPr>
          <w:b/>
          <w:color w:val="auto"/>
          <w:sz w:val="24"/>
          <w:szCs w:val="24"/>
          <w:lang w:val="ru-RU"/>
        </w:rPr>
        <w:t xml:space="preserve">4.c. </w:t>
      </w:r>
      <w:r w:rsidR="00CA1CB1" w:rsidRPr="00063136">
        <w:rPr>
          <w:b/>
          <w:color w:val="auto"/>
          <w:sz w:val="24"/>
          <w:szCs w:val="24"/>
          <w:lang w:val="ru-RU"/>
        </w:rPr>
        <w:t xml:space="preserve">Метод расчета </w:t>
      </w:r>
    </w:p>
    <w:p w:rsidR="0052491B" w:rsidRPr="0052491B" w:rsidRDefault="0052491B" w:rsidP="0052491B">
      <w:pPr>
        <w:pStyle w:val="a0"/>
        <w:spacing w:after="200"/>
        <w:rPr>
          <w:rFonts w:cs="Times New Roman"/>
          <w:szCs w:val="24"/>
        </w:rPr>
      </w:pPr>
      <w:r w:rsidRPr="0052491B">
        <w:rPr>
          <w:rFonts w:cs="Times New Roman"/>
          <w:szCs w:val="24"/>
        </w:rPr>
        <w:t>Качественный и правовой характер этого показателя потребовал разработки детализированной и четко сформулированной методологии, которая могла бы быть осуществимой, униве</w:t>
      </w:r>
      <w:r>
        <w:rPr>
          <w:rFonts w:cs="Times New Roman"/>
          <w:szCs w:val="24"/>
        </w:rPr>
        <w:t xml:space="preserve">рсально актуальной и значимой. </w:t>
      </w:r>
    </w:p>
    <w:p w:rsidR="0052491B" w:rsidRPr="0052491B" w:rsidRDefault="0052491B" w:rsidP="0052491B">
      <w:pPr>
        <w:pStyle w:val="a0"/>
        <w:spacing w:after="200"/>
        <w:rPr>
          <w:rFonts w:cs="Times New Roman"/>
          <w:szCs w:val="24"/>
        </w:rPr>
      </w:pPr>
      <w:r w:rsidRPr="0052491B">
        <w:rPr>
          <w:rFonts w:cs="Times New Roman"/>
          <w:szCs w:val="24"/>
        </w:rPr>
        <w:t xml:space="preserve">Расчет результатов по показателю 5.a.2 включает в себя два этапа: (1) классификацию страны в соответствии с количеством </w:t>
      </w:r>
      <w:r>
        <w:rPr>
          <w:rFonts w:cs="Times New Roman"/>
          <w:szCs w:val="24"/>
        </w:rPr>
        <w:t>прокси-</w:t>
      </w:r>
      <w:r w:rsidRPr="0052491B">
        <w:rPr>
          <w:rFonts w:cs="Times New Roman"/>
          <w:szCs w:val="24"/>
        </w:rPr>
        <w:t>показателей, содержащихся в первичном или первичном и вторичном законодательстве, и (2) объединение результатов по всем стр</w:t>
      </w:r>
      <w:r>
        <w:rPr>
          <w:rFonts w:cs="Times New Roman"/>
          <w:szCs w:val="24"/>
        </w:rPr>
        <w:t>анам для глобальной отчетности.</w:t>
      </w:r>
    </w:p>
    <w:p w:rsidR="0052491B" w:rsidRPr="0052491B" w:rsidRDefault="0052491B" w:rsidP="0052491B">
      <w:pPr>
        <w:pStyle w:val="a0"/>
        <w:spacing w:after="200"/>
        <w:rPr>
          <w:rFonts w:cs="Times New Roman"/>
          <w:szCs w:val="24"/>
        </w:rPr>
      </w:pPr>
      <w:r w:rsidRPr="0052491B">
        <w:rPr>
          <w:rFonts w:cs="Times New Roman"/>
          <w:szCs w:val="24"/>
        </w:rPr>
        <w:t xml:space="preserve">Шаг 1: </w:t>
      </w:r>
      <w:r>
        <w:rPr>
          <w:rFonts w:cs="Times New Roman"/>
          <w:szCs w:val="24"/>
        </w:rPr>
        <w:t xml:space="preserve">Классификация категорий страны </w:t>
      </w:r>
    </w:p>
    <w:p w:rsidR="0052491B" w:rsidRPr="0052491B" w:rsidRDefault="0052491B" w:rsidP="0052491B">
      <w:pPr>
        <w:pStyle w:val="a0"/>
        <w:spacing w:after="200"/>
        <w:rPr>
          <w:rFonts w:cs="Times New Roman"/>
          <w:szCs w:val="24"/>
        </w:rPr>
      </w:pPr>
      <w:r w:rsidRPr="0052491B">
        <w:rPr>
          <w:rFonts w:cs="Times New Roman"/>
          <w:szCs w:val="24"/>
        </w:rPr>
        <w:t xml:space="preserve">Страна будет классифицирована в соответствии с общим количеством </w:t>
      </w:r>
      <w:r>
        <w:rPr>
          <w:rFonts w:cs="Times New Roman"/>
          <w:szCs w:val="24"/>
        </w:rPr>
        <w:t>прокси-</w:t>
      </w:r>
      <w:r w:rsidRPr="0052491B">
        <w:rPr>
          <w:rFonts w:cs="Times New Roman"/>
          <w:szCs w:val="24"/>
        </w:rPr>
        <w:t xml:space="preserve">показателей, содержащихся в первичном законодательстве или в первичном и подзаконных актах. Учитывая, что не все страны признают традиционное землевладение </w:t>
      </w:r>
      <w:r>
        <w:rPr>
          <w:rFonts w:cs="Times New Roman"/>
          <w:szCs w:val="24"/>
        </w:rPr>
        <w:t>или обычное право (связанное с прокси-показателем</w:t>
      </w:r>
      <w:r w:rsidRPr="0052491B">
        <w:rPr>
          <w:rFonts w:cs="Times New Roman"/>
          <w:szCs w:val="24"/>
        </w:rPr>
        <w:t xml:space="preserve"> E), был разработан двойной подход к вычисл</w:t>
      </w:r>
      <w:r>
        <w:rPr>
          <w:rFonts w:cs="Times New Roman"/>
          <w:szCs w:val="24"/>
        </w:rPr>
        <w:t xml:space="preserve">ению национальных результатов: </w:t>
      </w:r>
    </w:p>
    <w:p w:rsidR="0052491B" w:rsidRPr="0052491B" w:rsidRDefault="0052491B" w:rsidP="0052491B">
      <w:pPr>
        <w:pStyle w:val="a0"/>
        <w:spacing w:after="200"/>
        <w:rPr>
          <w:rFonts w:cs="Times New Roman"/>
          <w:szCs w:val="24"/>
        </w:rPr>
      </w:pPr>
      <w:r w:rsidRPr="0052491B">
        <w:rPr>
          <w:rFonts w:cs="Times New Roman"/>
          <w:szCs w:val="24"/>
        </w:rPr>
        <w:t xml:space="preserve">• Для стран, где традиционное землевладение НЕ признано в правовой базе (ни законом, ни конституцией), независимо от того, существует ли оно де-факто или нет, </w:t>
      </w:r>
      <w:r>
        <w:rPr>
          <w:rFonts w:cs="Times New Roman"/>
          <w:szCs w:val="24"/>
        </w:rPr>
        <w:t>прокси-</w:t>
      </w:r>
      <w:r w:rsidRPr="0052491B">
        <w:rPr>
          <w:rFonts w:cs="Times New Roman"/>
          <w:szCs w:val="24"/>
        </w:rPr>
        <w:t>показатель E помечен как неприменимый, и страна будет оцениваться по пяти ост</w:t>
      </w:r>
      <w:r>
        <w:rPr>
          <w:rFonts w:cs="Times New Roman"/>
          <w:szCs w:val="24"/>
        </w:rPr>
        <w:t xml:space="preserve">авшимся прокси-показателям. </w:t>
      </w:r>
    </w:p>
    <w:p w:rsidR="0052491B" w:rsidRPr="0052491B" w:rsidRDefault="0052491B" w:rsidP="0052491B">
      <w:pPr>
        <w:pStyle w:val="a0"/>
        <w:spacing w:after="200"/>
        <w:rPr>
          <w:rFonts w:cs="Times New Roman"/>
          <w:szCs w:val="24"/>
        </w:rPr>
      </w:pPr>
      <w:r w:rsidRPr="0052491B">
        <w:rPr>
          <w:rFonts w:cs="Times New Roman"/>
          <w:szCs w:val="24"/>
        </w:rPr>
        <w:t>• Для стран, где традиционное землевладение признано в правовой базе, страна будет оцениваться по вс</w:t>
      </w:r>
      <w:r>
        <w:rPr>
          <w:rFonts w:cs="Times New Roman"/>
          <w:szCs w:val="24"/>
        </w:rPr>
        <w:t>ем шести прокси-показателям,</w:t>
      </w:r>
    </w:p>
    <w:p w:rsidR="0052491B" w:rsidRDefault="0052491B" w:rsidP="0052491B">
      <w:pPr>
        <w:pStyle w:val="a0"/>
        <w:spacing w:after="200" w:line="276" w:lineRule="auto"/>
        <w:rPr>
          <w:rFonts w:cs="Times New Roman"/>
          <w:szCs w:val="24"/>
        </w:rPr>
      </w:pPr>
      <w:r w:rsidRPr="0052491B">
        <w:rPr>
          <w:rFonts w:cs="Times New Roman"/>
          <w:szCs w:val="24"/>
        </w:rPr>
        <w:t>В таблице ниже описывается двойной подход к вычислению результатов и диапазонов классификации. Как показано ниже, в странах, где применяется обычное право (</w:t>
      </w:r>
      <w:r>
        <w:rPr>
          <w:rFonts w:cs="Times New Roman"/>
          <w:szCs w:val="24"/>
        </w:rPr>
        <w:t>прокси-</w:t>
      </w:r>
      <w:r w:rsidRPr="0052491B">
        <w:rPr>
          <w:rFonts w:cs="Times New Roman"/>
          <w:szCs w:val="24"/>
        </w:rPr>
        <w:t xml:space="preserve">показатель E), наличие пяти или шести </w:t>
      </w:r>
      <w:r>
        <w:rPr>
          <w:rFonts w:cs="Times New Roman"/>
          <w:szCs w:val="24"/>
        </w:rPr>
        <w:t>прокс</w:t>
      </w:r>
      <w:proofErr w:type="gramStart"/>
      <w:r>
        <w:rPr>
          <w:rFonts w:cs="Times New Roman"/>
          <w:szCs w:val="24"/>
        </w:rPr>
        <w:t>и-</w:t>
      </w:r>
      <w:proofErr w:type="gramEnd"/>
      <w:r w:rsidRPr="0052491B">
        <w:rPr>
          <w:rFonts w:cs="Times New Roman"/>
          <w:szCs w:val="24"/>
        </w:rPr>
        <w:t xml:space="preserve"> показателей включено в один и тот же </w:t>
      </w:r>
      <w:r w:rsidRPr="0052491B">
        <w:rPr>
          <w:rFonts w:cs="Times New Roman"/>
          <w:szCs w:val="24"/>
        </w:rPr>
        <w:lastRenderedPageBreak/>
        <w:t>диапазон (диапазон 6 - очень высокий уровень гарантий). Это связано с необходимостью придания универсального характера исчислению составляющей обычного права, которая не является универсальной и не всегда формализована в правовой системе.</w:t>
      </w:r>
    </w:p>
    <w:p w:rsidR="00947FA7" w:rsidRPr="00FD7F23" w:rsidRDefault="00947FA7" w:rsidP="00947FA7">
      <w:pPr>
        <w:pStyle w:val="a0"/>
        <w:spacing w:after="200" w:line="276" w:lineRule="auto"/>
        <w:rPr>
          <w:rFonts w:cs="Times New Roman"/>
          <w:i/>
          <w:szCs w:val="24"/>
        </w:rPr>
      </w:pPr>
      <w:r w:rsidRPr="00FD7F23">
        <w:rPr>
          <w:rFonts w:cs="Times New Roman"/>
          <w:i/>
          <w:szCs w:val="24"/>
        </w:rPr>
        <w:t>Таблица 1: Категории классификации</w:t>
      </w:r>
    </w:p>
    <w:tbl>
      <w:tblPr>
        <w:tblStyle w:val="ab"/>
        <w:tblW w:w="0" w:type="auto"/>
        <w:tblLook w:val="04A0" w:firstRow="1" w:lastRow="0" w:firstColumn="1" w:lastColumn="0" w:noHBand="0" w:noVBand="1"/>
      </w:tblPr>
      <w:tblGrid>
        <w:gridCol w:w="3190"/>
        <w:gridCol w:w="3190"/>
        <w:gridCol w:w="3191"/>
      </w:tblGrid>
      <w:tr w:rsidR="00947FA7" w:rsidRPr="008868E0" w:rsidTr="00947FA7">
        <w:tc>
          <w:tcPr>
            <w:tcW w:w="3190" w:type="dxa"/>
            <w:shd w:val="clear" w:color="auto" w:fill="4F81BD" w:themeFill="accent1"/>
          </w:tcPr>
          <w:p w:rsidR="00947FA7" w:rsidRPr="0052491B" w:rsidRDefault="00947FA7" w:rsidP="006B33DD">
            <w:pPr>
              <w:pStyle w:val="a0"/>
              <w:spacing w:line="276" w:lineRule="auto"/>
              <w:jc w:val="center"/>
              <w:rPr>
                <w:rFonts w:cs="Times New Roman"/>
                <w:b/>
                <w:color w:val="FFFFFF" w:themeColor="background1"/>
              </w:rPr>
            </w:pPr>
            <w:r w:rsidRPr="0052491B">
              <w:rPr>
                <w:rFonts w:cs="Times New Roman"/>
                <w:b/>
                <w:color w:val="FFFFFF" w:themeColor="background1"/>
              </w:rPr>
              <w:t>Результаты оценки</w:t>
            </w:r>
            <w:r w:rsidR="0052491B">
              <w:rPr>
                <w:rFonts w:cs="Times New Roman"/>
                <w:b/>
                <w:color w:val="FFFFFF" w:themeColor="background1"/>
              </w:rPr>
              <w:t>,</w:t>
            </w:r>
          </w:p>
          <w:p w:rsidR="00947FA7" w:rsidRPr="0052491B" w:rsidRDefault="0052491B" w:rsidP="006B33DD">
            <w:pPr>
              <w:pStyle w:val="a0"/>
              <w:spacing w:line="276" w:lineRule="auto"/>
              <w:jc w:val="center"/>
              <w:rPr>
                <w:rFonts w:cs="Times New Roman"/>
                <w:color w:val="FFFFFF" w:themeColor="background1"/>
              </w:rPr>
            </w:pPr>
            <w:r>
              <w:rPr>
                <w:rFonts w:cs="Times New Roman"/>
                <w:b/>
                <w:color w:val="FFFFFF" w:themeColor="background1"/>
              </w:rPr>
              <w:t>г</w:t>
            </w:r>
            <w:r w:rsidR="00947FA7" w:rsidRPr="0052491B">
              <w:rPr>
                <w:rFonts w:cs="Times New Roman"/>
                <w:b/>
                <w:color w:val="FFFFFF" w:themeColor="background1"/>
              </w:rPr>
              <w:t>де Прокси</w:t>
            </w:r>
            <w:r>
              <w:rPr>
                <w:rFonts w:cs="Times New Roman"/>
                <w:b/>
                <w:color w:val="FFFFFF" w:themeColor="background1"/>
              </w:rPr>
              <w:t>-показатель</w:t>
            </w:r>
            <w:r w:rsidR="00947FA7" w:rsidRPr="0052491B">
              <w:rPr>
                <w:rFonts w:cs="Times New Roman"/>
                <w:b/>
                <w:color w:val="FFFFFF" w:themeColor="background1"/>
              </w:rPr>
              <w:t xml:space="preserve"> </w:t>
            </w:r>
            <w:r w:rsidR="00947FA7" w:rsidRPr="0052491B">
              <w:rPr>
                <w:rFonts w:cs="Times New Roman"/>
                <w:b/>
                <w:color w:val="FFFFFF" w:themeColor="background1"/>
                <w:lang w:val="en-US"/>
              </w:rPr>
              <w:t>E</w:t>
            </w:r>
            <w:r w:rsidR="00947FA7" w:rsidRPr="0052491B">
              <w:rPr>
                <w:rFonts w:cs="Times New Roman"/>
                <w:b/>
                <w:color w:val="FFFFFF" w:themeColor="background1"/>
              </w:rPr>
              <w:t xml:space="preserve"> </w:t>
            </w:r>
            <w:r w:rsidR="00947FA7" w:rsidRPr="0052491B">
              <w:rPr>
                <w:rFonts w:cs="Times New Roman"/>
                <w:b/>
                <w:color w:val="FFFFFF" w:themeColor="background1"/>
                <w:u w:val="single"/>
              </w:rPr>
              <w:t>применим</w:t>
            </w:r>
            <w:r w:rsidR="00947FA7" w:rsidRPr="0052491B">
              <w:rPr>
                <w:rStyle w:val="a7"/>
                <w:rFonts w:cs="Times New Roman"/>
                <w:b/>
                <w:color w:val="FFFFFF" w:themeColor="background1"/>
              </w:rPr>
              <w:footnoteReference w:id="1"/>
            </w:r>
          </w:p>
        </w:tc>
        <w:tc>
          <w:tcPr>
            <w:tcW w:w="3190" w:type="dxa"/>
            <w:shd w:val="clear" w:color="auto" w:fill="4F81BD" w:themeFill="accent1"/>
          </w:tcPr>
          <w:p w:rsidR="00947FA7" w:rsidRPr="0052491B" w:rsidRDefault="00947FA7" w:rsidP="006B33DD">
            <w:pPr>
              <w:pStyle w:val="a0"/>
              <w:spacing w:line="276" w:lineRule="auto"/>
              <w:jc w:val="center"/>
              <w:rPr>
                <w:rFonts w:cs="Times New Roman"/>
                <w:b/>
                <w:color w:val="FFFFFF" w:themeColor="background1"/>
              </w:rPr>
            </w:pPr>
            <w:r w:rsidRPr="0052491B">
              <w:rPr>
                <w:rFonts w:cs="Times New Roman"/>
                <w:b/>
                <w:color w:val="FFFFFF" w:themeColor="background1"/>
              </w:rPr>
              <w:t>Результаты оценки</w:t>
            </w:r>
            <w:r w:rsidR="0052491B">
              <w:rPr>
                <w:rFonts w:cs="Times New Roman"/>
                <w:b/>
                <w:color w:val="FFFFFF" w:themeColor="background1"/>
              </w:rPr>
              <w:t>,</w:t>
            </w:r>
          </w:p>
          <w:p w:rsidR="00947FA7" w:rsidRPr="0052491B" w:rsidRDefault="0052491B" w:rsidP="006B33DD">
            <w:pPr>
              <w:pStyle w:val="a0"/>
              <w:spacing w:line="276" w:lineRule="auto"/>
              <w:jc w:val="center"/>
              <w:rPr>
                <w:rFonts w:cs="Times New Roman"/>
                <w:color w:val="FFFFFF" w:themeColor="background1"/>
              </w:rPr>
            </w:pPr>
            <w:r>
              <w:rPr>
                <w:rFonts w:cs="Times New Roman"/>
                <w:b/>
                <w:color w:val="FFFFFF" w:themeColor="background1"/>
              </w:rPr>
              <w:t>г</w:t>
            </w:r>
            <w:r w:rsidR="00947FA7" w:rsidRPr="0052491B">
              <w:rPr>
                <w:rFonts w:cs="Times New Roman"/>
                <w:b/>
                <w:color w:val="FFFFFF" w:themeColor="background1"/>
              </w:rPr>
              <w:t xml:space="preserve">де </w:t>
            </w:r>
            <w:r w:rsidRPr="0052491B">
              <w:rPr>
                <w:rFonts w:cs="Times New Roman"/>
                <w:b/>
                <w:color w:val="FFFFFF" w:themeColor="background1"/>
              </w:rPr>
              <w:t>Прокси</w:t>
            </w:r>
            <w:r>
              <w:rPr>
                <w:rFonts w:cs="Times New Roman"/>
                <w:b/>
                <w:color w:val="FFFFFF" w:themeColor="background1"/>
              </w:rPr>
              <w:t>-показатель</w:t>
            </w:r>
            <w:r w:rsidR="00947FA7" w:rsidRPr="0052491B">
              <w:rPr>
                <w:rFonts w:cs="Times New Roman"/>
                <w:b/>
                <w:color w:val="FFFFFF" w:themeColor="background1"/>
              </w:rPr>
              <w:t xml:space="preserve"> </w:t>
            </w:r>
            <w:r w:rsidR="00947FA7" w:rsidRPr="0052491B">
              <w:rPr>
                <w:rFonts w:cs="Times New Roman"/>
                <w:b/>
                <w:color w:val="FFFFFF" w:themeColor="background1"/>
                <w:lang w:val="en-US"/>
              </w:rPr>
              <w:t>E</w:t>
            </w:r>
            <w:r w:rsidR="00947FA7" w:rsidRPr="0052491B">
              <w:rPr>
                <w:rFonts w:cs="Times New Roman"/>
                <w:b/>
                <w:color w:val="FFFFFF" w:themeColor="background1"/>
              </w:rPr>
              <w:t xml:space="preserve"> </w:t>
            </w:r>
            <w:r w:rsidR="00947FA7" w:rsidRPr="0052491B">
              <w:rPr>
                <w:rFonts w:cs="Times New Roman"/>
                <w:b/>
                <w:color w:val="FFFFFF" w:themeColor="background1"/>
                <w:u w:val="single"/>
              </w:rPr>
              <w:t>не</w:t>
            </w:r>
            <w:r w:rsidR="00947FA7" w:rsidRPr="0052491B">
              <w:rPr>
                <w:rFonts w:cs="Times New Roman"/>
                <w:b/>
                <w:color w:val="FFFFFF" w:themeColor="background1"/>
              </w:rPr>
              <w:t xml:space="preserve"> применим</w:t>
            </w:r>
          </w:p>
        </w:tc>
        <w:tc>
          <w:tcPr>
            <w:tcW w:w="3191" w:type="dxa"/>
            <w:shd w:val="clear" w:color="auto" w:fill="4F81BD" w:themeFill="accent1"/>
          </w:tcPr>
          <w:p w:rsidR="00947FA7" w:rsidRPr="0052491B" w:rsidRDefault="00947FA7" w:rsidP="006B33DD">
            <w:pPr>
              <w:pStyle w:val="a0"/>
              <w:spacing w:line="276" w:lineRule="auto"/>
              <w:jc w:val="center"/>
              <w:rPr>
                <w:rFonts w:cs="Times New Roman"/>
                <w:b/>
                <w:color w:val="FFFFFF" w:themeColor="background1"/>
              </w:rPr>
            </w:pPr>
            <w:r w:rsidRPr="0052491B">
              <w:rPr>
                <w:rFonts w:cs="Times New Roman"/>
                <w:b/>
                <w:color w:val="FFFFFF" w:themeColor="background1"/>
              </w:rPr>
              <w:t>Классификация</w:t>
            </w:r>
          </w:p>
        </w:tc>
      </w:tr>
      <w:tr w:rsidR="00947FA7" w:rsidRPr="008868E0" w:rsidTr="00947FA7">
        <w:tc>
          <w:tcPr>
            <w:tcW w:w="3190" w:type="dxa"/>
            <w:shd w:val="clear" w:color="auto" w:fill="auto"/>
          </w:tcPr>
          <w:p w:rsidR="00947FA7" w:rsidRPr="00947FA7" w:rsidRDefault="00947FA7" w:rsidP="00BC2ECD">
            <w:pPr>
              <w:pStyle w:val="a0"/>
              <w:spacing w:line="276" w:lineRule="auto"/>
              <w:jc w:val="center"/>
              <w:rPr>
                <w:rFonts w:cs="Times New Roman"/>
              </w:rPr>
            </w:pPr>
            <w:r w:rsidRPr="00947FA7">
              <w:rPr>
                <w:rFonts w:cs="Times New Roman"/>
                <w:u w:val="single"/>
              </w:rPr>
              <w:t xml:space="preserve">Ни один из шести </w:t>
            </w:r>
            <w:r w:rsidR="00BC2ECD">
              <w:rPr>
                <w:rFonts w:cs="Times New Roman"/>
                <w:u w:val="single"/>
              </w:rPr>
              <w:t>п</w:t>
            </w:r>
            <w:r w:rsidRPr="00947FA7">
              <w:rPr>
                <w:rFonts w:cs="Times New Roman"/>
                <w:u w:val="single"/>
              </w:rPr>
              <w:t>рокси</w:t>
            </w:r>
            <w:r w:rsidR="00BC2ECD">
              <w:rPr>
                <w:rFonts w:cs="Times New Roman"/>
                <w:u w:val="single"/>
              </w:rPr>
              <w:t>-показателей</w:t>
            </w:r>
            <w:r w:rsidRPr="00947FA7">
              <w:rPr>
                <w:rFonts w:cs="Times New Roman"/>
              </w:rPr>
              <w:t xml:space="preserve"> не присутствует в первичном или первичн</w:t>
            </w:r>
            <w:r w:rsidR="00BC2ECD">
              <w:rPr>
                <w:rFonts w:cs="Times New Roman"/>
              </w:rPr>
              <w:t>ом</w:t>
            </w:r>
            <w:r w:rsidRPr="00947FA7">
              <w:rPr>
                <w:rFonts w:cs="Times New Roman"/>
              </w:rPr>
              <w:t xml:space="preserve"> и вторичн</w:t>
            </w:r>
            <w:r w:rsidR="00BC2ECD">
              <w:rPr>
                <w:rFonts w:cs="Times New Roman"/>
              </w:rPr>
              <w:t>ом</w:t>
            </w:r>
            <w:r w:rsidRPr="00947FA7">
              <w:rPr>
                <w:rFonts w:cs="Times New Roman"/>
              </w:rPr>
              <w:t xml:space="preserve"> законодательств</w:t>
            </w:r>
            <w:r w:rsidR="00BC2ECD">
              <w:rPr>
                <w:rFonts w:cs="Times New Roman"/>
              </w:rPr>
              <w:t>е</w:t>
            </w:r>
          </w:p>
        </w:tc>
        <w:tc>
          <w:tcPr>
            <w:tcW w:w="3190" w:type="dxa"/>
            <w:shd w:val="clear" w:color="auto" w:fill="auto"/>
          </w:tcPr>
          <w:p w:rsidR="00947FA7" w:rsidRPr="00947FA7" w:rsidRDefault="00947FA7" w:rsidP="006B33DD">
            <w:pPr>
              <w:pStyle w:val="a0"/>
              <w:spacing w:line="276" w:lineRule="auto"/>
              <w:jc w:val="center"/>
              <w:rPr>
                <w:rFonts w:cs="Times New Roman"/>
              </w:rPr>
            </w:pPr>
            <w:r w:rsidRPr="00947FA7">
              <w:rPr>
                <w:rFonts w:cs="Times New Roman"/>
                <w:u w:val="single"/>
              </w:rPr>
              <w:t>Ни один из пяти Прокси</w:t>
            </w:r>
            <w:r w:rsidRPr="00947FA7">
              <w:rPr>
                <w:rFonts w:cs="Times New Roman"/>
              </w:rPr>
              <w:t xml:space="preserve"> не присутствует в первичном или </w:t>
            </w:r>
            <w:r w:rsidR="00BC2ECD" w:rsidRPr="00947FA7">
              <w:rPr>
                <w:rFonts w:cs="Times New Roman"/>
              </w:rPr>
              <w:t>первичн</w:t>
            </w:r>
            <w:r w:rsidR="00BC2ECD">
              <w:rPr>
                <w:rFonts w:cs="Times New Roman"/>
              </w:rPr>
              <w:t>ом</w:t>
            </w:r>
            <w:r w:rsidR="00BC2ECD" w:rsidRPr="00947FA7">
              <w:rPr>
                <w:rFonts w:cs="Times New Roman"/>
              </w:rPr>
              <w:t xml:space="preserve"> и вторичн</w:t>
            </w:r>
            <w:r w:rsidR="00BC2ECD">
              <w:rPr>
                <w:rFonts w:cs="Times New Roman"/>
              </w:rPr>
              <w:t>ом</w:t>
            </w:r>
            <w:r w:rsidR="00BC2ECD" w:rsidRPr="00947FA7">
              <w:rPr>
                <w:rFonts w:cs="Times New Roman"/>
              </w:rPr>
              <w:t xml:space="preserve"> законодательств</w:t>
            </w:r>
            <w:r w:rsidR="00BC2ECD">
              <w:rPr>
                <w:rFonts w:cs="Times New Roman"/>
              </w:rPr>
              <w:t>е</w:t>
            </w:r>
          </w:p>
        </w:tc>
        <w:tc>
          <w:tcPr>
            <w:tcW w:w="3191" w:type="dxa"/>
            <w:shd w:val="clear" w:color="auto" w:fill="F2DBDB" w:themeFill="accent2" w:themeFillTint="33"/>
          </w:tcPr>
          <w:p w:rsidR="00947FA7" w:rsidRPr="00947FA7" w:rsidRDefault="00947FA7" w:rsidP="001745DA">
            <w:pPr>
              <w:pStyle w:val="a0"/>
              <w:spacing w:line="276" w:lineRule="auto"/>
              <w:jc w:val="center"/>
              <w:rPr>
                <w:rFonts w:cs="Times New Roman"/>
              </w:rPr>
            </w:pPr>
            <w:r w:rsidRPr="00947FA7">
              <w:rPr>
                <w:rFonts w:cs="Times New Roman"/>
                <w:u w:val="single"/>
              </w:rPr>
              <w:t>Группа 1</w:t>
            </w:r>
            <w:r w:rsidRPr="00947FA7">
              <w:rPr>
                <w:rFonts w:cs="Times New Roman"/>
              </w:rPr>
              <w:t xml:space="preserve">: </w:t>
            </w:r>
            <w:r w:rsidR="00BC2ECD" w:rsidRPr="00BC2ECD">
              <w:rPr>
                <w:rFonts w:cs="Times New Roman"/>
              </w:rPr>
              <w:t xml:space="preserve">Нет доказательств наличия гарантий гендерного равенства в области владения землей и/или </w:t>
            </w:r>
            <w:r w:rsidR="001745DA">
              <w:rPr>
                <w:rFonts w:cs="Times New Roman"/>
              </w:rPr>
              <w:t>распоряжения ей</w:t>
            </w:r>
            <w:r w:rsidR="00BC2ECD" w:rsidRPr="00BC2ECD">
              <w:rPr>
                <w:rFonts w:cs="Times New Roman"/>
              </w:rPr>
              <w:t xml:space="preserve"> в правовой базе.</w:t>
            </w:r>
          </w:p>
        </w:tc>
      </w:tr>
      <w:tr w:rsidR="00947FA7" w:rsidRPr="008868E0" w:rsidTr="00947FA7">
        <w:tc>
          <w:tcPr>
            <w:tcW w:w="3190" w:type="dxa"/>
            <w:shd w:val="clear" w:color="auto" w:fill="auto"/>
          </w:tcPr>
          <w:p w:rsidR="00947FA7" w:rsidRPr="00947FA7" w:rsidRDefault="00947FA7" w:rsidP="00BC2ECD">
            <w:pPr>
              <w:pStyle w:val="a0"/>
              <w:spacing w:line="276" w:lineRule="auto"/>
              <w:jc w:val="center"/>
              <w:rPr>
                <w:rFonts w:cs="Times New Roman"/>
              </w:rPr>
            </w:pPr>
            <w:r w:rsidRPr="00947FA7">
              <w:rPr>
                <w:rFonts w:cs="Times New Roman"/>
                <w:u w:val="single"/>
              </w:rPr>
              <w:t xml:space="preserve">Один из </w:t>
            </w:r>
            <w:r w:rsidR="00BC2ECD">
              <w:rPr>
                <w:rFonts w:cs="Times New Roman"/>
                <w:u w:val="single"/>
              </w:rPr>
              <w:t>п</w:t>
            </w:r>
            <w:r w:rsidR="00BC2ECD" w:rsidRPr="00947FA7">
              <w:rPr>
                <w:rFonts w:cs="Times New Roman"/>
                <w:u w:val="single"/>
              </w:rPr>
              <w:t>рокси</w:t>
            </w:r>
            <w:r w:rsidR="00BC2ECD">
              <w:rPr>
                <w:rFonts w:cs="Times New Roman"/>
                <w:u w:val="single"/>
              </w:rPr>
              <w:t>-показателей</w:t>
            </w:r>
            <w:r w:rsidR="00BC2ECD">
              <w:rPr>
                <w:rFonts w:cs="Times New Roman"/>
              </w:rPr>
              <w:t xml:space="preserve"> </w:t>
            </w:r>
            <w:r w:rsidRPr="00947FA7">
              <w:rPr>
                <w:rFonts w:cs="Times New Roman"/>
              </w:rPr>
              <w:t>присутству</w:t>
            </w:r>
            <w:r w:rsidR="00BC2ECD">
              <w:rPr>
                <w:rFonts w:cs="Times New Roman"/>
              </w:rPr>
              <w:t>ет</w:t>
            </w:r>
            <w:r w:rsidRPr="00947FA7">
              <w:rPr>
                <w:rFonts w:cs="Times New Roman"/>
              </w:rPr>
              <w:t xml:space="preserve"> в первичном или </w:t>
            </w:r>
            <w:r w:rsidR="00BC2ECD" w:rsidRPr="00947FA7">
              <w:rPr>
                <w:rFonts w:cs="Times New Roman"/>
              </w:rPr>
              <w:t>первичн</w:t>
            </w:r>
            <w:r w:rsidR="00BC2ECD">
              <w:rPr>
                <w:rFonts w:cs="Times New Roman"/>
              </w:rPr>
              <w:t>ом</w:t>
            </w:r>
            <w:r w:rsidR="00BC2ECD" w:rsidRPr="00947FA7">
              <w:rPr>
                <w:rFonts w:cs="Times New Roman"/>
              </w:rPr>
              <w:t xml:space="preserve"> и вторичн</w:t>
            </w:r>
            <w:r w:rsidR="00BC2ECD">
              <w:rPr>
                <w:rFonts w:cs="Times New Roman"/>
              </w:rPr>
              <w:t>ом</w:t>
            </w:r>
            <w:r w:rsidR="00BC2ECD" w:rsidRPr="00947FA7">
              <w:rPr>
                <w:rFonts w:cs="Times New Roman"/>
              </w:rPr>
              <w:t xml:space="preserve"> законодательств</w:t>
            </w:r>
            <w:r w:rsidR="00BC2ECD">
              <w:rPr>
                <w:rFonts w:cs="Times New Roman"/>
              </w:rPr>
              <w:t>е</w:t>
            </w:r>
          </w:p>
        </w:tc>
        <w:tc>
          <w:tcPr>
            <w:tcW w:w="3190" w:type="dxa"/>
            <w:shd w:val="clear" w:color="auto" w:fill="auto"/>
          </w:tcPr>
          <w:p w:rsidR="00947FA7" w:rsidRPr="00947FA7" w:rsidRDefault="00947FA7" w:rsidP="00BC2ECD">
            <w:pPr>
              <w:pStyle w:val="a0"/>
              <w:spacing w:line="276" w:lineRule="auto"/>
              <w:jc w:val="center"/>
              <w:rPr>
                <w:rFonts w:cs="Times New Roman"/>
              </w:rPr>
            </w:pPr>
            <w:r w:rsidRPr="00947FA7">
              <w:rPr>
                <w:rFonts w:cs="Times New Roman"/>
                <w:u w:val="single"/>
              </w:rPr>
              <w:t xml:space="preserve">Один из </w:t>
            </w:r>
            <w:r w:rsidR="00BC2ECD">
              <w:rPr>
                <w:rFonts w:cs="Times New Roman"/>
                <w:u w:val="single"/>
              </w:rPr>
              <w:t>п</w:t>
            </w:r>
            <w:r w:rsidR="00BC2ECD" w:rsidRPr="00947FA7">
              <w:rPr>
                <w:rFonts w:cs="Times New Roman"/>
                <w:u w:val="single"/>
              </w:rPr>
              <w:t>рокси</w:t>
            </w:r>
            <w:r w:rsidR="00BC2ECD">
              <w:rPr>
                <w:rFonts w:cs="Times New Roman"/>
                <w:u w:val="single"/>
              </w:rPr>
              <w:t>-показателей</w:t>
            </w:r>
            <w:r w:rsidR="00BC2ECD">
              <w:rPr>
                <w:rFonts w:cs="Times New Roman"/>
              </w:rPr>
              <w:t xml:space="preserve"> </w:t>
            </w:r>
            <w:r w:rsidRPr="00947FA7">
              <w:rPr>
                <w:rFonts w:cs="Times New Roman"/>
              </w:rPr>
              <w:t>присутству</w:t>
            </w:r>
            <w:r w:rsidR="00BC2ECD">
              <w:rPr>
                <w:rFonts w:cs="Times New Roman"/>
              </w:rPr>
              <w:t>ет</w:t>
            </w:r>
            <w:r w:rsidRPr="00947FA7">
              <w:rPr>
                <w:rFonts w:cs="Times New Roman"/>
              </w:rPr>
              <w:t xml:space="preserve"> в первичном или </w:t>
            </w:r>
            <w:r w:rsidR="00BC2ECD" w:rsidRPr="00947FA7">
              <w:rPr>
                <w:rFonts w:cs="Times New Roman"/>
              </w:rPr>
              <w:t>первичн</w:t>
            </w:r>
            <w:r w:rsidR="00BC2ECD">
              <w:rPr>
                <w:rFonts w:cs="Times New Roman"/>
              </w:rPr>
              <w:t>ом</w:t>
            </w:r>
            <w:r w:rsidR="00BC2ECD" w:rsidRPr="00947FA7">
              <w:rPr>
                <w:rFonts w:cs="Times New Roman"/>
              </w:rPr>
              <w:t xml:space="preserve"> и вторичн</w:t>
            </w:r>
            <w:r w:rsidR="00BC2ECD">
              <w:rPr>
                <w:rFonts w:cs="Times New Roman"/>
              </w:rPr>
              <w:t>ом</w:t>
            </w:r>
            <w:r w:rsidR="00BC2ECD" w:rsidRPr="00947FA7">
              <w:rPr>
                <w:rFonts w:cs="Times New Roman"/>
              </w:rPr>
              <w:t xml:space="preserve"> законодательств</w:t>
            </w:r>
            <w:r w:rsidR="00BC2ECD">
              <w:rPr>
                <w:rFonts w:cs="Times New Roman"/>
              </w:rPr>
              <w:t>е</w:t>
            </w:r>
          </w:p>
        </w:tc>
        <w:tc>
          <w:tcPr>
            <w:tcW w:w="3191" w:type="dxa"/>
            <w:shd w:val="clear" w:color="auto" w:fill="FDE9D9" w:themeFill="accent6" w:themeFillTint="33"/>
          </w:tcPr>
          <w:p w:rsidR="00947FA7" w:rsidRPr="00947FA7" w:rsidRDefault="00947FA7" w:rsidP="006B33DD">
            <w:pPr>
              <w:pStyle w:val="a0"/>
              <w:spacing w:line="276" w:lineRule="auto"/>
              <w:jc w:val="center"/>
              <w:rPr>
                <w:rFonts w:cs="Times New Roman"/>
              </w:rPr>
            </w:pPr>
            <w:r w:rsidRPr="00947FA7">
              <w:rPr>
                <w:rFonts w:cs="Times New Roman"/>
                <w:u w:val="single"/>
              </w:rPr>
              <w:t>Группа 2</w:t>
            </w:r>
            <w:r w:rsidRPr="00947FA7">
              <w:rPr>
                <w:rFonts w:cs="Times New Roman"/>
              </w:rPr>
              <w:t xml:space="preserve">: </w:t>
            </w:r>
            <w:r w:rsidR="00BC2ECD" w:rsidRPr="00BC2ECD">
              <w:rPr>
                <w:rFonts w:cs="Times New Roman"/>
              </w:rPr>
              <w:t xml:space="preserve">Очень низкий уровень гарантий гендерного равенства в области владения землей и/или </w:t>
            </w:r>
            <w:r w:rsidR="001745DA">
              <w:rPr>
                <w:rFonts w:cs="Times New Roman"/>
              </w:rPr>
              <w:t>распоряжения ей</w:t>
            </w:r>
            <w:r w:rsidR="001745DA" w:rsidRPr="00BC2ECD">
              <w:rPr>
                <w:rFonts w:cs="Times New Roman"/>
              </w:rPr>
              <w:t xml:space="preserve"> </w:t>
            </w:r>
            <w:r w:rsidR="00BC2ECD" w:rsidRPr="00BC2ECD">
              <w:rPr>
                <w:rFonts w:cs="Times New Roman"/>
              </w:rPr>
              <w:t>в правовой базе.</w:t>
            </w:r>
          </w:p>
        </w:tc>
      </w:tr>
      <w:tr w:rsidR="00947FA7" w:rsidRPr="008868E0" w:rsidTr="00947FA7">
        <w:tc>
          <w:tcPr>
            <w:tcW w:w="3190" w:type="dxa"/>
            <w:shd w:val="clear" w:color="auto" w:fill="auto"/>
          </w:tcPr>
          <w:p w:rsidR="00947FA7" w:rsidRPr="00947FA7" w:rsidRDefault="00947FA7" w:rsidP="00BC2ECD">
            <w:pPr>
              <w:pStyle w:val="a0"/>
              <w:spacing w:line="276" w:lineRule="auto"/>
              <w:jc w:val="center"/>
              <w:rPr>
                <w:rFonts w:cs="Times New Roman"/>
              </w:rPr>
            </w:pPr>
            <w:r w:rsidRPr="00947FA7">
              <w:rPr>
                <w:rFonts w:cs="Times New Roman"/>
                <w:u w:val="single"/>
              </w:rPr>
              <w:t xml:space="preserve">Два из </w:t>
            </w:r>
            <w:r w:rsidR="00BC2ECD">
              <w:rPr>
                <w:rFonts w:cs="Times New Roman"/>
                <w:u w:val="single"/>
              </w:rPr>
              <w:t>п</w:t>
            </w:r>
            <w:r w:rsidR="00BC2ECD" w:rsidRPr="00947FA7">
              <w:rPr>
                <w:rFonts w:cs="Times New Roman"/>
                <w:u w:val="single"/>
              </w:rPr>
              <w:t>рокси</w:t>
            </w:r>
            <w:r w:rsidR="00BC2ECD">
              <w:rPr>
                <w:rFonts w:cs="Times New Roman"/>
                <w:u w:val="single"/>
              </w:rPr>
              <w:t>-показателей</w:t>
            </w:r>
            <w:r w:rsidRPr="00947FA7">
              <w:rPr>
                <w:rFonts w:cs="Times New Roman"/>
              </w:rPr>
              <w:t xml:space="preserve"> присутствую</w:t>
            </w:r>
            <w:r w:rsidR="00BC2ECD">
              <w:rPr>
                <w:rFonts w:cs="Times New Roman"/>
              </w:rPr>
              <w:t>т</w:t>
            </w:r>
            <w:r w:rsidRPr="00947FA7">
              <w:rPr>
                <w:rFonts w:cs="Times New Roman"/>
              </w:rPr>
              <w:t xml:space="preserve"> в первичном или </w:t>
            </w:r>
            <w:r w:rsidR="00BC2ECD" w:rsidRPr="00947FA7">
              <w:rPr>
                <w:rFonts w:cs="Times New Roman"/>
              </w:rPr>
              <w:t>первичн</w:t>
            </w:r>
            <w:r w:rsidR="00BC2ECD">
              <w:rPr>
                <w:rFonts w:cs="Times New Roman"/>
              </w:rPr>
              <w:t>ом</w:t>
            </w:r>
            <w:r w:rsidR="00BC2ECD" w:rsidRPr="00947FA7">
              <w:rPr>
                <w:rFonts w:cs="Times New Roman"/>
              </w:rPr>
              <w:t xml:space="preserve"> и вторичн</w:t>
            </w:r>
            <w:r w:rsidR="00BC2ECD">
              <w:rPr>
                <w:rFonts w:cs="Times New Roman"/>
              </w:rPr>
              <w:t>ом</w:t>
            </w:r>
            <w:r w:rsidR="00BC2ECD" w:rsidRPr="00947FA7">
              <w:rPr>
                <w:rFonts w:cs="Times New Roman"/>
              </w:rPr>
              <w:t xml:space="preserve"> законодательств</w:t>
            </w:r>
            <w:r w:rsidR="00BC2ECD">
              <w:rPr>
                <w:rFonts w:cs="Times New Roman"/>
              </w:rPr>
              <w:t>е</w:t>
            </w:r>
          </w:p>
        </w:tc>
        <w:tc>
          <w:tcPr>
            <w:tcW w:w="3190" w:type="dxa"/>
            <w:shd w:val="clear" w:color="auto" w:fill="auto"/>
          </w:tcPr>
          <w:p w:rsidR="00947FA7" w:rsidRPr="00947FA7" w:rsidRDefault="00BC2ECD" w:rsidP="006B33DD">
            <w:pPr>
              <w:pStyle w:val="a0"/>
              <w:spacing w:line="276" w:lineRule="auto"/>
              <w:jc w:val="center"/>
              <w:rPr>
                <w:rFonts w:cs="Times New Roman"/>
              </w:rPr>
            </w:pPr>
            <w:r w:rsidRPr="00947FA7">
              <w:rPr>
                <w:rFonts w:cs="Times New Roman"/>
                <w:u w:val="single"/>
              </w:rPr>
              <w:t xml:space="preserve">Два из </w:t>
            </w:r>
            <w:r>
              <w:rPr>
                <w:rFonts w:cs="Times New Roman"/>
                <w:u w:val="single"/>
              </w:rPr>
              <w:t>п</w:t>
            </w:r>
            <w:r w:rsidRPr="00947FA7">
              <w:rPr>
                <w:rFonts w:cs="Times New Roman"/>
                <w:u w:val="single"/>
              </w:rPr>
              <w:t>рокси</w:t>
            </w:r>
            <w:r>
              <w:rPr>
                <w:rFonts w:cs="Times New Roman"/>
                <w:u w:val="single"/>
              </w:rPr>
              <w:t>-показателей</w:t>
            </w:r>
            <w:r w:rsidRPr="00947FA7">
              <w:rPr>
                <w:rFonts w:cs="Times New Roman"/>
              </w:rPr>
              <w:t xml:space="preserve"> присутствую</w:t>
            </w:r>
            <w:r>
              <w:rPr>
                <w:rFonts w:cs="Times New Roman"/>
              </w:rPr>
              <w:t>т</w:t>
            </w:r>
            <w:r w:rsidR="00947FA7" w:rsidRPr="00947FA7">
              <w:rPr>
                <w:rFonts w:cs="Times New Roman"/>
              </w:rPr>
              <w:t xml:space="preserve"> в первичном или </w:t>
            </w:r>
            <w:r w:rsidRPr="00947FA7">
              <w:rPr>
                <w:rFonts w:cs="Times New Roman"/>
              </w:rPr>
              <w:t>первичн</w:t>
            </w:r>
            <w:r>
              <w:rPr>
                <w:rFonts w:cs="Times New Roman"/>
              </w:rPr>
              <w:t>ом</w:t>
            </w:r>
            <w:r w:rsidRPr="00947FA7">
              <w:rPr>
                <w:rFonts w:cs="Times New Roman"/>
              </w:rPr>
              <w:t xml:space="preserve"> и вторичн</w:t>
            </w:r>
            <w:r>
              <w:rPr>
                <w:rFonts w:cs="Times New Roman"/>
              </w:rPr>
              <w:t>ом</w:t>
            </w:r>
            <w:r w:rsidRPr="00947FA7">
              <w:rPr>
                <w:rFonts w:cs="Times New Roman"/>
              </w:rPr>
              <w:t xml:space="preserve"> законодательств</w:t>
            </w:r>
            <w:r>
              <w:rPr>
                <w:rFonts w:cs="Times New Roman"/>
              </w:rPr>
              <w:t>е</w:t>
            </w:r>
          </w:p>
        </w:tc>
        <w:tc>
          <w:tcPr>
            <w:tcW w:w="3191" w:type="dxa"/>
            <w:shd w:val="clear" w:color="auto" w:fill="EAF1DD" w:themeFill="accent3" w:themeFillTint="33"/>
          </w:tcPr>
          <w:p w:rsidR="00947FA7" w:rsidRPr="00947FA7" w:rsidRDefault="00947FA7" w:rsidP="006B33DD">
            <w:pPr>
              <w:pStyle w:val="a0"/>
              <w:spacing w:line="276" w:lineRule="auto"/>
              <w:jc w:val="center"/>
              <w:rPr>
                <w:rFonts w:cs="Times New Roman"/>
              </w:rPr>
            </w:pPr>
            <w:r w:rsidRPr="00947FA7">
              <w:rPr>
                <w:rFonts w:cs="Times New Roman"/>
                <w:u w:val="single"/>
              </w:rPr>
              <w:t xml:space="preserve">Группа 3: </w:t>
            </w:r>
            <w:r w:rsidR="00BC2ECD" w:rsidRPr="00BC2ECD">
              <w:rPr>
                <w:rFonts w:cs="Times New Roman"/>
              </w:rPr>
              <w:t xml:space="preserve">Низкий уровень гарантий гендерного равенства в области владения землей и/или </w:t>
            </w:r>
            <w:r w:rsidR="001745DA">
              <w:rPr>
                <w:rFonts w:cs="Times New Roman"/>
              </w:rPr>
              <w:t>распоряжения ей</w:t>
            </w:r>
            <w:r w:rsidR="001745DA" w:rsidRPr="00BC2ECD">
              <w:rPr>
                <w:rFonts w:cs="Times New Roman"/>
              </w:rPr>
              <w:t xml:space="preserve"> </w:t>
            </w:r>
            <w:r w:rsidR="00BC2ECD" w:rsidRPr="00BC2ECD">
              <w:rPr>
                <w:rFonts w:cs="Times New Roman"/>
              </w:rPr>
              <w:t>в правовой базе.</w:t>
            </w:r>
          </w:p>
        </w:tc>
      </w:tr>
      <w:tr w:rsidR="00947FA7" w:rsidRPr="008868E0" w:rsidTr="00947FA7">
        <w:tc>
          <w:tcPr>
            <w:tcW w:w="3190" w:type="dxa"/>
            <w:shd w:val="clear" w:color="auto" w:fill="auto"/>
          </w:tcPr>
          <w:p w:rsidR="00947FA7" w:rsidRPr="00947FA7" w:rsidRDefault="00947FA7" w:rsidP="006B33DD">
            <w:pPr>
              <w:pStyle w:val="a0"/>
              <w:spacing w:line="276" w:lineRule="auto"/>
              <w:jc w:val="center"/>
              <w:rPr>
                <w:rFonts w:cs="Times New Roman"/>
              </w:rPr>
            </w:pPr>
            <w:r w:rsidRPr="00947FA7">
              <w:rPr>
                <w:rFonts w:cs="Times New Roman"/>
                <w:u w:val="single"/>
              </w:rPr>
              <w:t xml:space="preserve">Три </w:t>
            </w:r>
            <w:r w:rsidR="00BC2ECD" w:rsidRPr="00947FA7">
              <w:rPr>
                <w:rFonts w:cs="Times New Roman"/>
                <w:u w:val="single"/>
              </w:rPr>
              <w:t xml:space="preserve">из </w:t>
            </w:r>
            <w:r w:rsidR="00BC2ECD">
              <w:rPr>
                <w:rFonts w:cs="Times New Roman"/>
                <w:u w:val="single"/>
              </w:rPr>
              <w:t>п</w:t>
            </w:r>
            <w:r w:rsidR="00BC2ECD" w:rsidRPr="00947FA7">
              <w:rPr>
                <w:rFonts w:cs="Times New Roman"/>
                <w:u w:val="single"/>
              </w:rPr>
              <w:t>рокси</w:t>
            </w:r>
            <w:r w:rsidR="00BC2ECD">
              <w:rPr>
                <w:rFonts w:cs="Times New Roman"/>
                <w:u w:val="single"/>
              </w:rPr>
              <w:t>-показателей</w:t>
            </w:r>
            <w:r w:rsidR="00BC2ECD" w:rsidRPr="00947FA7">
              <w:rPr>
                <w:rFonts w:cs="Times New Roman"/>
              </w:rPr>
              <w:t xml:space="preserve"> присутствую</w:t>
            </w:r>
            <w:r w:rsidR="00BC2ECD">
              <w:rPr>
                <w:rFonts w:cs="Times New Roman"/>
              </w:rPr>
              <w:t>т</w:t>
            </w:r>
            <w:r w:rsidR="00BC2ECD" w:rsidRPr="00947FA7">
              <w:rPr>
                <w:rFonts w:cs="Times New Roman"/>
              </w:rPr>
              <w:t xml:space="preserve"> в первичном или первичн</w:t>
            </w:r>
            <w:r w:rsidR="00BC2ECD">
              <w:rPr>
                <w:rFonts w:cs="Times New Roman"/>
              </w:rPr>
              <w:t>ом</w:t>
            </w:r>
            <w:r w:rsidR="00BC2ECD" w:rsidRPr="00947FA7">
              <w:rPr>
                <w:rFonts w:cs="Times New Roman"/>
              </w:rPr>
              <w:t xml:space="preserve"> и вторичн</w:t>
            </w:r>
            <w:r w:rsidR="00BC2ECD">
              <w:rPr>
                <w:rFonts w:cs="Times New Roman"/>
              </w:rPr>
              <w:t>ом</w:t>
            </w:r>
            <w:r w:rsidR="00BC2ECD" w:rsidRPr="00947FA7">
              <w:rPr>
                <w:rFonts w:cs="Times New Roman"/>
              </w:rPr>
              <w:t xml:space="preserve"> законодательств</w:t>
            </w:r>
            <w:r w:rsidR="00BC2ECD">
              <w:rPr>
                <w:rFonts w:cs="Times New Roman"/>
              </w:rPr>
              <w:t>е</w:t>
            </w:r>
          </w:p>
        </w:tc>
        <w:tc>
          <w:tcPr>
            <w:tcW w:w="3190" w:type="dxa"/>
            <w:shd w:val="clear" w:color="auto" w:fill="auto"/>
          </w:tcPr>
          <w:p w:rsidR="00947FA7" w:rsidRPr="00947FA7" w:rsidRDefault="00947FA7" w:rsidP="006B33DD">
            <w:pPr>
              <w:pStyle w:val="a0"/>
              <w:spacing w:line="276" w:lineRule="auto"/>
              <w:jc w:val="center"/>
              <w:rPr>
                <w:rFonts w:cs="Times New Roman"/>
              </w:rPr>
            </w:pPr>
            <w:r w:rsidRPr="00947FA7">
              <w:rPr>
                <w:rFonts w:cs="Times New Roman"/>
                <w:u w:val="single"/>
              </w:rPr>
              <w:t xml:space="preserve">Три </w:t>
            </w:r>
            <w:r w:rsidR="00BC2ECD" w:rsidRPr="00947FA7">
              <w:rPr>
                <w:rFonts w:cs="Times New Roman"/>
                <w:u w:val="single"/>
              </w:rPr>
              <w:t xml:space="preserve">из </w:t>
            </w:r>
            <w:r w:rsidR="00BC2ECD">
              <w:rPr>
                <w:rFonts w:cs="Times New Roman"/>
                <w:u w:val="single"/>
              </w:rPr>
              <w:t>п</w:t>
            </w:r>
            <w:r w:rsidR="00BC2ECD" w:rsidRPr="00947FA7">
              <w:rPr>
                <w:rFonts w:cs="Times New Roman"/>
                <w:u w:val="single"/>
              </w:rPr>
              <w:t>рокси</w:t>
            </w:r>
            <w:r w:rsidR="00BC2ECD">
              <w:rPr>
                <w:rFonts w:cs="Times New Roman"/>
                <w:u w:val="single"/>
              </w:rPr>
              <w:t>-показателей</w:t>
            </w:r>
            <w:r w:rsidR="00BC2ECD" w:rsidRPr="00947FA7">
              <w:rPr>
                <w:rFonts w:cs="Times New Roman"/>
              </w:rPr>
              <w:t xml:space="preserve"> присутствую</w:t>
            </w:r>
            <w:r w:rsidR="00BC2ECD">
              <w:rPr>
                <w:rFonts w:cs="Times New Roman"/>
              </w:rPr>
              <w:t>т</w:t>
            </w:r>
            <w:r w:rsidR="00BC2ECD" w:rsidRPr="00947FA7">
              <w:rPr>
                <w:rFonts w:cs="Times New Roman"/>
              </w:rPr>
              <w:t xml:space="preserve"> в первичном или первичн</w:t>
            </w:r>
            <w:r w:rsidR="00BC2ECD">
              <w:rPr>
                <w:rFonts w:cs="Times New Roman"/>
              </w:rPr>
              <w:t>ом</w:t>
            </w:r>
            <w:r w:rsidR="00BC2ECD" w:rsidRPr="00947FA7">
              <w:rPr>
                <w:rFonts w:cs="Times New Roman"/>
              </w:rPr>
              <w:t xml:space="preserve"> и вторичн</w:t>
            </w:r>
            <w:r w:rsidR="00BC2ECD">
              <w:rPr>
                <w:rFonts w:cs="Times New Roman"/>
              </w:rPr>
              <w:t>ом</w:t>
            </w:r>
            <w:r w:rsidR="00BC2ECD" w:rsidRPr="00947FA7">
              <w:rPr>
                <w:rFonts w:cs="Times New Roman"/>
              </w:rPr>
              <w:t xml:space="preserve"> законодательств</w:t>
            </w:r>
            <w:r w:rsidR="00BC2ECD">
              <w:rPr>
                <w:rFonts w:cs="Times New Roman"/>
              </w:rPr>
              <w:t>е</w:t>
            </w:r>
          </w:p>
        </w:tc>
        <w:tc>
          <w:tcPr>
            <w:tcW w:w="3191" w:type="dxa"/>
            <w:shd w:val="clear" w:color="auto" w:fill="DBE5F1" w:themeFill="accent1" w:themeFillTint="33"/>
          </w:tcPr>
          <w:p w:rsidR="00947FA7" w:rsidRPr="00947FA7" w:rsidRDefault="00947FA7" w:rsidP="006B33DD">
            <w:pPr>
              <w:pStyle w:val="a0"/>
              <w:spacing w:line="276" w:lineRule="auto"/>
              <w:jc w:val="center"/>
              <w:rPr>
                <w:rFonts w:cs="Times New Roman"/>
              </w:rPr>
            </w:pPr>
            <w:r w:rsidRPr="00947FA7">
              <w:rPr>
                <w:rFonts w:cs="Times New Roman"/>
                <w:u w:val="single"/>
              </w:rPr>
              <w:t>Группа 4:</w:t>
            </w:r>
            <w:r w:rsidRPr="00947FA7">
              <w:rPr>
                <w:rFonts w:cs="Times New Roman"/>
              </w:rPr>
              <w:t xml:space="preserve"> </w:t>
            </w:r>
            <w:r w:rsidR="00BC2ECD" w:rsidRPr="00BC2ECD">
              <w:rPr>
                <w:rFonts w:cs="Times New Roman"/>
              </w:rPr>
              <w:t xml:space="preserve">Средний уровень гарантий гендерного равенства в области владения землей и/или </w:t>
            </w:r>
            <w:r w:rsidR="001745DA">
              <w:rPr>
                <w:rFonts w:cs="Times New Roman"/>
              </w:rPr>
              <w:t>распоряжения ей</w:t>
            </w:r>
            <w:r w:rsidR="001745DA" w:rsidRPr="00BC2ECD">
              <w:rPr>
                <w:rFonts w:cs="Times New Roman"/>
              </w:rPr>
              <w:t xml:space="preserve"> </w:t>
            </w:r>
            <w:r w:rsidR="00BC2ECD" w:rsidRPr="00BC2ECD">
              <w:rPr>
                <w:rFonts w:cs="Times New Roman"/>
              </w:rPr>
              <w:t>в правовой базе.</w:t>
            </w:r>
          </w:p>
        </w:tc>
      </w:tr>
      <w:tr w:rsidR="00947FA7" w:rsidRPr="008868E0" w:rsidTr="00947FA7">
        <w:tc>
          <w:tcPr>
            <w:tcW w:w="3190" w:type="dxa"/>
            <w:shd w:val="clear" w:color="auto" w:fill="auto"/>
          </w:tcPr>
          <w:p w:rsidR="00947FA7" w:rsidRPr="00947FA7" w:rsidRDefault="00947FA7" w:rsidP="006B33DD">
            <w:pPr>
              <w:pStyle w:val="a0"/>
              <w:spacing w:line="276" w:lineRule="auto"/>
              <w:jc w:val="center"/>
              <w:rPr>
                <w:rFonts w:cs="Times New Roman"/>
              </w:rPr>
            </w:pPr>
            <w:r w:rsidRPr="00947FA7">
              <w:rPr>
                <w:rFonts w:cs="Times New Roman"/>
                <w:u w:val="single"/>
              </w:rPr>
              <w:t xml:space="preserve">Четыре </w:t>
            </w:r>
            <w:r w:rsidR="00BC2ECD" w:rsidRPr="00947FA7">
              <w:rPr>
                <w:rFonts w:cs="Times New Roman"/>
                <w:u w:val="single"/>
              </w:rPr>
              <w:t xml:space="preserve">из </w:t>
            </w:r>
            <w:r w:rsidR="00BC2ECD">
              <w:rPr>
                <w:rFonts w:cs="Times New Roman"/>
                <w:u w:val="single"/>
              </w:rPr>
              <w:t>п</w:t>
            </w:r>
            <w:r w:rsidR="00BC2ECD" w:rsidRPr="00947FA7">
              <w:rPr>
                <w:rFonts w:cs="Times New Roman"/>
                <w:u w:val="single"/>
              </w:rPr>
              <w:t>рокси</w:t>
            </w:r>
            <w:r w:rsidR="00BC2ECD">
              <w:rPr>
                <w:rFonts w:cs="Times New Roman"/>
                <w:u w:val="single"/>
              </w:rPr>
              <w:t>-показателей</w:t>
            </w:r>
            <w:r w:rsidR="00BC2ECD" w:rsidRPr="00947FA7">
              <w:rPr>
                <w:rFonts w:cs="Times New Roman"/>
              </w:rPr>
              <w:t xml:space="preserve"> присутствую</w:t>
            </w:r>
            <w:r w:rsidR="00BC2ECD">
              <w:rPr>
                <w:rFonts w:cs="Times New Roman"/>
              </w:rPr>
              <w:t>т</w:t>
            </w:r>
            <w:r w:rsidR="00BC2ECD" w:rsidRPr="00947FA7">
              <w:rPr>
                <w:rFonts w:cs="Times New Roman"/>
              </w:rPr>
              <w:t xml:space="preserve"> в первичном или первичн</w:t>
            </w:r>
            <w:r w:rsidR="00BC2ECD">
              <w:rPr>
                <w:rFonts w:cs="Times New Roman"/>
              </w:rPr>
              <w:t>ом</w:t>
            </w:r>
            <w:r w:rsidR="00BC2ECD" w:rsidRPr="00947FA7">
              <w:rPr>
                <w:rFonts w:cs="Times New Roman"/>
              </w:rPr>
              <w:t xml:space="preserve"> и вторичн</w:t>
            </w:r>
            <w:r w:rsidR="00BC2ECD">
              <w:rPr>
                <w:rFonts w:cs="Times New Roman"/>
              </w:rPr>
              <w:t>ом</w:t>
            </w:r>
            <w:r w:rsidR="00BC2ECD" w:rsidRPr="00947FA7">
              <w:rPr>
                <w:rFonts w:cs="Times New Roman"/>
              </w:rPr>
              <w:t xml:space="preserve"> законодательств</w:t>
            </w:r>
            <w:r w:rsidR="00BC2ECD">
              <w:rPr>
                <w:rFonts w:cs="Times New Roman"/>
              </w:rPr>
              <w:t>е</w:t>
            </w:r>
          </w:p>
        </w:tc>
        <w:tc>
          <w:tcPr>
            <w:tcW w:w="3190" w:type="dxa"/>
            <w:shd w:val="clear" w:color="auto" w:fill="auto"/>
          </w:tcPr>
          <w:p w:rsidR="00947FA7" w:rsidRPr="00947FA7" w:rsidRDefault="00947FA7" w:rsidP="006B33DD">
            <w:pPr>
              <w:pStyle w:val="a0"/>
              <w:spacing w:line="276" w:lineRule="auto"/>
              <w:jc w:val="center"/>
              <w:rPr>
                <w:rFonts w:cs="Times New Roman"/>
              </w:rPr>
            </w:pPr>
            <w:proofErr w:type="gramStart"/>
            <w:r w:rsidRPr="00947FA7">
              <w:rPr>
                <w:rFonts w:cs="Times New Roman"/>
                <w:u w:val="single"/>
              </w:rPr>
              <w:t>Четыре из Прокси</w:t>
            </w:r>
            <w:r w:rsidRPr="00947FA7">
              <w:rPr>
                <w:rFonts w:cs="Times New Roman"/>
              </w:rPr>
              <w:t>, присутствующих в первичном или первичных и вторичном законодательстве</w:t>
            </w:r>
            <w:proofErr w:type="gramEnd"/>
          </w:p>
        </w:tc>
        <w:tc>
          <w:tcPr>
            <w:tcW w:w="3191" w:type="dxa"/>
            <w:shd w:val="clear" w:color="auto" w:fill="C2D69B" w:themeFill="accent3" w:themeFillTint="99"/>
          </w:tcPr>
          <w:p w:rsidR="00947FA7" w:rsidRPr="00947FA7" w:rsidRDefault="00947FA7" w:rsidP="006B33DD">
            <w:pPr>
              <w:pStyle w:val="a0"/>
              <w:spacing w:line="276" w:lineRule="auto"/>
              <w:jc w:val="center"/>
              <w:rPr>
                <w:rFonts w:cs="Times New Roman"/>
              </w:rPr>
            </w:pPr>
            <w:r w:rsidRPr="00947FA7">
              <w:rPr>
                <w:rFonts w:cs="Times New Roman"/>
                <w:u w:val="single"/>
              </w:rPr>
              <w:t xml:space="preserve">Группа 5: </w:t>
            </w:r>
            <w:r w:rsidRPr="00947FA7">
              <w:rPr>
                <w:rFonts w:cs="Times New Roman"/>
              </w:rPr>
              <w:t xml:space="preserve">Высокий уровень </w:t>
            </w:r>
            <w:r w:rsidR="00BC2ECD" w:rsidRPr="00BC2ECD">
              <w:rPr>
                <w:rFonts w:cs="Times New Roman"/>
              </w:rPr>
              <w:t xml:space="preserve">гарантий гендерного равенства в области владения землей и/или </w:t>
            </w:r>
            <w:r w:rsidR="001745DA">
              <w:rPr>
                <w:rFonts w:cs="Times New Roman"/>
              </w:rPr>
              <w:t>распоряжения ей</w:t>
            </w:r>
            <w:r w:rsidR="001745DA" w:rsidRPr="00BC2ECD">
              <w:rPr>
                <w:rFonts w:cs="Times New Roman"/>
              </w:rPr>
              <w:t xml:space="preserve"> </w:t>
            </w:r>
            <w:r w:rsidR="00BC2ECD" w:rsidRPr="00BC2ECD">
              <w:rPr>
                <w:rFonts w:cs="Times New Roman"/>
              </w:rPr>
              <w:t>в правовой базе.</w:t>
            </w:r>
          </w:p>
        </w:tc>
      </w:tr>
      <w:tr w:rsidR="00947FA7" w:rsidRPr="008868E0" w:rsidTr="00947FA7">
        <w:tc>
          <w:tcPr>
            <w:tcW w:w="3190" w:type="dxa"/>
            <w:shd w:val="clear" w:color="auto" w:fill="auto"/>
          </w:tcPr>
          <w:p w:rsidR="00947FA7" w:rsidRPr="00947FA7" w:rsidRDefault="00947FA7" w:rsidP="006B33DD">
            <w:pPr>
              <w:pStyle w:val="a0"/>
              <w:spacing w:line="276" w:lineRule="auto"/>
              <w:jc w:val="center"/>
              <w:rPr>
                <w:rFonts w:cs="Times New Roman"/>
              </w:rPr>
            </w:pPr>
            <w:r w:rsidRPr="00947FA7">
              <w:rPr>
                <w:rFonts w:cs="Times New Roman"/>
                <w:u w:val="single"/>
              </w:rPr>
              <w:t xml:space="preserve">Пять или шесть из </w:t>
            </w:r>
            <w:proofErr w:type="spellStart"/>
            <w:proofErr w:type="gramStart"/>
            <w:r w:rsidR="00BC2ECD" w:rsidRPr="00947FA7">
              <w:rPr>
                <w:rFonts w:cs="Times New Roman"/>
                <w:u w:val="single"/>
              </w:rPr>
              <w:t>из</w:t>
            </w:r>
            <w:proofErr w:type="spellEnd"/>
            <w:proofErr w:type="gramEnd"/>
            <w:r w:rsidR="00BC2ECD" w:rsidRPr="00947FA7">
              <w:rPr>
                <w:rFonts w:cs="Times New Roman"/>
                <w:u w:val="single"/>
              </w:rPr>
              <w:t xml:space="preserve"> </w:t>
            </w:r>
            <w:r w:rsidR="00BC2ECD">
              <w:rPr>
                <w:rFonts w:cs="Times New Roman"/>
                <w:u w:val="single"/>
              </w:rPr>
              <w:t>п</w:t>
            </w:r>
            <w:r w:rsidR="00BC2ECD" w:rsidRPr="00947FA7">
              <w:rPr>
                <w:rFonts w:cs="Times New Roman"/>
                <w:u w:val="single"/>
              </w:rPr>
              <w:t>рокси</w:t>
            </w:r>
            <w:r w:rsidR="00BC2ECD">
              <w:rPr>
                <w:rFonts w:cs="Times New Roman"/>
                <w:u w:val="single"/>
              </w:rPr>
              <w:t>-показателей</w:t>
            </w:r>
            <w:r w:rsidR="00BC2ECD" w:rsidRPr="00947FA7">
              <w:rPr>
                <w:rFonts w:cs="Times New Roman"/>
              </w:rPr>
              <w:t xml:space="preserve"> присутствую</w:t>
            </w:r>
            <w:r w:rsidR="00BC2ECD">
              <w:rPr>
                <w:rFonts w:cs="Times New Roman"/>
              </w:rPr>
              <w:t>т</w:t>
            </w:r>
            <w:r w:rsidR="00BC2ECD" w:rsidRPr="00947FA7">
              <w:rPr>
                <w:rFonts w:cs="Times New Roman"/>
              </w:rPr>
              <w:t xml:space="preserve"> в первичном </w:t>
            </w:r>
            <w:r w:rsidR="00BC2ECD" w:rsidRPr="00947FA7">
              <w:rPr>
                <w:rFonts w:cs="Times New Roman"/>
              </w:rPr>
              <w:lastRenderedPageBreak/>
              <w:t>или первичн</w:t>
            </w:r>
            <w:r w:rsidR="00BC2ECD">
              <w:rPr>
                <w:rFonts w:cs="Times New Roman"/>
              </w:rPr>
              <w:t>ом</w:t>
            </w:r>
            <w:r w:rsidR="00BC2ECD" w:rsidRPr="00947FA7">
              <w:rPr>
                <w:rFonts w:cs="Times New Roman"/>
              </w:rPr>
              <w:t xml:space="preserve"> и вторичн</w:t>
            </w:r>
            <w:r w:rsidR="00BC2ECD">
              <w:rPr>
                <w:rFonts w:cs="Times New Roman"/>
              </w:rPr>
              <w:t>ом</w:t>
            </w:r>
            <w:r w:rsidR="00BC2ECD" w:rsidRPr="00947FA7">
              <w:rPr>
                <w:rFonts w:cs="Times New Roman"/>
              </w:rPr>
              <w:t xml:space="preserve"> законодательств</w:t>
            </w:r>
            <w:r w:rsidR="00BC2ECD">
              <w:rPr>
                <w:rFonts w:cs="Times New Roman"/>
              </w:rPr>
              <w:t>е</w:t>
            </w:r>
          </w:p>
        </w:tc>
        <w:tc>
          <w:tcPr>
            <w:tcW w:w="3190" w:type="dxa"/>
            <w:shd w:val="clear" w:color="auto" w:fill="auto"/>
          </w:tcPr>
          <w:p w:rsidR="00947FA7" w:rsidRPr="00947FA7" w:rsidRDefault="00947FA7" w:rsidP="006B33DD">
            <w:pPr>
              <w:pStyle w:val="a0"/>
              <w:spacing w:line="276" w:lineRule="auto"/>
              <w:jc w:val="center"/>
              <w:rPr>
                <w:rFonts w:cs="Times New Roman"/>
              </w:rPr>
            </w:pPr>
            <w:r w:rsidRPr="00947FA7">
              <w:rPr>
                <w:rFonts w:cs="Times New Roman"/>
                <w:u w:val="single"/>
              </w:rPr>
              <w:lastRenderedPageBreak/>
              <w:t xml:space="preserve">Все пять </w:t>
            </w:r>
            <w:r w:rsidR="00BC2ECD" w:rsidRPr="00947FA7">
              <w:rPr>
                <w:rFonts w:cs="Times New Roman"/>
                <w:u w:val="single"/>
              </w:rPr>
              <w:t xml:space="preserve">из </w:t>
            </w:r>
            <w:r w:rsidR="00BC2ECD">
              <w:rPr>
                <w:rFonts w:cs="Times New Roman"/>
                <w:u w:val="single"/>
              </w:rPr>
              <w:t>п</w:t>
            </w:r>
            <w:r w:rsidR="00BC2ECD" w:rsidRPr="00947FA7">
              <w:rPr>
                <w:rFonts w:cs="Times New Roman"/>
                <w:u w:val="single"/>
              </w:rPr>
              <w:t>рокси</w:t>
            </w:r>
            <w:r w:rsidR="00BC2ECD">
              <w:rPr>
                <w:rFonts w:cs="Times New Roman"/>
                <w:u w:val="single"/>
              </w:rPr>
              <w:t>-показателей</w:t>
            </w:r>
            <w:r w:rsidR="00BC2ECD" w:rsidRPr="00947FA7">
              <w:rPr>
                <w:rFonts w:cs="Times New Roman"/>
              </w:rPr>
              <w:t xml:space="preserve"> присутствую</w:t>
            </w:r>
            <w:r w:rsidR="00BC2ECD">
              <w:rPr>
                <w:rFonts w:cs="Times New Roman"/>
              </w:rPr>
              <w:t>т</w:t>
            </w:r>
            <w:r w:rsidR="00BC2ECD" w:rsidRPr="00947FA7">
              <w:rPr>
                <w:rFonts w:cs="Times New Roman"/>
              </w:rPr>
              <w:t xml:space="preserve"> в первичном или первичн</w:t>
            </w:r>
            <w:r w:rsidR="00BC2ECD">
              <w:rPr>
                <w:rFonts w:cs="Times New Roman"/>
              </w:rPr>
              <w:t>ом</w:t>
            </w:r>
            <w:r w:rsidR="00BC2ECD" w:rsidRPr="00947FA7">
              <w:rPr>
                <w:rFonts w:cs="Times New Roman"/>
              </w:rPr>
              <w:t xml:space="preserve"> и </w:t>
            </w:r>
            <w:r w:rsidR="00BC2ECD" w:rsidRPr="00947FA7">
              <w:rPr>
                <w:rFonts w:cs="Times New Roman"/>
              </w:rPr>
              <w:lastRenderedPageBreak/>
              <w:t>вторичн</w:t>
            </w:r>
            <w:r w:rsidR="00BC2ECD">
              <w:rPr>
                <w:rFonts w:cs="Times New Roman"/>
              </w:rPr>
              <w:t>ом</w:t>
            </w:r>
            <w:r w:rsidR="00BC2ECD" w:rsidRPr="00947FA7">
              <w:rPr>
                <w:rFonts w:cs="Times New Roman"/>
              </w:rPr>
              <w:t xml:space="preserve"> законодательств</w:t>
            </w:r>
            <w:r w:rsidR="00BC2ECD">
              <w:rPr>
                <w:rFonts w:cs="Times New Roman"/>
              </w:rPr>
              <w:t>е</w:t>
            </w:r>
          </w:p>
        </w:tc>
        <w:tc>
          <w:tcPr>
            <w:tcW w:w="3191" w:type="dxa"/>
            <w:shd w:val="clear" w:color="auto" w:fill="76923C" w:themeFill="accent3" w:themeFillShade="BF"/>
          </w:tcPr>
          <w:p w:rsidR="00947FA7" w:rsidRPr="00947FA7" w:rsidRDefault="00947FA7" w:rsidP="006B33DD">
            <w:pPr>
              <w:pStyle w:val="a0"/>
              <w:spacing w:line="276" w:lineRule="auto"/>
              <w:jc w:val="center"/>
              <w:rPr>
                <w:rFonts w:cs="Times New Roman"/>
              </w:rPr>
            </w:pPr>
            <w:r w:rsidRPr="00947FA7">
              <w:rPr>
                <w:rFonts w:cs="Times New Roman"/>
                <w:u w:val="single"/>
              </w:rPr>
              <w:lastRenderedPageBreak/>
              <w:t>Группа 6</w:t>
            </w:r>
            <w:r w:rsidRPr="00947FA7">
              <w:rPr>
                <w:rFonts w:cs="Times New Roman"/>
              </w:rPr>
              <w:t xml:space="preserve">: Очень высокий уровень </w:t>
            </w:r>
            <w:r w:rsidR="00BC2ECD" w:rsidRPr="00BC2ECD">
              <w:rPr>
                <w:rFonts w:cs="Times New Roman"/>
              </w:rPr>
              <w:t xml:space="preserve">гарантий гендерного равенства в </w:t>
            </w:r>
            <w:r w:rsidR="00BC2ECD" w:rsidRPr="00BC2ECD">
              <w:rPr>
                <w:rFonts w:cs="Times New Roman"/>
              </w:rPr>
              <w:lastRenderedPageBreak/>
              <w:t xml:space="preserve">области владения землей и/или </w:t>
            </w:r>
            <w:r w:rsidR="001745DA">
              <w:rPr>
                <w:rFonts w:cs="Times New Roman"/>
              </w:rPr>
              <w:t>распоряжения ей</w:t>
            </w:r>
            <w:r w:rsidR="001745DA" w:rsidRPr="00BC2ECD">
              <w:rPr>
                <w:rFonts w:cs="Times New Roman"/>
              </w:rPr>
              <w:t xml:space="preserve"> </w:t>
            </w:r>
            <w:r w:rsidR="00BC2ECD" w:rsidRPr="00BC2ECD">
              <w:rPr>
                <w:rFonts w:cs="Times New Roman"/>
              </w:rPr>
              <w:t>в правовой базе.</w:t>
            </w:r>
          </w:p>
        </w:tc>
      </w:tr>
    </w:tbl>
    <w:p w:rsidR="00BC2ECD" w:rsidRDefault="00BC2ECD" w:rsidP="00BC2ECD">
      <w:r w:rsidRPr="00BC2ECD">
        <w:lastRenderedPageBreak/>
        <w:t xml:space="preserve">В соответствии с методологией все косвенные показатели имеют равный вес. Это означает, что ни один аспект не является более важным, чем другой, с точки зрения поддержки гендерного равенства в области владения землей и/или </w:t>
      </w:r>
      <w:r w:rsidR="001745DA">
        <w:rPr>
          <w:rFonts w:cs="Times New Roman"/>
        </w:rPr>
        <w:t>распоряжения ей</w:t>
      </w:r>
      <w:r w:rsidRPr="00BC2ECD">
        <w:t>.</w:t>
      </w:r>
    </w:p>
    <w:p w:rsidR="002E15F9" w:rsidRPr="00A343D5" w:rsidRDefault="002E15F9" w:rsidP="00A343D5">
      <w:pPr>
        <w:pStyle w:val="MHeader2"/>
        <w:pBdr>
          <w:bottom w:val="single" w:sz="12" w:space="3" w:color="DDDDDD"/>
        </w:pBdr>
        <w:spacing w:line="276" w:lineRule="auto"/>
        <w:rPr>
          <w:color w:val="auto"/>
          <w:sz w:val="24"/>
          <w:szCs w:val="24"/>
          <w:lang w:val="ru-RU"/>
        </w:rPr>
      </w:pPr>
      <w:r w:rsidRPr="00A343D5">
        <w:rPr>
          <w:color w:val="auto"/>
          <w:sz w:val="24"/>
          <w:szCs w:val="24"/>
          <w:lang w:val="ru-RU"/>
        </w:rPr>
        <w:t>4.</w:t>
      </w:r>
      <w:r w:rsidRPr="00A343D5">
        <w:rPr>
          <w:color w:val="auto"/>
          <w:sz w:val="24"/>
          <w:szCs w:val="24"/>
        </w:rPr>
        <w:t>d</w:t>
      </w:r>
      <w:r w:rsidRPr="00A343D5">
        <w:rPr>
          <w:color w:val="auto"/>
          <w:sz w:val="24"/>
          <w:szCs w:val="24"/>
          <w:lang w:val="ru-RU"/>
        </w:rPr>
        <w:t xml:space="preserve">. </w:t>
      </w:r>
      <w:proofErr w:type="spellStart"/>
      <w:r w:rsidR="00694160" w:rsidRPr="00A343D5">
        <w:rPr>
          <w:b/>
          <w:color w:val="auto"/>
          <w:sz w:val="24"/>
          <w:szCs w:val="24"/>
          <w:lang w:val="ru-RU"/>
        </w:rPr>
        <w:t>Валидация</w:t>
      </w:r>
      <w:proofErr w:type="spellEnd"/>
    </w:p>
    <w:p w:rsidR="00E136E3" w:rsidRPr="00E136E3" w:rsidRDefault="00E136E3" w:rsidP="00E136E3">
      <w:r w:rsidRPr="00E136E3">
        <w:t>Как и в случае со всеми целями и показателями ЦУР, процесс монитор</w:t>
      </w:r>
      <w:r w:rsidR="00C829EA">
        <w:t>инга и отчетности по задаче 5.</w:t>
      </w:r>
      <w:r w:rsidRPr="00E136E3">
        <w:t>а носит глобальный характер и ориентирован на конкретные страны. По этой причине ФАО прилагает значительные усилия для обеспечения приверженности стран процессу отчетности и их ответственности за него.</w:t>
      </w:r>
    </w:p>
    <w:p w:rsidR="00E136E3" w:rsidRDefault="00E136E3" w:rsidP="00E136E3">
      <w:r w:rsidRPr="00E136E3">
        <w:t xml:space="preserve">ФАО оказывает техническую поддержку национальному эксперту по правовым вопросам и назначенным координаторам из назначенного учреждения, ответственного за показатель </w:t>
      </w:r>
      <w:r w:rsidR="00C829EA">
        <w:t xml:space="preserve">ЦУР </w:t>
      </w:r>
      <w:r w:rsidRPr="00E136E3">
        <w:t xml:space="preserve">5.a.2, в проведении оценки и заполнении вопросника. Для облегчения процесса ФАО также делится с ними соответствующими материалами, включая методологические рекомендации “Реализация прав женщин на землю в законе”, вопросник и </w:t>
      </w:r>
      <w:r w:rsidR="00C829EA">
        <w:t xml:space="preserve">доступ к </w:t>
      </w:r>
      <w:r w:rsidRPr="00E136E3">
        <w:t>платформ</w:t>
      </w:r>
      <w:r w:rsidR="00C829EA">
        <w:t>е</w:t>
      </w:r>
      <w:r w:rsidRPr="00E136E3">
        <w:t xml:space="preserve"> электронного обучения (https://elearning</w:t>
      </w:r>
      <w:r w:rsidR="00C829EA">
        <w:t>.fao.org/course/view.php?id=364</w:t>
      </w:r>
      <w:r w:rsidRPr="00E136E3">
        <w:t>). В настоящее время эти материалы существуют на английском, французском и испанском языках, тогда как перевод на арабский и русский языки будет доступен в 2022 году.  После завершения оценки ответственное учреждение отправляет вопросник в ФАО для контроля качества. Координатор ФАО по этому показателю и эксперты по правовым вопросам рассматривают отчет в соответствии с критериями, установленными в методологии для каждого показателя. Затем рассмотренный вопросник отправляется обратно в страну для проверки. Выполняется столько итераций, сколько необходимо, пока не будет достигнуто соглашение, чтобы результаты соответствовали методологии.</w:t>
      </w:r>
    </w:p>
    <w:p w:rsidR="002E15F9" w:rsidRDefault="002E15F9" w:rsidP="00E136E3">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rsidR="00E7596B" w:rsidRPr="00A343D5" w:rsidRDefault="000C7E0C" w:rsidP="00E7596B">
      <w:r>
        <w:t>Не применимо.</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0C7E0C" w:rsidRPr="000C7E0C" w:rsidRDefault="000C7E0C" w:rsidP="000C7E0C">
      <w:pPr>
        <w:rPr>
          <w:b/>
        </w:rPr>
      </w:pPr>
      <w:r w:rsidRPr="000C7E0C">
        <w:rPr>
          <w:b/>
        </w:rPr>
        <w:t xml:space="preserve">• На </w:t>
      </w:r>
      <w:proofErr w:type="spellStart"/>
      <w:r>
        <w:rPr>
          <w:b/>
        </w:rPr>
        <w:t>страновом</w:t>
      </w:r>
      <w:proofErr w:type="spellEnd"/>
      <w:r>
        <w:rPr>
          <w:b/>
        </w:rPr>
        <w:t xml:space="preserve"> уровне</w:t>
      </w:r>
    </w:p>
    <w:p w:rsidR="000C7E0C" w:rsidRDefault="000C7E0C" w:rsidP="000C7E0C">
      <w:r>
        <w:t>Хотя доступность данных обеспечена и ожидается, что все страны ООН представят отчеты, это может быть не так. Разные страны могут отчитываться в разное время, и немалая доля стран может предпочесть вообще не отчитываться по данному показателю в течение отчетного периода, что приведет к недостающим значениям.</w:t>
      </w:r>
    </w:p>
    <w:p w:rsidR="000C7E0C" w:rsidRDefault="000C7E0C" w:rsidP="000C7E0C">
      <w:r>
        <w:t>Пропущенные значения будут обработаны следующим образом:</w:t>
      </w:r>
    </w:p>
    <w:p w:rsidR="000C7E0C" w:rsidRDefault="000C7E0C" w:rsidP="000C7E0C">
      <w:r>
        <w:t xml:space="preserve">a) Для стран, которые представили отчетность только за 1 период, ФАО не располагает информацией о том, добились ли они прогресса по этому показателю. Однако ФАО может решить проблему с недостающими значениями. Во-первых, ФАО может предположить, что за отчетные периоды прогресса по этому показателю не было. Это можно легко определить, просмотрев представленную анкету для определения даты принятия соответствующих документов (законов).  </w:t>
      </w:r>
    </w:p>
    <w:p w:rsidR="000C7E0C" w:rsidRDefault="000C7E0C" w:rsidP="000C7E0C">
      <w:r>
        <w:lastRenderedPageBreak/>
        <w:t>б) Единственный способ включить страны, которые никогда не представят отчетность, - это отнести их к категории отсутствующей информации. Это связано с тем, что нельзя делать никаких предположений относительно статуса законов каждой страны. Однако важно отслеживать страны, которые не отчитываются, а не ограничивать анализ отчитывающимися странами.</w:t>
      </w:r>
    </w:p>
    <w:p w:rsidR="00351952" w:rsidRPr="000C7E0C" w:rsidRDefault="00351952" w:rsidP="000C7E0C">
      <w:pPr>
        <w:rPr>
          <w:b/>
        </w:rPr>
      </w:pPr>
      <w:r w:rsidRPr="000C7E0C">
        <w:rPr>
          <w:b/>
        </w:rPr>
        <w:t>• На региональном и глобальном уровнях</w:t>
      </w:r>
    </w:p>
    <w:p w:rsidR="000C7E0C" w:rsidRDefault="000C7E0C" w:rsidP="000C7E0C">
      <w:r w:rsidRPr="000C7E0C">
        <w:t xml:space="preserve">Региональные и глобальные агрегированные данные будут основываться исключительно на тех странах, по которым имеются данные, но ни в коем случае страны с отсутствующими данными не будут рассматриваться так, как если бы они были такими же, как те, по которым имеются данные. Глобальные или региональные агрегированные данные были бы действительны для отчитывающихся стран, но не обязательно для региона в целом или на глобальном уровне в целом. Недостающие значения для отдельных стран или районов не могут быть рассчитаны для получения региональных или глобальных агрегированных значений показателя, поскольку нельзя делать никаких предположений относительно </w:t>
      </w:r>
      <w:r>
        <w:t>статуса законов каждой страны</w:t>
      </w:r>
      <w:r w:rsidRPr="000C7E0C">
        <w:t>.</w:t>
      </w:r>
    </w:p>
    <w:p w:rsidR="002E15F9" w:rsidRDefault="002E15F9" w:rsidP="00351952">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rsidR="000C7E0C" w:rsidRDefault="000C7E0C" w:rsidP="00351952">
      <w:pPr>
        <w:pStyle w:val="a0"/>
        <w:spacing w:after="200" w:line="276" w:lineRule="auto"/>
        <w:rPr>
          <w:rFonts w:cs="Times New Roman"/>
          <w:szCs w:val="24"/>
        </w:rPr>
      </w:pPr>
      <w:r w:rsidRPr="000C7E0C">
        <w:rPr>
          <w:rFonts w:cs="Times New Roman"/>
          <w:szCs w:val="24"/>
        </w:rPr>
        <w:t xml:space="preserve">В каждом отчетном периоде отчитывающиеся страны классифицируются по 1 из 6 диапазонов в зависимости от того, сколько </w:t>
      </w:r>
      <w:r w:rsidR="00AD33F1">
        <w:rPr>
          <w:rFonts w:cs="Times New Roman"/>
          <w:szCs w:val="24"/>
        </w:rPr>
        <w:t>прокси-</w:t>
      </w:r>
      <w:r w:rsidRPr="000C7E0C">
        <w:rPr>
          <w:rFonts w:cs="Times New Roman"/>
          <w:szCs w:val="24"/>
        </w:rPr>
        <w:t>показателей присутствует в первичном или первичном и вторичном законодательстве, как подробно описано в таблице 1. Доля стран в каждом диапазоне оценивается в каждом году по следующей формуле:</w:t>
      </w:r>
    </w:p>
    <w:p w:rsidR="00AD33F1" w:rsidRPr="00AD33F1" w:rsidRDefault="00351952" w:rsidP="00AD33F1">
      <w:pPr>
        <w:pStyle w:val="a0"/>
        <w:spacing w:after="200" w:line="276" w:lineRule="auto"/>
        <w:rPr>
          <w:rFonts w:eastAsiaTheme="minorEastAsia" w:cs="Times New Roman"/>
          <w:szCs w:val="24"/>
        </w:rPr>
      </w:pPr>
      <m:oMathPara>
        <m:oMath>
          <m:r>
            <w:rPr>
              <w:rFonts w:ascii="Cambria Math" w:hAnsi="Cambria Math" w:cs="Times New Roman"/>
              <w:szCs w:val="24"/>
            </w:rPr>
            <m:t>1)</m:t>
          </m:r>
          <m:f>
            <m:fPr>
              <m:ctrlPr>
                <w:rPr>
                  <w:rFonts w:ascii="Cambria Math" w:hAnsi="Cambria Math" w:cs="Times New Roman"/>
                  <w:szCs w:val="24"/>
                </w:rPr>
              </m:ctrlPr>
            </m:fPr>
            <m:num>
              <m:r>
                <m:rPr>
                  <m:sty m:val="p"/>
                </m:rPr>
                <w:rPr>
                  <w:rFonts w:ascii="Cambria Math" w:hAnsi="Cambria Math" w:cs="Cambria Math"/>
                  <w:szCs w:val="24"/>
                </w:rPr>
                <m:t>Общее число стран в группе</m:t>
              </m:r>
            </m:num>
            <m:den>
              <m:r>
                <w:rPr>
                  <w:rFonts w:ascii="Cambria Math" w:hAnsi="Cambria Math" w:cs="Times New Roman"/>
                  <w:szCs w:val="24"/>
                </w:rPr>
                <m:t>Общее число стран</m:t>
              </m:r>
            </m:den>
          </m:f>
        </m:oMath>
      </m:oMathPara>
    </w:p>
    <w:p w:rsidR="00AD33F1" w:rsidRPr="00AD33F1" w:rsidRDefault="00AD33F1" w:rsidP="00AD33F1">
      <w:r w:rsidRPr="00AD33F1">
        <w:t xml:space="preserve">Поскольку в настоящее время отсутствует учет недостающих значений на </w:t>
      </w:r>
      <w:proofErr w:type="spellStart"/>
      <w:r w:rsidRPr="00AD33F1">
        <w:t>страновом</w:t>
      </w:r>
      <w:proofErr w:type="spellEnd"/>
      <w:r w:rsidRPr="00AD33F1">
        <w:t xml:space="preserve"> уровне, региональные и глобальные агрегированные данные будут основываться исключительно на тех странах, по которым имеются данные. Это может привести к тому, что пользователи будут интерпретировать эти агрегированные данные как относящиеся ко всем странам региона, что эквивалентно обработке стран с отсутствующими данными так, как если бы они совпадали с теми, по которым имеются данные.</w:t>
      </w:r>
    </w:p>
    <w:p w:rsidR="00AD33F1" w:rsidRDefault="00AD33F1" w:rsidP="00AD33F1">
      <w:r w:rsidRPr="00AD33F1">
        <w:t>В первом отчетном периоде мы можем измерить и сообщить только доли стран в каждом из 6 диапазонов. Этот первый отчетный период также послужит отправной точкой, по которой будет оцениваться будущий прогресс.</w:t>
      </w:r>
    </w:p>
    <w:p w:rsidR="00AD33F1" w:rsidRDefault="00AD33F1" w:rsidP="00AD33F1">
      <w:r>
        <w:t>Получение сопоставимых на международном уровне данных для глобального мониторинга:</w:t>
      </w:r>
    </w:p>
    <w:p w:rsidR="00AD33F1" w:rsidRDefault="00AD33F1" w:rsidP="00AD33F1">
      <w:r>
        <w:t>Как отмечалось выше, делегированные национальные учреждения будут нести ответственность за проведение правовой оценки на национальном уровне. Рекомендуется, чтобы результаты окончательной оценки были широко распространены и подтверждены различными соответствующими учреждениями до окончательного представления в ФАО.</w:t>
      </w:r>
    </w:p>
    <w:p w:rsidR="00AD33F1" w:rsidRPr="00AD33F1" w:rsidRDefault="00AD33F1" w:rsidP="00AD33F1">
      <w:r>
        <w:t xml:space="preserve">Правовая оценка должна проводиться в строгом соответствии с подробными методологическими рекомендациями “Реализация прав женщин на землю в законе”. ФАО проведет проверку качества, чтобы убедиться в соответствии методологии. Методология обеспечивает надежность и сопоставимость данных, собранных на национальном уровне </w:t>
      </w:r>
    </w:p>
    <w:p w:rsidR="00AD33F1" w:rsidRDefault="00AD33F1" w:rsidP="00AD33F1">
      <w:r w:rsidRPr="00AD33F1">
        <w:lastRenderedPageBreak/>
        <w:t xml:space="preserve">Первоначальное правовое исследование для разработки методологии и процесса ее экспериментального внедрения в различных регионах/контекстах имело неоценимое значение для определения порогового значения каждого </w:t>
      </w:r>
      <w:r>
        <w:t>прокси-</w:t>
      </w:r>
      <w:r w:rsidRPr="00AD33F1">
        <w:t xml:space="preserve">показателя и обеспечения равного отношения к странам в соответствии с методологией с точки зрения различных способов отражения </w:t>
      </w:r>
      <w:r>
        <w:t>прокси-</w:t>
      </w:r>
      <w:r w:rsidRPr="00AD33F1">
        <w:t xml:space="preserve">показателей в национальном законодательстве. Хорошим примером этого является </w:t>
      </w:r>
      <w:r>
        <w:t>прокси-</w:t>
      </w:r>
      <w:r w:rsidRPr="00AD33F1">
        <w:t xml:space="preserve">показатель B, согласие супруга на земельные сделки, поскольку методология устанавливает тип правовых положений, соответствующих пороговому значению </w:t>
      </w:r>
      <w:r>
        <w:t>прокси-показателя</w:t>
      </w:r>
      <w:r w:rsidRPr="00AD33F1">
        <w:t>, с конкретной ссылкой на три различных режима брака – раздельная, частичная совместная или совместная собственность. Аналогичным образом, методология содержит четкие указания о том, как относиться к правовым режимам, которые не предусматривают частную собственность, – путем приведения примеров того, какой тип "собственности" приравнивался бы к недвижимости, находящейся в свободном владении, в системах, где вся земля принадлежит государству.</w:t>
      </w:r>
    </w:p>
    <w:p w:rsidR="002E15F9" w:rsidRPr="00A343D5" w:rsidRDefault="002E15F9" w:rsidP="00AD33F1">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h</w:t>
      </w:r>
      <w:r w:rsidRPr="00A343D5">
        <w:rPr>
          <w:color w:val="auto"/>
          <w:sz w:val="24"/>
          <w:szCs w:val="24"/>
          <w:lang w:val="ru-RU"/>
        </w:rPr>
        <w:t xml:space="preserve">. </w:t>
      </w:r>
      <w:r w:rsidR="00E27922" w:rsidRPr="00A343D5">
        <w:rPr>
          <w:b/>
          <w:color w:val="auto"/>
          <w:sz w:val="24"/>
          <w:szCs w:val="24"/>
          <w:lang w:val="ru-RU"/>
        </w:rPr>
        <w:t>Доступные странам методы для сбора данных на национальном уровне</w:t>
      </w:r>
    </w:p>
    <w:p w:rsidR="00C66AB0" w:rsidRDefault="006A5355" w:rsidP="005C123D">
      <w:pPr>
        <w:pStyle w:val="a0"/>
      </w:pPr>
      <w:r>
        <w:t>Не применимо.</w:t>
      </w:r>
    </w:p>
    <w:p w:rsidR="00446A24" w:rsidRPr="005C123D" w:rsidRDefault="00446A24" w:rsidP="005C123D">
      <w:pPr>
        <w:pStyle w:val="a0"/>
      </w:pPr>
    </w:p>
    <w:p w:rsidR="002E15F9" w:rsidRPr="00FD4F35" w:rsidRDefault="002E15F9" w:rsidP="00A039E4">
      <w:pPr>
        <w:pStyle w:val="MHeader"/>
        <w:rPr>
          <w:b/>
          <w:color w:val="auto"/>
          <w:sz w:val="24"/>
          <w:lang w:val="ru-RU"/>
        </w:rPr>
      </w:pPr>
      <w:r w:rsidRPr="00FD4F35">
        <w:rPr>
          <w:b/>
          <w:color w:val="auto"/>
          <w:sz w:val="24"/>
          <w:lang w:val="ru-RU"/>
        </w:rPr>
        <w:t>4.</w:t>
      </w:r>
      <w:proofErr w:type="spellStart"/>
      <w:r w:rsidRPr="00A039E4">
        <w:rPr>
          <w:b/>
          <w:color w:val="auto"/>
          <w:sz w:val="24"/>
        </w:rPr>
        <w:t>i</w:t>
      </w:r>
      <w:proofErr w:type="spellEnd"/>
      <w:r w:rsidRPr="00FD4F35">
        <w:rPr>
          <w:b/>
          <w:color w:val="auto"/>
          <w:sz w:val="24"/>
          <w:lang w:val="ru-RU"/>
        </w:rPr>
        <w:t xml:space="preserve">. </w:t>
      </w:r>
      <w:r w:rsidR="00E27922" w:rsidRPr="00FD4F35">
        <w:rPr>
          <w:b/>
          <w:color w:val="auto"/>
          <w:sz w:val="24"/>
          <w:lang w:val="ru-RU"/>
        </w:rPr>
        <w:t>Управление качеством</w:t>
      </w:r>
    </w:p>
    <w:p w:rsidR="00DD45F3" w:rsidRPr="00EA60C7" w:rsidRDefault="006A5355" w:rsidP="006A5355">
      <w:r w:rsidRPr="006A5355">
        <w:t>Это качественный, юридический показатель. После представления вопросника для отчетности координатором в ответственном учреждении ФАО проводит оценку качества на основе методологии. Это гарантирует, что отчетность составляется последовательно во всех отчитывающихся странах. В ходе этого обзора качества ФАО может предоставить методологические разъяснения для обеспечения соответствия методологическим руководящим принципам.</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rsidR="006A5355" w:rsidRDefault="006A5355" w:rsidP="006A5355">
      <w:r>
        <w:t>Не применимо.</w:t>
      </w:r>
    </w:p>
    <w:p w:rsidR="002E15F9" w:rsidRPr="00FD4F35" w:rsidRDefault="0075371E" w:rsidP="00A039E4">
      <w:pPr>
        <w:pStyle w:val="MHeader"/>
        <w:rPr>
          <w:b/>
          <w:color w:val="auto"/>
          <w:sz w:val="24"/>
          <w:lang w:val="ru-RU"/>
        </w:rPr>
      </w:pPr>
      <w:r w:rsidRPr="00FD4F35">
        <w:rPr>
          <w:b/>
          <w:color w:val="auto"/>
          <w:sz w:val="24"/>
          <w:lang w:val="ru-RU"/>
        </w:rPr>
        <w:t>4.</w:t>
      </w:r>
      <w:r w:rsidRPr="00A039E4">
        <w:rPr>
          <w:b/>
          <w:color w:val="auto"/>
          <w:sz w:val="24"/>
        </w:rPr>
        <w:t>k</w:t>
      </w:r>
      <w:r w:rsidRPr="00FD4F35">
        <w:rPr>
          <w:b/>
          <w:color w:val="auto"/>
          <w:sz w:val="24"/>
          <w:lang w:val="ru-RU"/>
        </w:rPr>
        <w:t xml:space="preserve">. Оценка качества </w:t>
      </w:r>
    </w:p>
    <w:p w:rsidR="006A5355" w:rsidRDefault="006A5355" w:rsidP="006A5355">
      <w:r>
        <w:t>Не применимо.</w:t>
      </w:r>
    </w:p>
    <w:p w:rsidR="002E15F9" w:rsidRPr="00A343D5" w:rsidRDefault="002E15F9" w:rsidP="00A343D5">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 xml:space="preserve">Доступность и </w:t>
      </w:r>
      <w:proofErr w:type="spellStart"/>
      <w:r w:rsidR="0075371E" w:rsidRPr="00EA60C7">
        <w:rPr>
          <w:b/>
          <w:color w:val="auto"/>
          <w:sz w:val="24"/>
          <w:szCs w:val="24"/>
          <w:lang w:val="ru-RU"/>
        </w:rPr>
        <w:t>дезагрегирование</w:t>
      </w:r>
      <w:proofErr w:type="spellEnd"/>
      <w:r w:rsidR="0075371E" w:rsidRPr="00EA60C7">
        <w:rPr>
          <w:b/>
          <w:color w:val="auto"/>
          <w:sz w:val="24"/>
          <w:szCs w:val="24"/>
          <w:lang w:val="ru-RU"/>
        </w:rPr>
        <w:t xml:space="preserve"> данных</w:t>
      </w:r>
    </w:p>
    <w:p w:rsidR="00EA60C7" w:rsidRPr="00EA60C7" w:rsidRDefault="00EA60C7" w:rsidP="006A5355">
      <w:r w:rsidRPr="00EA60C7">
        <w:t>Доступность данных:</w:t>
      </w:r>
    </w:p>
    <w:p w:rsidR="006A5355" w:rsidRDefault="006A5355" w:rsidP="006A5355">
      <w:r>
        <w:t>Не применимо.</w:t>
      </w:r>
    </w:p>
    <w:p w:rsidR="00EA60C7" w:rsidRPr="00EA60C7" w:rsidRDefault="00E83733" w:rsidP="006A5355">
      <w:r>
        <w:t>В</w:t>
      </w:r>
      <w:r w:rsidR="00EA60C7" w:rsidRPr="00EA60C7">
        <w:t>ременные ряды:</w:t>
      </w:r>
    </w:p>
    <w:p w:rsidR="006A5355" w:rsidRDefault="006A5355" w:rsidP="006A5355">
      <w:r>
        <w:t>Не применимо.</w:t>
      </w:r>
    </w:p>
    <w:p w:rsidR="00BA05C5" w:rsidRPr="00A343D5" w:rsidRDefault="00BA05C5" w:rsidP="006A5355">
      <w:proofErr w:type="spellStart"/>
      <w:r w:rsidRPr="00A343D5">
        <w:t>Дезагрегация</w:t>
      </w:r>
      <w:proofErr w:type="spellEnd"/>
      <w:r w:rsidRPr="00A343D5">
        <w:t>:</w:t>
      </w:r>
    </w:p>
    <w:p w:rsidR="006A5355" w:rsidRDefault="006A5355" w:rsidP="006A5355">
      <w:r>
        <w:t>Не применимо.</w:t>
      </w:r>
    </w:p>
    <w:p w:rsidR="002E15F9" w:rsidRPr="00A343D5" w:rsidRDefault="002E15F9" w:rsidP="00EA60C7">
      <w:pPr>
        <w:pStyle w:val="MHeader"/>
        <w:spacing w:after="100"/>
        <w:rPr>
          <w:b/>
          <w:color w:val="auto"/>
          <w:sz w:val="24"/>
          <w:szCs w:val="24"/>
          <w:lang w:val="ru-RU"/>
        </w:rPr>
      </w:pPr>
      <w:r w:rsidRPr="00A343D5">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5A0EA5" w:rsidRDefault="005A0EA5" w:rsidP="006A5355">
      <w:pPr>
        <w:rPr>
          <w:lang w:eastAsia="en-GB"/>
        </w:rPr>
      </w:pPr>
      <w:r>
        <w:rPr>
          <w:lang w:eastAsia="en-GB"/>
        </w:rPr>
        <w:t>Источники расхождений:</w:t>
      </w:r>
    </w:p>
    <w:p w:rsidR="006A5355" w:rsidRDefault="006A5355" w:rsidP="006A5355">
      <w:r>
        <w:t>Не применимо.</w:t>
      </w:r>
    </w:p>
    <w:p w:rsidR="00040034" w:rsidRPr="00A343D5" w:rsidRDefault="00040034" w:rsidP="005A0EA5">
      <w:pPr>
        <w:pBdr>
          <w:bottom w:val="single" w:sz="12" w:space="4" w:color="DDDDDD"/>
        </w:pBdr>
        <w:shd w:val="clear" w:color="auto" w:fill="FFFFFF"/>
        <w:spacing w:after="100"/>
        <w:outlineLvl w:val="2"/>
        <w:rPr>
          <w:rFonts w:eastAsia="Times New Roman" w:cs="Times New Roman"/>
          <w:b/>
          <w:szCs w:val="24"/>
          <w:lang w:eastAsia="en-GB"/>
        </w:rPr>
      </w:pPr>
      <w:r w:rsidRPr="00A343D5">
        <w:rPr>
          <w:rFonts w:eastAsia="Times New Roman" w:cs="Times New Roman"/>
          <w:b/>
          <w:szCs w:val="24"/>
          <w:lang w:eastAsia="en-GB"/>
        </w:rPr>
        <w:t>7. Ссылки и документы</w:t>
      </w:r>
    </w:p>
    <w:p w:rsidR="006A5355" w:rsidRPr="006A5355" w:rsidRDefault="0041555F" w:rsidP="006A5355">
      <w:pPr>
        <w:rPr>
          <w:szCs w:val="24"/>
        </w:rPr>
      </w:pPr>
      <w:hyperlink r:id="rId9" w:history="1">
        <w:r w:rsidR="006A5355" w:rsidRPr="006A5355">
          <w:rPr>
            <w:rStyle w:val="ad"/>
            <w:szCs w:val="24"/>
          </w:rPr>
          <w:t>https://www.fao.org/3/i8785en/I8785EN.pdf</w:t>
        </w:r>
      </w:hyperlink>
    </w:p>
    <w:p w:rsidR="006A5355" w:rsidRPr="006A5355" w:rsidRDefault="0041555F" w:rsidP="006A5355">
      <w:pPr>
        <w:rPr>
          <w:rFonts w:eastAsia="Times New Roman" w:cs="Times New Roman"/>
          <w:color w:val="4A4A4A"/>
          <w:szCs w:val="24"/>
          <w:lang w:eastAsia="en-GB"/>
        </w:rPr>
      </w:pPr>
      <w:hyperlink r:id="rId10" w:history="1">
        <w:r w:rsidR="006A5355" w:rsidRPr="006A5355">
          <w:rPr>
            <w:rStyle w:val="ad"/>
            <w:rFonts w:eastAsia="Times New Roman" w:cs="Times New Roman"/>
            <w:szCs w:val="24"/>
            <w:lang w:eastAsia="en-GB"/>
          </w:rPr>
          <w:t>http://www.fao.org/gender-landrights-database/en/</w:t>
        </w:r>
      </w:hyperlink>
      <w:r w:rsidR="006A5355" w:rsidRPr="006A5355">
        <w:rPr>
          <w:rFonts w:eastAsia="Times New Roman" w:cs="Times New Roman"/>
          <w:color w:val="4A4A4A"/>
          <w:szCs w:val="24"/>
          <w:lang w:eastAsia="en-GB"/>
        </w:rPr>
        <w:t xml:space="preserve">   </w:t>
      </w:r>
    </w:p>
    <w:p w:rsidR="006A5355" w:rsidRPr="006A5355" w:rsidRDefault="0041555F" w:rsidP="006A5355">
      <w:pPr>
        <w:rPr>
          <w:rFonts w:eastAsia="Times New Roman" w:cs="Times New Roman"/>
          <w:color w:val="4A4A4A"/>
          <w:szCs w:val="24"/>
          <w:lang w:eastAsia="en-GB"/>
        </w:rPr>
      </w:pPr>
      <w:hyperlink r:id="rId11" w:history="1">
        <w:r w:rsidR="006A5355" w:rsidRPr="006A5355">
          <w:rPr>
            <w:rStyle w:val="ad"/>
            <w:rFonts w:eastAsia="Times New Roman" w:cs="Times New Roman"/>
            <w:szCs w:val="24"/>
            <w:lang w:eastAsia="en-GB"/>
          </w:rPr>
          <w:t>http://www.fao.org/gender-landrights-database/legislation-assessment-tool/en/</w:t>
        </w:r>
      </w:hyperlink>
      <w:r w:rsidR="006A5355" w:rsidRPr="006A5355">
        <w:rPr>
          <w:rFonts w:eastAsia="Times New Roman" w:cs="Times New Roman"/>
          <w:color w:val="4A4A4A"/>
          <w:szCs w:val="24"/>
          <w:lang w:eastAsia="en-GB"/>
        </w:rPr>
        <w:t xml:space="preserve">  </w:t>
      </w:r>
    </w:p>
    <w:p w:rsidR="006A5355" w:rsidRPr="006A5355" w:rsidRDefault="0041555F" w:rsidP="006A5355">
      <w:pPr>
        <w:rPr>
          <w:rFonts w:eastAsia="Times New Roman" w:cs="Times New Roman"/>
          <w:color w:val="4A4A4A"/>
          <w:szCs w:val="24"/>
          <w:lang w:eastAsia="en-GB"/>
        </w:rPr>
      </w:pPr>
      <w:hyperlink r:id="rId12" w:history="1">
        <w:r w:rsidR="006A5355" w:rsidRPr="006A5355">
          <w:rPr>
            <w:rStyle w:val="ad"/>
            <w:rFonts w:eastAsia="Times New Roman" w:cs="Times New Roman"/>
            <w:szCs w:val="24"/>
            <w:lang w:eastAsia="en-GB"/>
          </w:rPr>
          <w:t>http://www.fao.org/nr/tenure/voluntary-guidelines/en/</w:t>
        </w:r>
      </w:hyperlink>
      <w:r w:rsidR="006A5355" w:rsidRPr="006A5355">
        <w:rPr>
          <w:rFonts w:eastAsia="Times New Roman" w:cs="Times New Roman"/>
          <w:color w:val="4A4A4A"/>
          <w:szCs w:val="24"/>
          <w:lang w:eastAsia="en-GB"/>
        </w:rPr>
        <w:t xml:space="preserve"> </w:t>
      </w:r>
    </w:p>
    <w:p w:rsidR="006A5355" w:rsidRPr="006A5355" w:rsidRDefault="0041555F" w:rsidP="006A5355">
      <w:pPr>
        <w:rPr>
          <w:rFonts w:eastAsia="Times New Roman" w:cs="Times New Roman"/>
          <w:color w:val="4A4A4A"/>
          <w:szCs w:val="24"/>
          <w:lang w:eastAsia="en-GB"/>
        </w:rPr>
      </w:pPr>
      <w:hyperlink r:id="rId13" w:history="1">
        <w:r w:rsidR="006A5355" w:rsidRPr="006A5355">
          <w:rPr>
            <w:rStyle w:val="ad"/>
            <w:rFonts w:eastAsia="Times New Roman" w:cs="Times New Roman"/>
            <w:szCs w:val="24"/>
            <w:lang w:eastAsia="en-GB"/>
          </w:rPr>
          <w:t>http://www.un.org/womenwatch/daw/cedaw/</w:t>
        </w:r>
      </w:hyperlink>
      <w:r w:rsidR="006A5355" w:rsidRPr="006A5355">
        <w:rPr>
          <w:rFonts w:eastAsia="Times New Roman" w:cs="Times New Roman"/>
          <w:color w:val="4A4A4A"/>
          <w:szCs w:val="24"/>
          <w:lang w:eastAsia="en-GB"/>
        </w:rPr>
        <w:t xml:space="preserve"> </w:t>
      </w:r>
    </w:p>
    <w:p w:rsidR="00D31F63" w:rsidRPr="00A039E4" w:rsidRDefault="00D31F63" w:rsidP="006A5355">
      <w:pPr>
        <w:pStyle w:val="MText"/>
        <w:rPr>
          <w:color w:val="auto"/>
          <w:sz w:val="24"/>
          <w:szCs w:val="24"/>
          <w:lang w:val="ru-RU"/>
        </w:rPr>
      </w:pPr>
    </w:p>
    <w:sectPr w:rsidR="00D31F63" w:rsidRPr="00A039E4">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31" w:rsidRDefault="00524931" w:rsidP="00F73DBC">
      <w:pPr>
        <w:spacing w:after="0" w:line="240" w:lineRule="auto"/>
      </w:pPr>
      <w:r>
        <w:separator/>
      </w:r>
    </w:p>
  </w:endnote>
  <w:endnote w:type="continuationSeparator" w:id="0">
    <w:p w:rsidR="00524931" w:rsidRDefault="00524931"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Neue">
    <w:altName w:val="Segoe Print"/>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31" w:rsidRDefault="00524931" w:rsidP="00F73DBC">
      <w:pPr>
        <w:spacing w:after="0" w:line="240" w:lineRule="auto"/>
      </w:pPr>
      <w:r>
        <w:separator/>
      </w:r>
    </w:p>
  </w:footnote>
  <w:footnote w:type="continuationSeparator" w:id="0">
    <w:p w:rsidR="00524931" w:rsidRDefault="00524931" w:rsidP="00F73DBC">
      <w:pPr>
        <w:spacing w:after="0" w:line="240" w:lineRule="auto"/>
      </w:pPr>
      <w:r>
        <w:continuationSeparator/>
      </w:r>
    </w:p>
  </w:footnote>
  <w:footnote w:id="1">
    <w:p w:rsidR="00947FA7" w:rsidRPr="00ED59DD" w:rsidRDefault="00947FA7" w:rsidP="00947FA7">
      <w:pPr>
        <w:pStyle w:val="a5"/>
        <w:rPr>
          <w:rFonts w:cs="Times New Roman"/>
        </w:rPr>
      </w:pPr>
      <w:r>
        <w:rPr>
          <w:rStyle w:val="a7"/>
        </w:rPr>
        <w:footnoteRef/>
      </w:r>
      <w:r>
        <w:t xml:space="preserve"> </w:t>
      </w:r>
      <w:r w:rsidRPr="00ED59DD">
        <w:rPr>
          <w:rFonts w:cs="Times New Roman"/>
        </w:rPr>
        <w:t>В соответствии с методологией все прокси имеют одинаковый вес. Это означает, что ни одно измерение не является более важным, чем другое с точки зрения поддержки гендерного равен</w:t>
      </w:r>
      <w:r>
        <w:rPr>
          <w:rFonts w:cs="Times New Roman"/>
        </w:rPr>
        <w:t xml:space="preserve">ства </w:t>
      </w:r>
      <w:r w:rsidRPr="00ED59DD">
        <w:rPr>
          <w:rFonts w:cs="Times New Roman"/>
        </w:rPr>
        <w:t>на владение и/или распоряжение землей</w:t>
      </w:r>
      <w:r>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A5" w:rsidRDefault="00FE53A5" w:rsidP="009508D1">
    <w:pPr>
      <w:pStyle w:val="af"/>
      <w:jc w:val="right"/>
      <w:rPr>
        <w:i/>
      </w:rPr>
    </w:pPr>
    <w:r w:rsidRPr="009508D1">
      <w:rPr>
        <w:i/>
      </w:rPr>
      <w:t>Неофициальный перевод</w:t>
    </w:r>
    <w:r>
      <w:rPr>
        <w:i/>
      </w:rPr>
      <w:t xml:space="preserve"> </w:t>
    </w:r>
  </w:p>
  <w:p w:rsidR="00FE53A5" w:rsidRPr="009508D1" w:rsidRDefault="00FE53A5" w:rsidP="009508D1">
    <w:pPr>
      <w:pStyle w:val="af"/>
      <w:jc w:val="right"/>
    </w:pPr>
    <w:r>
      <w:t xml:space="preserve">Последнее обновление: </w:t>
    </w:r>
    <w:r w:rsidR="00FD4F35">
      <w:t>март 2023</w:t>
    </w:r>
  </w:p>
  <w:p w:rsidR="00FE53A5" w:rsidRDefault="00FE53A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40034"/>
    <w:rsid w:val="00053D20"/>
    <w:rsid w:val="00062184"/>
    <w:rsid w:val="00063136"/>
    <w:rsid w:val="00066024"/>
    <w:rsid w:val="000A210D"/>
    <w:rsid w:val="000A229E"/>
    <w:rsid w:val="000A47E6"/>
    <w:rsid w:val="000C7E0C"/>
    <w:rsid w:val="000E0805"/>
    <w:rsid w:val="00104284"/>
    <w:rsid w:val="00110FE3"/>
    <w:rsid w:val="0011581A"/>
    <w:rsid w:val="00116248"/>
    <w:rsid w:val="00120E95"/>
    <w:rsid w:val="00122608"/>
    <w:rsid w:val="00133E22"/>
    <w:rsid w:val="00146B30"/>
    <w:rsid w:val="00146FDC"/>
    <w:rsid w:val="001470A2"/>
    <w:rsid w:val="001505DD"/>
    <w:rsid w:val="00162B33"/>
    <w:rsid w:val="00165896"/>
    <w:rsid w:val="001745DA"/>
    <w:rsid w:val="001A163A"/>
    <w:rsid w:val="001C6E80"/>
    <w:rsid w:val="001E2FC9"/>
    <w:rsid w:val="00220DFC"/>
    <w:rsid w:val="002451DF"/>
    <w:rsid w:val="00263E57"/>
    <w:rsid w:val="002B2508"/>
    <w:rsid w:val="002C072D"/>
    <w:rsid w:val="002E122C"/>
    <w:rsid w:val="002E15F9"/>
    <w:rsid w:val="002E2DAB"/>
    <w:rsid w:val="002F63E5"/>
    <w:rsid w:val="003015BD"/>
    <w:rsid w:val="00303D71"/>
    <w:rsid w:val="003143BC"/>
    <w:rsid w:val="00351952"/>
    <w:rsid w:val="003563A7"/>
    <w:rsid w:val="003746BC"/>
    <w:rsid w:val="00376FE6"/>
    <w:rsid w:val="00382626"/>
    <w:rsid w:val="00393B97"/>
    <w:rsid w:val="00397764"/>
    <w:rsid w:val="003A389C"/>
    <w:rsid w:val="003B2CF2"/>
    <w:rsid w:val="003B340F"/>
    <w:rsid w:val="003E03CC"/>
    <w:rsid w:val="00405FDD"/>
    <w:rsid w:val="004066A3"/>
    <w:rsid w:val="00407E4E"/>
    <w:rsid w:val="004143B4"/>
    <w:rsid w:val="0041555F"/>
    <w:rsid w:val="00422DE3"/>
    <w:rsid w:val="00431758"/>
    <w:rsid w:val="0043446D"/>
    <w:rsid w:val="00446A24"/>
    <w:rsid w:val="00453CF8"/>
    <w:rsid w:val="00465587"/>
    <w:rsid w:val="00480D4F"/>
    <w:rsid w:val="004B638C"/>
    <w:rsid w:val="004B6FA0"/>
    <w:rsid w:val="004D283B"/>
    <w:rsid w:val="004E087E"/>
    <w:rsid w:val="00504CD2"/>
    <w:rsid w:val="00514C74"/>
    <w:rsid w:val="0052491B"/>
    <w:rsid w:val="00524931"/>
    <w:rsid w:val="00534C30"/>
    <w:rsid w:val="00543050"/>
    <w:rsid w:val="00577C9B"/>
    <w:rsid w:val="0059042F"/>
    <w:rsid w:val="005974D1"/>
    <w:rsid w:val="005A0EA5"/>
    <w:rsid w:val="005B4C24"/>
    <w:rsid w:val="005C123D"/>
    <w:rsid w:val="005E2ABC"/>
    <w:rsid w:val="005E47BD"/>
    <w:rsid w:val="005F5D78"/>
    <w:rsid w:val="006120E1"/>
    <w:rsid w:val="00622A0E"/>
    <w:rsid w:val="00623607"/>
    <w:rsid w:val="006308D5"/>
    <w:rsid w:val="00647C5F"/>
    <w:rsid w:val="00654380"/>
    <w:rsid w:val="006677B0"/>
    <w:rsid w:val="00694160"/>
    <w:rsid w:val="006A5355"/>
    <w:rsid w:val="006B260E"/>
    <w:rsid w:val="006B3939"/>
    <w:rsid w:val="006D7049"/>
    <w:rsid w:val="006E66FC"/>
    <w:rsid w:val="006F1198"/>
    <w:rsid w:val="00702333"/>
    <w:rsid w:val="00704A8D"/>
    <w:rsid w:val="00705161"/>
    <w:rsid w:val="007235FA"/>
    <w:rsid w:val="00746D95"/>
    <w:rsid w:val="0075371E"/>
    <w:rsid w:val="007651F3"/>
    <w:rsid w:val="00766689"/>
    <w:rsid w:val="00780F08"/>
    <w:rsid w:val="0078233F"/>
    <w:rsid w:val="0078726E"/>
    <w:rsid w:val="007B0CFD"/>
    <w:rsid w:val="007B0D42"/>
    <w:rsid w:val="007C27E0"/>
    <w:rsid w:val="007C6471"/>
    <w:rsid w:val="007C6FBC"/>
    <w:rsid w:val="007D0906"/>
    <w:rsid w:val="007D1185"/>
    <w:rsid w:val="007D49DE"/>
    <w:rsid w:val="007E6317"/>
    <w:rsid w:val="0082082A"/>
    <w:rsid w:val="008501F4"/>
    <w:rsid w:val="00853C09"/>
    <w:rsid w:val="008616D9"/>
    <w:rsid w:val="00900860"/>
    <w:rsid w:val="0094218F"/>
    <w:rsid w:val="0094718C"/>
    <w:rsid w:val="00947FA7"/>
    <w:rsid w:val="009508D1"/>
    <w:rsid w:val="009558D8"/>
    <w:rsid w:val="00957A62"/>
    <w:rsid w:val="00964BE9"/>
    <w:rsid w:val="00980F79"/>
    <w:rsid w:val="009843DD"/>
    <w:rsid w:val="00990634"/>
    <w:rsid w:val="009917DD"/>
    <w:rsid w:val="00995788"/>
    <w:rsid w:val="009B3820"/>
    <w:rsid w:val="009B6CB3"/>
    <w:rsid w:val="009B78A2"/>
    <w:rsid w:val="009C780C"/>
    <w:rsid w:val="009D003A"/>
    <w:rsid w:val="009D078D"/>
    <w:rsid w:val="009D31AD"/>
    <w:rsid w:val="009E707C"/>
    <w:rsid w:val="009F0769"/>
    <w:rsid w:val="009F4A17"/>
    <w:rsid w:val="00A039E4"/>
    <w:rsid w:val="00A27D34"/>
    <w:rsid w:val="00A343D5"/>
    <w:rsid w:val="00A41B68"/>
    <w:rsid w:val="00A44394"/>
    <w:rsid w:val="00A618FC"/>
    <w:rsid w:val="00A71EC6"/>
    <w:rsid w:val="00A73CA7"/>
    <w:rsid w:val="00A91FDE"/>
    <w:rsid w:val="00AA51A0"/>
    <w:rsid w:val="00AD33F1"/>
    <w:rsid w:val="00AD3457"/>
    <w:rsid w:val="00B0378B"/>
    <w:rsid w:val="00B179C9"/>
    <w:rsid w:val="00B17F13"/>
    <w:rsid w:val="00B51BC3"/>
    <w:rsid w:val="00B62ECD"/>
    <w:rsid w:val="00B72F77"/>
    <w:rsid w:val="00BA05C5"/>
    <w:rsid w:val="00BA25B8"/>
    <w:rsid w:val="00BC2ECD"/>
    <w:rsid w:val="00BD29EC"/>
    <w:rsid w:val="00BD2BB0"/>
    <w:rsid w:val="00BE4D76"/>
    <w:rsid w:val="00BE70C8"/>
    <w:rsid w:val="00C25229"/>
    <w:rsid w:val="00C34D1D"/>
    <w:rsid w:val="00C645C4"/>
    <w:rsid w:val="00C66AB0"/>
    <w:rsid w:val="00C74767"/>
    <w:rsid w:val="00C829EA"/>
    <w:rsid w:val="00C83435"/>
    <w:rsid w:val="00C8596F"/>
    <w:rsid w:val="00C909FE"/>
    <w:rsid w:val="00C95868"/>
    <w:rsid w:val="00CA1CB1"/>
    <w:rsid w:val="00CB22F7"/>
    <w:rsid w:val="00CC11B6"/>
    <w:rsid w:val="00CF7625"/>
    <w:rsid w:val="00D006C1"/>
    <w:rsid w:val="00D05466"/>
    <w:rsid w:val="00D1082C"/>
    <w:rsid w:val="00D27196"/>
    <w:rsid w:val="00D273C6"/>
    <w:rsid w:val="00D31F63"/>
    <w:rsid w:val="00D50F75"/>
    <w:rsid w:val="00D54600"/>
    <w:rsid w:val="00D604B3"/>
    <w:rsid w:val="00D636C1"/>
    <w:rsid w:val="00D644B9"/>
    <w:rsid w:val="00D65EF2"/>
    <w:rsid w:val="00D71A86"/>
    <w:rsid w:val="00DC2872"/>
    <w:rsid w:val="00DD4453"/>
    <w:rsid w:val="00DD45F3"/>
    <w:rsid w:val="00DE6B2D"/>
    <w:rsid w:val="00E04846"/>
    <w:rsid w:val="00E136E3"/>
    <w:rsid w:val="00E206E6"/>
    <w:rsid w:val="00E21B43"/>
    <w:rsid w:val="00E27922"/>
    <w:rsid w:val="00E33CA8"/>
    <w:rsid w:val="00E55C4C"/>
    <w:rsid w:val="00E7596B"/>
    <w:rsid w:val="00E834AD"/>
    <w:rsid w:val="00E83733"/>
    <w:rsid w:val="00E90BD4"/>
    <w:rsid w:val="00EA60C7"/>
    <w:rsid w:val="00EB1910"/>
    <w:rsid w:val="00EB389E"/>
    <w:rsid w:val="00EB4CBB"/>
    <w:rsid w:val="00EE3914"/>
    <w:rsid w:val="00EE3BB4"/>
    <w:rsid w:val="00EF0802"/>
    <w:rsid w:val="00EF3886"/>
    <w:rsid w:val="00EF47D7"/>
    <w:rsid w:val="00F03521"/>
    <w:rsid w:val="00F6371F"/>
    <w:rsid w:val="00F66E7B"/>
    <w:rsid w:val="00F73DBC"/>
    <w:rsid w:val="00F84FF1"/>
    <w:rsid w:val="00F87258"/>
    <w:rsid w:val="00F94E94"/>
    <w:rsid w:val="00FD4F35"/>
    <w:rsid w:val="00FE35CF"/>
    <w:rsid w:val="00FE53A5"/>
    <w:rsid w:val="00FE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womenwatch/daw/ceda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o.org/nr/tenure/voluntary-guidelines/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gender-landrights-database/legislation-assessment-tool/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o.org/gender-landrights-database/en/" TargetMode="External"/><Relationship Id="rId4" Type="http://schemas.microsoft.com/office/2007/relationships/stylesWithEffects" Target="stylesWithEffects.xml"/><Relationship Id="rId9" Type="http://schemas.openxmlformats.org/officeDocument/2006/relationships/hyperlink" Target="https://www.fao.org/3/i8785en/I8785EN.pd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157F-CFFD-4B61-A8B2-B3136D0A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6215</Words>
  <Characters>35428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41560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15</cp:revision>
  <dcterms:created xsi:type="dcterms:W3CDTF">2023-03-28T07:52:00Z</dcterms:created>
  <dcterms:modified xsi:type="dcterms:W3CDTF">2023-03-30T13:47:00Z</dcterms:modified>
</cp:coreProperties>
</file>