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66F3"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bookmarkStart w:id="0" w:name="_GoBack"/>
      <w:bookmarkEnd w:id="0"/>
    </w:p>
    <w:p w14:paraId="7A7D4021"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3212399C" w14:textId="7920DCFB"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w:t>
      </w:r>
      <w:r w:rsidR="005F0D8A">
        <w:rPr>
          <w:rFonts w:eastAsia="Arial Unicode MS" w:cs="Times New Roman"/>
          <w:b/>
          <w:szCs w:val="24"/>
          <w:bdr w:val="nil"/>
          <w:lang w:eastAsia="ru-RU"/>
        </w:rPr>
        <w:t>1</w:t>
      </w:r>
      <w:r w:rsidRPr="00A343D5">
        <w:rPr>
          <w:rFonts w:eastAsia="Arial Unicode MS" w:cs="Times New Roman"/>
          <w:b/>
          <w:szCs w:val="24"/>
          <w:bdr w:val="nil"/>
          <w:lang w:eastAsia="ru-RU"/>
        </w:rPr>
        <w:t>)</w:t>
      </w:r>
    </w:p>
    <w:p w14:paraId="0038E6D3"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21FBD544"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5531566A" w14:textId="77777777" w:rsidR="0016743D" w:rsidRDefault="00780F08" w:rsidP="0016743D">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935B97">
        <w:rPr>
          <w:rFonts w:eastAsia="Arial Unicode MS" w:cs="Times New Roman"/>
          <w:szCs w:val="24"/>
          <w:bdr w:val="nil"/>
          <w:lang w:eastAsia="ru-RU"/>
        </w:rPr>
        <w:t>10</w:t>
      </w:r>
      <w:r w:rsidRPr="00A343D5">
        <w:rPr>
          <w:rFonts w:eastAsia="Arial Unicode MS" w:cs="Times New Roman"/>
          <w:szCs w:val="24"/>
          <w:bdr w:val="nil"/>
          <w:lang w:eastAsia="ru-RU"/>
        </w:rPr>
        <w:t xml:space="preserve">: </w:t>
      </w:r>
      <w:r w:rsidR="00935B97" w:rsidRPr="00935B97">
        <w:t>Сокращение неравенства внутри стран и между ними</w:t>
      </w:r>
    </w:p>
    <w:p w14:paraId="60CCF806" w14:textId="77777777" w:rsidR="003143BC" w:rsidRPr="00A343D5" w:rsidRDefault="003143BC" w:rsidP="0016743D">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3253DE04" w14:textId="29408177" w:rsidR="002F63E5" w:rsidRPr="00865164" w:rsidRDefault="00935B97" w:rsidP="00A343D5">
      <w:pPr>
        <w:pBdr>
          <w:top w:val="nil"/>
          <w:left w:val="nil"/>
          <w:bottom w:val="nil"/>
          <w:right w:val="nil"/>
          <w:between w:val="nil"/>
          <w:bar w:val="nil"/>
        </w:pBdr>
        <w:spacing w:after="0"/>
        <w:rPr>
          <w:rFonts w:cs="Times New Roman"/>
          <w:szCs w:val="24"/>
        </w:rPr>
      </w:pPr>
      <w:r>
        <w:rPr>
          <w:rFonts w:cs="Times New Roman"/>
          <w:szCs w:val="24"/>
        </w:rPr>
        <w:t>10</w:t>
      </w:r>
      <w:r w:rsidR="00780F08" w:rsidRPr="00A343D5">
        <w:rPr>
          <w:rFonts w:cs="Times New Roman"/>
          <w:szCs w:val="24"/>
        </w:rPr>
        <w:t>.</w:t>
      </w:r>
      <w:r>
        <w:rPr>
          <w:rFonts w:cs="Times New Roman"/>
          <w:szCs w:val="24"/>
        </w:rPr>
        <w:t>7</w:t>
      </w:r>
      <w:r w:rsidR="00780F08" w:rsidRPr="00A343D5">
        <w:rPr>
          <w:rFonts w:cs="Times New Roman"/>
          <w:szCs w:val="24"/>
        </w:rPr>
        <w:t xml:space="preserve">.  </w:t>
      </w:r>
      <w:r w:rsidRPr="00935B97">
        <w:rPr>
          <w:rFonts w:cs="Times New Roman"/>
          <w:szCs w:val="24"/>
        </w:rPr>
        <w:t>Содействоват</w:t>
      </w:r>
      <w:r w:rsidR="004C10DC">
        <w:rPr>
          <w:rFonts w:cs="Times New Roman"/>
          <w:szCs w:val="24"/>
        </w:rPr>
        <w:t>ь упорядоченной, безопасной, за</w:t>
      </w:r>
      <w:r w:rsidRPr="00935B97">
        <w:rPr>
          <w:rFonts w:cs="Times New Roman"/>
          <w:szCs w:val="24"/>
        </w:rPr>
        <w:t>конной и ответственной миграции и мобильности людей, в том числе с помощью проведения спланированной и хорошо продуманной миграционной политики</w:t>
      </w:r>
      <w:r>
        <w:rPr>
          <w:rFonts w:cs="Times New Roman"/>
          <w:szCs w:val="24"/>
        </w:rPr>
        <w:t>.</w:t>
      </w:r>
    </w:p>
    <w:p w14:paraId="5678FF24"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7AE0F10D" w14:textId="12AABDF1" w:rsidR="0071671D" w:rsidRPr="00865164"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935B97">
        <w:rPr>
          <w:rFonts w:cs="Times New Roman"/>
          <w:szCs w:val="24"/>
        </w:rPr>
        <w:t>10</w:t>
      </w:r>
      <w:r w:rsidR="00780F08" w:rsidRPr="00A343D5">
        <w:rPr>
          <w:rFonts w:cs="Times New Roman"/>
          <w:szCs w:val="24"/>
        </w:rPr>
        <w:t>.</w:t>
      </w:r>
      <w:r w:rsidR="00935B97">
        <w:rPr>
          <w:rFonts w:cs="Times New Roman"/>
          <w:szCs w:val="24"/>
        </w:rPr>
        <w:t>7</w:t>
      </w:r>
      <w:r w:rsidR="00465587">
        <w:rPr>
          <w:rFonts w:cs="Times New Roman"/>
          <w:szCs w:val="24"/>
        </w:rPr>
        <w:t>.</w:t>
      </w:r>
      <w:r w:rsidR="00935B97">
        <w:rPr>
          <w:rFonts w:cs="Times New Roman"/>
          <w:szCs w:val="24"/>
        </w:rPr>
        <w:t>2</w:t>
      </w:r>
      <w:r w:rsidR="006677B0">
        <w:rPr>
          <w:rFonts w:cs="Times New Roman"/>
          <w:szCs w:val="24"/>
        </w:rPr>
        <w:t>.</w:t>
      </w:r>
      <w:r w:rsidR="006677B0" w:rsidRPr="006677B0">
        <w:rPr>
          <w:rFonts w:cs="Times New Roman"/>
          <w:szCs w:val="24"/>
        </w:rPr>
        <w:t xml:space="preserve"> </w:t>
      </w:r>
      <w:r w:rsidR="00BB707C" w:rsidRPr="00BB707C">
        <w:rPr>
          <w:rFonts w:cs="Times New Roman"/>
          <w:szCs w:val="24"/>
        </w:rPr>
        <w:t>Доля стран, проводящих миграционную политику, способствующую упорядоченной, безопасной, законной и ответственной миграции и мобильности людей</w:t>
      </w:r>
      <w:r w:rsidR="00BB707C">
        <w:rPr>
          <w:rFonts w:cs="Times New Roman"/>
          <w:szCs w:val="24"/>
        </w:rPr>
        <w:t>.</w:t>
      </w:r>
    </w:p>
    <w:p w14:paraId="228C6BEC"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3251E83E" w14:textId="1731E269" w:rsidR="00DC7ED5" w:rsidRDefault="00DC7ED5" w:rsidP="00DC7ED5">
      <w:pPr>
        <w:pStyle w:val="a0"/>
        <w:spacing w:line="276" w:lineRule="auto"/>
        <w:rPr>
          <w:lang w:eastAsia="ru-RU"/>
        </w:rPr>
      </w:pPr>
      <w:r w:rsidRPr="00DC7ED5">
        <w:rPr>
          <w:lang w:eastAsia="ru-RU"/>
        </w:rPr>
        <w:t>Доля стран, проводящих миграционную политику, способствующую упорядоченной, безопасной, законной и ответственной миграции и мобильности людей</w:t>
      </w:r>
      <w:r w:rsidR="006A538F">
        <w:rPr>
          <w:lang w:eastAsia="ru-RU"/>
        </w:rPr>
        <w:t xml:space="preserve"> по области проводимой политики</w:t>
      </w:r>
      <w:proofErr w:type="gramStart"/>
      <w:r w:rsidR="006A538F">
        <w:rPr>
          <w:lang w:eastAsia="ru-RU"/>
        </w:rPr>
        <w:t xml:space="preserve"> (%)</w:t>
      </w:r>
      <w:proofErr w:type="gramEnd"/>
    </w:p>
    <w:p w14:paraId="0014FB4E" w14:textId="652235E0" w:rsidR="002540B1" w:rsidRPr="002540B1" w:rsidRDefault="006A538F" w:rsidP="00DC7ED5">
      <w:pPr>
        <w:pStyle w:val="a0"/>
        <w:spacing w:line="276" w:lineRule="auto"/>
        <w:rPr>
          <w:lang w:eastAsia="ru-RU"/>
        </w:rPr>
      </w:pPr>
      <w:r>
        <w:rPr>
          <w:lang w:eastAsia="ru-RU"/>
        </w:rPr>
        <w:t>С</w:t>
      </w:r>
      <w:r w:rsidRPr="00DC7ED5">
        <w:rPr>
          <w:lang w:eastAsia="ru-RU"/>
        </w:rPr>
        <w:t>тран</w:t>
      </w:r>
      <w:r>
        <w:rPr>
          <w:lang w:eastAsia="ru-RU"/>
        </w:rPr>
        <w:t>ы</w:t>
      </w:r>
      <w:r w:rsidRPr="00DC7ED5">
        <w:rPr>
          <w:lang w:eastAsia="ru-RU"/>
        </w:rPr>
        <w:t>, проводящи</w:t>
      </w:r>
      <w:r>
        <w:rPr>
          <w:lang w:eastAsia="ru-RU"/>
        </w:rPr>
        <w:t>е</w:t>
      </w:r>
      <w:r w:rsidRPr="00DC7ED5">
        <w:rPr>
          <w:lang w:eastAsia="ru-RU"/>
        </w:rPr>
        <w:t xml:space="preserve"> миграционную политику, способствующую упорядоченной, безопасной, законной и ответственной миграции и мобильности людей</w:t>
      </w:r>
      <w:r>
        <w:rPr>
          <w:lang w:eastAsia="ru-RU"/>
        </w:rPr>
        <w:t xml:space="preserve"> по области проводимой политики (</w:t>
      </w:r>
      <w:r w:rsidR="009B0284" w:rsidRPr="009B0284">
        <w:rPr>
          <w:lang w:eastAsia="ru-RU"/>
        </w:rPr>
        <w:t xml:space="preserve">1 = </w:t>
      </w:r>
      <w:r w:rsidR="00D00BA8">
        <w:rPr>
          <w:lang w:eastAsia="ru-RU"/>
        </w:rPr>
        <w:t>т</w:t>
      </w:r>
      <w:r w:rsidR="009B0284" w:rsidRPr="009B0284">
        <w:rPr>
          <w:lang w:eastAsia="ru-RU"/>
        </w:rPr>
        <w:t>ребуется дальнейший прогресс; 2 = частично соответствует; 3 = соответствует; 4 = полностью соответствует</w:t>
      </w:r>
      <w:r w:rsidR="009B0284">
        <w:rPr>
          <w:lang w:eastAsia="ru-RU"/>
        </w:rPr>
        <w:t>)</w:t>
      </w:r>
    </w:p>
    <w:p w14:paraId="3FF98626"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629C3D17" w14:textId="6684FDDA" w:rsidR="00C8596F" w:rsidRPr="00A343D5" w:rsidRDefault="009076AA"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 xml:space="preserve">31 </w:t>
      </w:r>
      <w:r w:rsidR="00066B8B">
        <w:rPr>
          <w:rFonts w:eastAsia="Arial Unicode MS" w:cs="Times New Roman"/>
          <w:szCs w:val="24"/>
          <w:bdr w:val="nil"/>
          <w:lang w:eastAsia="ru-RU"/>
        </w:rPr>
        <w:t>м</w:t>
      </w:r>
      <w:r w:rsidR="00935B97">
        <w:rPr>
          <w:rFonts w:eastAsia="Arial Unicode MS" w:cs="Times New Roman"/>
          <w:szCs w:val="24"/>
          <w:bdr w:val="nil"/>
          <w:lang w:eastAsia="ru-RU"/>
        </w:rPr>
        <w:t>арт</w:t>
      </w:r>
      <w:r>
        <w:rPr>
          <w:rFonts w:eastAsia="Arial Unicode MS" w:cs="Times New Roman"/>
          <w:szCs w:val="24"/>
          <w:bdr w:val="nil"/>
          <w:lang w:eastAsia="ru-RU"/>
        </w:rPr>
        <w:t>а</w:t>
      </w:r>
      <w:r w:rsidR="008501F4">
        <w:rPr>
          <w:rFonts w:eastAsia="Arial Unicode MS" w:cs="Times New Roman"/>
          <w:szCs w:val="24"/>
          <w:bdr w:val="nil"/>
          <w:lang w:eastAsia="ru-RU"/>
        </w:rPr>
        <w:t xml:space="preserve"> 202</w:t>
      </w:r>
      <w:r>
        <w:rPr>
          <w:rFonts w:eastAsia="Arial Unicode MS" w:cs="Times New Roman"/>
          <w:szCs w:val="24"/>
          <w:bdr w:val="nil"/>
          <w:lang w:eastAsia="ru-RU"/>
        </w:rPr>
        <w:t>3</w:t>
      </w:r>
    </w:p>
    <w:p w14:paraId="1EE0884E"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26D9CFDC" w14:textId="77777777" w:rsidR="00935B97" w:rsidRPr="00371A77" w:rsidRDefault="00935B97" w:rsidP="00935B97">
      <w:pPr>
        <w:spacing w:before="100" w:beforeAutospacing="1" w:after="100" w:afterAutospacing="1"/>
        <w:rPr>
          <w:rFonts w:cs="Times New Roman"/>
          <w:szCs w:val="24"/>
        </w:rPr>
      </w:pPr>
      <w:r w:rsidRPr="00371A77">
        <w:rPr>
          <w:rStyle w:val="tlid-translation"/>
          <w:rFonts w:cs="Times New Roman"/>
          <w:szCs w:val="24"/>
        </w:rPr>
        <w:t>Показатель 10.7.2 дополняют несколько связанных показателей ЦУР. Они включают, но не ограничиваются:</w:t>
      </w:r>
    </w:p>
    <w:p w14:paraId="0D07F541" w14:textId="77777777" w:rsidR="00935B97" w:rsidRPr="001D08FA" w:rsidRDefault="00935B97" w:rsidP="00935B97">
      <w:pPr>
        <w:pStyle w:val="ac"/>
        <w:numPr>
          <w:ilvl w:val="0"/>
          <w:numId w:val="11"/>
        </w:numPr>
        <w:spacing w:before="100" w:beforeAutospacing="1" w:after="100" w:afterAutospacing="1"/>
        <w:rPr>
          <w:rFonts w:cs="Times New Roman"/>
          <w:szCs w:val="24"/>
        </w:rPr>
      </w:pPr>
      <w:r w:rsidRPr="001D08FA">
        <w:rPr>
          <w:rStyle w:val="tlid-translation"/>
          <w:rFonts w:cs="Times New Roman"/>
          <w:szCs w:val="24"/>
        </w:rPr>
        <w:t>Показатель 8.8.1 «Производственный травматизм со смертельным и не смертельным исходом в разбивке по полу и миграционному статусу»;</w:t>
      </w:r>
    </w:p>
    <w:p w14:paraId="05587949" w14:textId="77777777" w:rsidR="00935B97" w:rsidRDefault="00935B97" w:rsidP="00935B97">
      <w:pPr>
        <w:pStyle w:val="ac"/>
        <w:numPr>
          <w:ilvl w:val="0"/>
          <w:numId w:val="11"/>
        </w:numPr>
        <w:spacing w:before="100" w:beforeAutospacing="1" w:after="100" w:afterAutospacing="1"/>
        <w:rPr>
          <w:rStyle w:val="tlid-translation"/>
          <w:rFonts w:cs="Times New Roman"/>
          <w:szCs w:val="24"/>
        </w:rPr>
      </w:pPr>
      <w:r w:rsidRPr="001D08FA">
        <w:rPr>
          <w:rStyle w:val="tlid-translation"/>
          <w:rFonts w:cs="Times New Roman"/>
          <w:szCs w:val="24"/>
        </w:rPr>
        <w:t>Показатель 8.8.2. «Ситуация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 в разбивке по полу и миграционному статусу»;</w:t>
      </w:r>
    </w:p>
    <w:p w14:paraId="2E31A19D" w14:textId="77777777" w:rsidR="00935B97" w:rsidRPr="00935B97" w:rsidRDefault="00CF1C87" w:rsidP="00935B97">
      <w:pPr>
        <w:pStyle w:val="ac"/>
        <w:numPr>
          <w:ilvl w:val="0"/>
          <w:numId w:val="11"/>
        </w:numPr>
        <w:spacing w:before="100" w:beforeAutospacing="1" w:after="100" w:afterAutospacing="1"/>
        <w:rPr>
          <w:rFonts w:cs="Times New Roman"/>
          <w:szCs w:val="24"/>
        </w:rPr>
      </w:pPr>
      <w:r>
        <w:rPr>
          <w:rFonts w:cs="Times New Roman"/>
          <w:szCs w:val="24"/>
        </w:rPr>
        <w:t>Показатель</w:t>
      </w:r>
      <w:r w:rsidR="00935B97" w:rsidRPr="00935B97">
        <w:rPr>
          <w:rFonts w:cs="Times New Roman"/>
          <w:szCs w:val="24"/>
        </w:rPr>
        <w:t xml:space="preserve"> 10.7.3. «Количество людей, умерших или пропавших без вести в процессе миграции к месту назначения за границу»;</w:t>
      </w:r>
    </w:p>
    <w:p w14:paraId="4111D170" w14:textId="77777777" w:rsidR="00935B97" w:rsidRPr="001D08FA" w:rsidRDefault="00CF1C87" w:rsidP="00935B97">
      <w:pPr>
        <w:pStyle w:val="ac"/>
        <w:numPr>
          <w:ilvl w:val="0"/>
          <w:numId w:val="11"/>
        </w:numPr>
        <w:spacing w:before="100" w:beforeAutospacing="1" w:after="100" w:afterAutospacing="1"/>
        <w:rPr>
          <w:rFonts w:cs="Times New Roman"/>
          <w:szCs w:val="24"/>
        </w:rPr>
      </w:pPr>
      <w:r>
        <w:rPr>
          <w:rFonts w:cs="Times New Roman"/>
          <w:szCs w:val="24"/>
        </w:rPr>
        <w:t>Показатель</w:t>
      </w:r>
      <w:r w:rsidR="00935B97" w:rsidRPr="00935B97">
        <w:rPr>
          <w:rFonts w:cs="Times New Roman"/>
          <w:szCs w:val="24"/>
        </w:rPr>
        <w:t xml:space="preserve"> 10.7.4. «Доля беженцев в разбивке по странам происхождения»;</w:t>
      </w:r>
    </w:p>
    <w:p w14:paraId="639C8183" w14:textId="77777777" w:rsidR="00935B97" w:rsidRPr="001D08FA" w:rsidRDefault="00935B97" w:rsidP="00935B97">
      <w:pPr>
        <w:pStyle w:val="ac"/>
        <w:numPr>
          <w:ilvl w:val="0"/>
          <w:numId w:val="11"/>
        </w:numPr>
        <w:spacing w:before="100" w:beforeAutospacing="1" w:after="100" w:afterAutospacing="1"/>
        <w:rPr>
          <w:rStyle w:val="tlid-translation"/>
          <w:rFonts w:cs="Times New Roman"/>
          <w:szCs w:val="24"/>
        </w:rPr>
      </w:pPr>
      <w:r w:rsidRPr="001D08FA">
        <w:rPr>
          <w:rStyle w:val="tlid-translation"/>
          <w:rFonts w:cs="Times New Roman"/>
          <w:szCs w:val="24"/>
        </w:rPr>
        <w:t>Показатель 10.7.1. «Затраты работника на трудоустройство в процентах от его годового дохода в стране назначения»</w:t>
      </w:r>
    </w:p>
    <w:p w14:paraId="062177E7" w14:textId="77777777" w:rsidR="00935B97" w:rsidRPr="001D08FA" w:rsidRDefault="00935B97" w:rsidP="00935B97">
      <w:pPr>
        <w:pStyle w:val="ac"/>
        <w:numPr>
          <w:ilvl w:val="0"/>
          <w:numId w:val="11"/>
        </w:numPr>
        <w:spacing w:before="100" w:beforeAutospacing="1" w:after="100" w:afterAutospacing="1"/>
        <w:rPr>
          <w:rFonts w:cs="Times New Roman"/>
          <w:szCs w:val="24"/>
        </w:rPr>
      </w:pPr>
      <w:r w:rsidRPr="001D08FA">
        <w:rPr>
          <w:rStyle w:val="tlid-translation"/>
          <w:rFonts w:cs="Times New Roman"/>
          <w:szCs w:val="24"/>
        </w:rPr>
        <w:t>Показатель 10.c.1 «Стоимость перевода в процентном отношении к переводимой сумме».</w:t>
      </w:r>
    </w:p>
    <w:p w14:paraId="4D018F51" w14:textId="1A5A007D" w:rsidR="00935B97" w:rsidRPr="00371A77" w:rsidRDefault="00935B97" w:rsidP="00935B97">
      <w:pPr>
        <w:spacing w:before="100" w:beforeAutospacing="1" w:after="100" w:afterAutospacing="1"/>
        <w:rPr>
          <w:rFonts w:cs="Times New Roman"/>
          <w:szCs w:val="24"/>
          <w:u w:val="single"/>
        </w:rPr>
      </w:pPr>
      <w:r w:rsidRPr="00371A77">
        <w:rPr>
          <w:rStyle w:val="tlid-translation"/>
          <w:rFonts w:cs="Times New Roman"/>
          <w:szCs w:val="24"/>
        </w:rPr>
        <w:t xml:space="preserve">Показатель 10.7.2 также дополняет другие национальные структуры мониторинга миграции, в том числе MGI </w:t>
      </w:r>
      <w:r w:rsidR="004B6CEC">
        <w:rPr>
          <w:rStyle w:val="tlid-translation"/>
          <w:rFonts w:cs="Times New Roman"/>
          <w:szCs w:val="24"/>
          <w:lang w:val="en-US"/>
        </w:rPr>
        <w:t>IOM</w:t>
      </w:r>
      <w:r w:rsidRPr="00371A77">
        <w:rPr>
          <w:rStyle w:val="tlid-translation"/>
          <w:rFonts w:cs="Times New Roman"/>
          <w:szCs w:val="24"/>
        </w:rPr>
        <w:t xml:space="preserve">, который вступил в свою третью фазу в 2018 году. MGI </w:t>
      </w:r>
      <w:r w:rsidRPr="00371A77">
        <w:rPr>
          <w:rStyle w:val="tlid-translation"/>
          <w:rFonts w:cs="Times New Roman"/>
          <w:szCs w:val="24"/>
        </w:rPr>
        <w:lastRenderedPageBreak/>
        <w:t xml:space="preserve">действует в качестве основы для определения параметров политики и дает представление о политических рычагах, которые страны могут использовать для дальнейшего развития своего управления миграцией. Он содержит почти 90 вопросов, касающихся национальной миграционной политики стран, которые подпадают под те же шесть областей, что и показатель 10.7.2. </w:t>
      </w:r>
    </w:p>
    <w:p w14:paraId="4FE3EB52"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75C77AE8" w14:textId="65317453" w:rsidR="00935B97" w:rsidRDefault="00935B97" w:rsidP="00935B97">
      <w:pPr>
        <w:rPr>
          <w:lang w:eastAsia="ru-RU"/>
        </w:rPr>
      </w:pPr>
      <w:bookmarkStart w:id="1" w:name="_Toc37932744"/>
      <w:bookmarkStart w:id="2" w:name="_Toc36813072"/>
      <w:bookmarkStart w:id="3" w:name="_Toc36812685"/>
      <w:bookmarkStart w:id="4" w:name="_Toc36812572"/>
      <w:bookmarkStart w:id="5" w:name="_Toc36655609"/>
      <w:r w:rsidRPr="00935B97">
        <w:rPr>
          <w:lang w:eastAsia="ru-RU"/>
        </w:rPr>
        <w:t>Международная организация по миграции (</w:t>
      </w:r>
      <w:r w:rsidR="00197E93">
        <w:rPr>
          <w:lang w:val="en-US" w:eastAsia="ru-RU"/>
        </w:rPr>
        <w:t>IOM</w:t>
      </w:r>
      <w:r w:rsidRPr="00935B97">
        <w:rPr>
          <w:lang w:eastAsia="ru-RU"/>
        </w:rPr>
        <w:t>) и Департамент ООН по экономическим и социальным вопросам (</w:t>
      </w:r>
      <w:r w:rsidR="00197E93">
        <w:rPr>
          <w:lang w:val="en-US" w:eastAsia="ru-RU"/>
        </w:rPr>
        <w:t>DESA</w:t>
      </w:r>
      <w:r w:rsidRPr="00935B97">
        <w:rPr>
          <w:lang w:eastAsia="ru-RU"/>
        </w:rPr>
        <w:t>)</w:t>
      </w:r>
      <w:r w:rsidR="0052335E">
        <w:rPr>
          <w:lang w:eastAsia="ru-RU"/>
        </w:rPr>
        <w:t xml:space="preserve"> в качестве агентств-кураторов.</w:t>
      </w:r>
    </w:p>
    <w:p w14:paraId="00C3197C" w14:textId="05698A40" w:rsidR="00957A62" w:rsidRPr="005134DC" w:rsidRDefault="00957A62" w:rsidP="007A7B6C">
      <w:pPr>
        <w:pStyle w:val="MText"/>
        <w:rPr>
          <w:b/>
          <w:color w:val="auto"/>
          <w:sz w:val="24"/>
          <w:szCs w:val="24"/>
          <w:lang w:val="ru-RU"/>
        </w:rPr>
      </w:pPr>
      <w:r w:rsidRPr="005134DC">
        <w:rPr>
          <w:b/>
          <w:color w:val="auto"/>
          <w:sz w:val="24"/>
          <w:szCs w:val="24"/>
          <w:lang w:val="ru-RU"/>
        </w:rPr>
        <w:t xml:space="preserve">1. </w:t>
      </w:r>
      <w:bookmarkEnd w:id="1"/>
      <w:bookmarkEnd w:id="2"/>
      <w:bookmarkEnd w:id="3"/>
      <w:bookmarkEnd w:id="4"/>
      <w:bookmarkEnd w:id="5"/>
      <w:r w:rsidR="007A7B6C" w:rsidRPr="005134DC">
        <w:rPr>
          <w:b/>
          <w:color w:val="auto"/>
          <w:sz w:val="24"/>
          <w:szCs w:val="24"/>
          <w:lang w:val="ru-RU"/>
        </w:rPr>
        <w:t>Данные представлены</w:t>
      </w:r>
    </w:p>
    <w:p w14:paraId="57B55F9F" w14:textId="77777777" w:rsidR="00162B33" w:rsidRPr="00CF1C87" w:rsidRDefault="00957A62" w:rsidP="00CF1C87">
      <w:pPr>
        <w:pStyle w:val="MHeader2"/>
        <w:pBdr>
          <w:bottom w:val="single" w:sz="12" w:space="1" w:color="DDDDDD"/>
        </w:pBdr>
        <w:spacing w:line="276" w:lineRule="auto"/>
        <w:rPr>
          <w:b/>
          <w:color w:val="auto"/>
          <w:sz w:val="24"/>
          <w:szCs w:val="24"/>
          <w:lang w:val="ru-RU"/>
        </w:rPr>
      </w:pPr>
      <w:r w:rsidRPr="00CF1C87">
        <w:rPr>
          <w:b/>
          <w:color w:val="auto"/>
          <w:sz w:val="24"/>
          <w:szCs w:val="24"/>
          <w:lang w:val="ru-RU"/>
        </w:rPr>
        <w:t>1.a. Организация</w:t>
      </w:r>
    </w:p>
    <w:p w14:paraId="64222BBB" w14:textId="33600689" w:rsidR="006C10F0" w:rsidRDefault="006C10F0" w:rsidP="006C10F0">
      <w:pPr>
        <w:rPr>
          <w:rStyle w:val="tlid-translation"/>
          <w:rFonts w:cs="Times New Roman"/>
          <w:szCs w:val="24"/>
        </w:rPr>
      </w:pPr>
      <w:r w:rsidRPr="00371A77">
        <w:rPr>
          <w:rStyle w:val="tlid-translation"/>
          <w:rFonts w:cs="Times New Roman"/>
          <w:szCs w:val="24"/>
        </w:rPr>
        <w:t>Международная организация по миграции (</w:t>
      </w:r>
      <w:r w:rsidR="005134DC">
        <w:rPr>
          <w:rStyle w:val="tlid-translation"/>
          <w:rFonts w:cs="Times New Roman"/>
          <w:szCs w:val="24"/>
          <w:lang w:val="en-US"/>
        </w:rPr>
        <w:t>IOM</w:t>
      </w:r>
      <w:r w:rsidRPr="00371A77">
        <w:rPr>
          <w:rStyle w:val="tlid-translation"/>
          <w:rFonts w:cs="Times New Roman"/>
          <w:szCs w:val="24"/>
        </w:rPr>
        <w:t>) и Департамент ООН по экономическим и социальным вопросам (</w:t>
      </w:r>
      <w:r w:rsidR="005134DC">
        <w:rPr>
          <w:rStyle w:val="tlid-translation"/>
          <w:rFonts w:cs="Times New Roman"/>
          <w:szCs w:val="24"/>
          <w:lang w:val="en-US"/>
        </w:rPr>
        <w:t>DESA</w:t>
      </w:r>
      <w:r w:rsidRPr="00371A77">
        <w:rPr>
          <w:rStyle w:val="tlid-translation"/>
          <w:rFonts w:cs="Times New Roman"/>
          <w:szCs w:val="24"/>
        </w:rPr>
        <w:t>) в качестве агентств-кураторов. Организация по экономическому сотрудничеству и развитию (ОЭСР) в качестве агентства-партнера.</w:t>
      </w:r>
    </w:p>
    <w:p w14:paraId="0DF4897E" w14:textId="77777777" w:rsidR="00957A62" w:rsidRPr="00CF1C87" w:rsidRDefault="00957A62" w:rsidP="00CF1C87">
      <w:pPr>
        <w:pStyle w:val="MHeader2"/>
        <w:pBdr>
          <w:bottom w:val="single" w:sz="12" w:space="1" w:color="DDDDDD"/>
        </w:pBdr>
        <w:spacing w:line="276" w:lineRule="auto"/>
        <w:rPr>
          <w:b/>
          <w:color w:val="auto"/>
          <w:sz w:val="24"/>
          <w:szCs w:val="24"/>
          <w:lang w:val="ru-RU"/>
        </w:rPr>
      </w:pPr>
      <w:r w:rsidRPr="00CF1C87">
        <w:rPr>
          <w:b/>
          <w:color w:val="auto"/>
          <w:sz w:val="24"/>
          <w:szCs w:val="24"/>
          <w:lang w:val="ru-RU"/>
        </w:rPr>
        <w:t xml:space="preserve">2. Определения, </w:t>
      </w:r>
      <w:r w:rsidR="00A41B68" w:rsidRPr="00CF1C87">
        <w:rPr>
          <w:b/>
          <w:color w:val="auto"/>
          <w:sz w:val="24"/>
          <w:szCs w:val="24"/>
          <w:lang w:val="ru-RU"/>
        </w:rPr>
        <w:t>понятия</w:t>
      </w:r>
      <w:r w:rsidRPr="00CF1C87">
        <w:rPr>
          <w:b/>
          <w:color w:val="auto"/>
          <w:sz w:val="24"/>
          <w:szCs w:val="24"/>
          <w:lang w:val="ru-RU"/>
        </w:rPr>
        <w:t xml:space="preserve"> и классификации</w:t>
      </w:r>
    </w:p>
    <w:p w14:paraId="794B511B" w14:textId="77777777" w:rsidR="00A41B68" w:rsidRPr="00CF1C87" w:rsidRDefault="00957A62" w:rsidP="00CF1C87">
      <w:pPr>
        <w:pStyle w:val="MHeader2"/>
        <w:pBdr>
          <w:bottom w:val="single" w:sz="12" w:space="1" w:color="DDDDDD"/>
        </w:pBdr>
        <w:spacing w:line="276" w:lineRule="auto"/>
        <w:rPr>
          <w:b/>
          <w:color w:val="auto"/>
          <w:sz w:val="24"/>
          <w:szCs w:val="24"/>
          <w:lang w:val="ru-RU"/>
        </w:rPr>
      </w:pPr>
      <w:r w:rsidRPr="00CF1C87">
        <w:rPr>
          <w:b/>
          <w:color w:val="auto"/>
          <w:sz w:val="24"/>
          <w:szCs w:val="24"/>
          <w:lang w:val="ru-RU"/>
        </w:rPr>
        <w:t>2.</w:t>
      </w:r>
      <w:r w:rsidRPr="00CF1C87">
        <w:rPr>
          <w:b/>
          <w:color w:val="auto"/>
          <w:sz w:val="24"/>
          <w:szCs w:val="24"/>
        </w:rPr>
        <w:t>a</w:t>
      </w:r>
      <w:r w:rsidRPr="00CF1C87">
        <w:rPr>
          <w:b/>
          <w:color w:val="auto"/>
          <w:sz w:val="24"/>
          <w:szCs w:val="24"/>
          <w:lang w:val="ru-RU"/>
        </w:rPr>
        <w:t xml:space="preserve">. Определения и </w:t>
      </w:r>
      <w:r w:rsidR="00A41B68" w:rsidRPr="00CF1C87">
        <w:rPr>
          <w:b/>
          <w:color w:val="auto"/>
          <w:sz w:val="24"/>
          <w:szCs w:val="24"/>
          <w:lang w:val="ru-RU"/>
        </w:rPr>
        <w:t>понятия</w:t>
      </w:r>
    </w:p>
    <w:p w14:paraId="59736AB3" w14:textId="77777777" w:rsidR="00235C73" w:rsidRPr="00235C73" w:rsidRDefault="00235C73" w:rsidP="00235C73">
      <w:pPr>
        <w:rPr>
          <w:b/>
        </w:rPr>
      </w:pPr>
      <w:r w:rsidRPr="00235C73">
        <w:rPr>
          <w:b/>
        </w:rPr>
        <w:t>Определения</w:t>
      </w:r>
    </w:p>
    <w:p w14:paraId="3BD13277" w14:textId="77777777" w:rsidR="006C10F0" w:rsidRPr="00371A77" w:rsidRDefault="006C10F0" w:rsidP="006C10F0">
      <w:pPr>
        <w:spacing w:before="100" w:beforeAutospacing="1" w:after="100" w:afterAutospacing="1"/>
        <w:rPr>
          <w:rFonts w:cs="Times New Roman"/>
          <w:b/>
          <w:szCs w:val="24"/>
        </w:rPr>
      </w:pPr>
      <w:r w:rsidRPr="00371A77">
        <w:rPr>
          <w:rStyle w:val="tlid-translation"/>
          <w:rFonts w:cs="Times New Roman"/>
          <w:b/>
          <w:szCs w:val="24"/>
        </w:rPr>
        <w:t>Определение:</w:t>
      </w:r>
    </w:p>
    <w:p w14:paraId="6389C61C" w14:textId="77777777" w:rsidR="006C10F0" w:rsidRPr="00371A77" w:rsidRDefault="006C10F0" w:rsidP="006C10F0">
      <w:pPr>
        <w:spacing w:before="100" w:beforeAutospacing="1" w:after="100" w:afterAutospacing="1"/>
        <w:rPr>
          <w:rFonts w:cs="Times New Roman"/>
          <w:szCs w:val="24"/>
        </w:rPr>
      </w:pPr>
      <w:r w:rsidRPr="00371A77">
        <w:rPr>
          <w:rStyle w:val="tlid-translation"/>
          <w:rFonts w:cs="Times New Roman"/>
          <w:szCs w:val="24"/>
        </w:rPr>
        <w:t xml:space="preserve">Показатель ЦУР 10.7.2 предназначен для описания состояния национальной миграционной политики и того, как такая политика меняется со временем. Собранная информация направлена на </w:t>
      </w:r>
      <w:proofErr w:type="gramStart"/>
      <w:r w:rsidRPr="00371A77">
        <w:rPr>
          <w:rStyle w:val="tlid-translation"/>
          <w:rFonts w:cs="Times New Roman"/>
          <w:szCs w:val="24"/>
        </w:rPr>
        <w:t>выявление</w:t>
      </w:r>
      <w:proofErr w:type="gramEnd"/>
      <w:r w:rsidRPr="00371A77">
        <w:rPr>
          <w:rStyle w:val="tlid-translation"/>
          <w:rFonts w:cs="Times New Roman"/>
          <w:szCs w:val="24"/>
        </w:rPr>
        <w:t xml:space="preserve"> как достигнутого прогресса, так и пробелов, тем самым способствуя созданию базы фактических данных для практических рекомендаций по реализации цели 10.7 ЦУР. Показатель также будет использоваться для будущих тематических обзоров на Политическом форуме высокого уровня по устойчивому развитию (HLPF).</w:t>
      </w:r>
    </w:p>
    <w:p w14:paraId="378219EE" w14:textId="1F700AF1" w:rsidR="006C10F0" w:rsidRPr="00371A77" w:rsidRDefault="006C10F0" w:rsidP="006C10F0">
      <w:pPr>
        <w:spacing w:before="100" w:beforeAutospacing="1" w:after="100" w:afterAutospacing="1"/>
        <w:rPr>
          <w:rStyle w:val="tlid-translation"/>
          <w:rFonts w:cs="Times New Roman"/>
          <w:szCs w:val="24"/>
        </w:rPr>
      </w:pPr>
      <w:r w:rsidRPr="00371A77">
        <w:rPr>
          <w:rStyle w:val="tlid-translation"/>
          <w:rFonts w:cs="Times New Roman"/>
          <w:szCs w:val="24"/>
        </w:rPr>
        <w:t xml:space="preserve">Концептуальной основой для показателя 10.7.2 является Система управления миграцией </w:t>
      </w:r>
      <w:r w:rsidR="004B6CEC">
        <w:rPr>
          <w:rStyle w:val="tlid-translation"/>
          <w:rFonts w:cs="Times New Roman"/>
          <w:szCs w:val="24"/>
          <w:lang w:val="en-US"/>
        </w:rPr>
        <w:t>IOM</w:t>
      </w:r>
      <w:r w:rsidRPr="00371A77">
        <w:rPr>
          <w:rStyle w:val="tlid-translation"/>
          <w:rFonts w:cs="Times New Roman"/>
          <w:szCs w:val="24"/>
        </w:rPr>
        <w:t xml:space="preserve"> (</w:t>
      </w:r>
      <w:proofErr w:type="spellStart"/>
      <w:r w:rsidRPr="00371A77">
        <w:rPr>
          <w:rStyle w:val="tlid-translation"/>
          <w:rFonts w:cs="Times New Roman"/>
          <w:szCs w:val="24"/>
        </w:rPr>
        <w:t>MiGOF</w:t>
      </w:r>
      <w:proofErr w:type="spellEnd"/>
      <w:r w:rsidRPr="00371A77">
        <w:rPr>
          <w:rStyle w:val="tlid-translation"/>
          <w:rFonts w:cs="Times New Roman"/>
          <w:szCs w:val="24"/>
        </w:rPr>
        <w:t xml:space="preserve">), которую согласовали 157 стран (резолюция Совета </w:t>
      </w:r>
      <w:r w:rsidR="00D93D54">
        <w:rPr>
          <w:rStyle w:val="tlid-translation"/>
          <w:rFonts w:cs="Times New Roman"/>
          <w:szCs w:val="24"/>
          <w:lang w:val="en-US"/>
        </w:rPr>
        <w:t>IOM</w:t>
      </w:r>
      <w:r w:rsidRPr="00371A77">
        <w:rPr>
          <w:rStyle w:val="tlid-translation"/>
          <w:rFonts w:cs="Times New Roman"/>
          <w:szCs w:val="24"/>
        </w:rPr>
        <w:t xml:space="preserve"> C/106/RES/1310). </w:t>
      </w:r>
      <w:proofErr w:type="spellStart"/>
      <w:r w:rsidRPr="00371A77">
        <w:rPr>
          <w:rStyle w:val="tlid-translation"/>
          <w:rFonts w:cs="Times New Roman"/>
          <w:szCs w:val="24"/>
        </w:rPr>
        <w:t>MiGOF</w:t>
      </w:r>
      <w:proofErr w:type="spellEnd"/>
      <w:r w:rsidRPr="00371A77">
        <w:rPr>
          <w:rStyle w:val="tlid-translation"/>
          <w:rFonts w:cs="Times New Roman"/>
          <w:szCs w:val="24"/>
        </w:rPr>
        <w:t xml:space="preserve"> имеет три принципа и три цели (Структура 1).</w:t>
      </w:r>
    </w:p>
    <w:p w14:paraId="15299FAC" w14:textId="77777777" w:rsidR="006C10F0" w:rsidRPr="00371A77" w:rsidRDefault="006C10F0" w:rsidP="006C10F0">
      <w:pPr>
        <w:spacing w:before="100" w:beforeAutospacing="1" w:after="100" w:afterAutospacing="1"/>
        <w:rPr>
          <w:rStyle w:val="tlid-translation"/>
          <w:rFonts w:cs="Times New Roman"/>
          <w:b/>
          <w:szCs w:val="24"/>
        </w:rPr>
      </w:pPr>
      <w:r w:rsidRPr="00371A77">
        <w:rPr>
          <w:rStyle w:val="tlid-translation"/>
          <w:rFonts w:cs="Times New Roman"/>
          <w:b/>
          <w:szCs w:val="24"/>
        </w:rPr>
        <w:t>Структура 1. Принципы и цели структуры управления миграцией</w:t>
      </w:r>
      <w:r w:rsidRPr="00371A77">
        <w:rPr>
          <w:rStyle w:val="tlid-translation"/>
          <w:rFonts w:cs="Times New Roman"/>
          <w:b/>
          <w:noProof/>
          <w:szCs w:val="24"/>
        </w:rPr>
        <w:t xml:space="preserve"> </w:t>
      </w:r>
    </w:p>
    <w:tbl>
      <w:tblPr>
        <w:tblStyle w:val="ab"/>
        <w:tblW w:w="0" w:type="auto"/>
        <w:tblLook w:val="04A0" w:firstRow="1" w:lastRow="0" w:firstColumn="1" w:lastColumn="0" w:noHBand="0" w:noVBand="1"/>
      </w:tblPr>
      <w:tblGrid>
        <w:gridCol w:w="4531"/>
        <w:gridCol w:w="4814"/>
      </w:tblGrid>
      <w:tr w:rsidR="006C10F0" w:rsidRPr="00371A77" w14:paraId="287FEC0A" w14:textId="77777777" w:rsidTr="00947AE3">
        <w:tc>
          <w:tcPr>
            <w:tcW w:w="9345" w:type="dxa"/>
            <w:gridSpan w:val="2"/>
          </w:tcPr>
          <w:p w14:paraId="78DF45A6"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Принципы и цели государственного управления миграцией</w:t>
            </w:r>
          </w:p>
        </w:tc>
      </w:tr>
      <w:tr w:rsidR="006C10F0" w:rsidRPr="00371A77" w14:paraId="274A781F" w14:textId="77777777" w:rsidTr="00947AE3">
        <w:tc>
          <w:tcPr>
            <w:tcW w:w="4531" w:type="dxa"/>
          </w:tcPr>
          <w:p w14:paraId="4E8F037D"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Принципы</w:t>
            </w:r>
          </w:p>
        </w:tc>
        <w:tc>
          <w:tcPr>
            <w:tcW w:w="4814" w:type="dxa"/>
          </w:tcPr>
          <w:p w14:paraId="5F85B3AA"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Цели</w:t>
            </w:r>
          </w:p>
        </w:tc>
      </w:tr>
      <w:tr w:rsidR="006C10F0" w:rsidRPr="00371A77" w14:paraId="1CF6F88E" w14:textId="77777777" w:rsidTr="00947AE3">
        <w:tc>
          <w:tcPr>
            <w:tcW w:w="4531" w:type="dxa"/>
          </w:tcPr>
          <w:p w14:paraId="6EEEFE4C"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1.Соблюдение международных стандартов в рамках миграционной политики и реализация прав мигрантов.</w:t>
            </w:r>
          </w:p>
        </w:tc>
        <w:tc>
          <w:tcPr>
            <w:tcW w:w="4814" w:type="dxa"/>
          </w:tcPr>
          <w:p w14:paraId="619E9CEC"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1.Социально-экономическое благополучие мигрантов и общества.</w:t>
            </w:r>
          </w:p>
        </w:tc>
      </w:tr>
      <w:tr w:rsidR="006C10F0" w:rsidRPr="00371A77" w14:paraId="5A6B3E3F" w14:textId="77777777" w:rsidTr="00947AE3">
        <w:tc>
          <w:tcPr>
            <w:tcW w:w="4531" w:type="dxa"/>
          </w:tcPr>
          <w:p w14:paraId="49AA2BDD"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2.общегосударственные подходы к управлению миграционными потоками.</w:t>
            </w:r>
          </w:p>
        </w:tc>
        <w:tc>
          <w:tcPr>
            <w:tcW w:w="4814" w:type="dxa"/>
          </w:tcPr>
          <w:p w14:paraId="206193AE"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2.Эффективный отклик на мобильность измерения кризисов</w:t>
            </w:r>
          </w:p>
        </w:tc>
      </w:tr>
      <w:tr w:rsidR="006C10F0" w:rsidRPr="00371A77" w14:paraId="16E7DCDA" w14:textId="77777777" w:rsidTr="00947AE3">
        <w:tc>
          <w:tcPr>
            <w:tcW w:w="4531" w:type="dxa"/>
          </w:tcPr>
          <w:p w14:paraId="5F3FCE07"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3.установление партнёрства с целью контроля миграции.</w:t>
            </w:r>
          </w:p>
        </w:tc>
        <w:tc>
          <w:tcPr>
            <w:tcW w:w="4814" w:type="dxa"/>
          </w:tcPr>
          <w:p w14:paraId="2DCFC5E6"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3.Безопасные, упорядоченные и достойные пути миграции</w:t>
            </w:r>
          </w:p>
        </w:tc>
      </w:tr>
    </w:tbl>
    <w:p w14:paraId="581057EF" w14:textId="77777777" w:rsidR="006C10F0" w:rsidRPr="00371A77" w:rsidRDefault="006C10F0" w:rsidP="006C10F0">
      <w:pPr>
        <w:spacing w:before="100" w:beforeAutospacing="1" w:after="100" w:afterAutospacing="1"/>
        <w:rPr>
          <w:rStyle w:val="tlid-translation"/>
          <w:rFonts w:cs="Times New Roman"/>
          <w:szCs w:val="24"/>
        </w:rPr>
      </w:pPr>
    </w:p>
    <w:p w14:paraId="060A4345" w14:textId="77777777" w:rsidR="006C10F0" w:rsidRPr="00371A77" w:rsidRDefault="006C10F0" w:rsidP="006C10F0">
      <w:pPr>
        <w:spacing w:before="100" w:beforeAutospacing="1" w:after="100" w:afterAutospacing="1"/>
        <w:rPr>
          <w:rFonts w:cs="Times New Roman"/>
          <w:szCs w:val="24"/>
        </w:rPr>
      </w:pPr>
      <w:r w:rsidRPr="00371A77">
        <w:rPr>
          <w:rStyle w:val="tlid-translation"/>
          <w:rFonts w:cs="Times New Roman"/>
          <w:szCs w:val="24"/>
        </w:rPr>
        <w:t>Три принципа предлагают необходимые условия для надлежащего управления миграцией путем создания более эффективной среды для достижения максимальных результатов, чтобы миграция была полезной для всех. Они представляют собой средства, с помощью которых государство обеспечит выполнение системных требований для надлежащего управления миграцией.</w:t>
      </w:r>
    </w:p>
    <w:p w14:paraId="52C36091" w14:textId="77777777" w:rsidR="006C10F0" w:rsidRPr="00371A77" w:rsidRDefault="006C10F0" w:rsidP="006C10F0">
      <w:pPr>
        <w:spacing w:before="100" w:beforeAutospacing="1" w:after="100" w:afterAutospacing="1"/>
        <w:rPr>
          <w:rFonts w:cs="Times New Roman"/>
          <w:szCs w:val="24"/>
        </w:rPr>
      </w:pPr>
      <w:r w:rsidRPr="00371A77">
        <w:rPr>
          <w:rStyle w:val="tlid-translation"/>
          <w:rFonts w:cs="Times New Roman"/>
          <w:szCs w:val="24"/>
        </w:rPr>
        <w:t>Три цели являются конкретными и не требуют каких-либо дополнительных соглашений, законов или практик, чем те, которые уже существуют. Взятые вместе, эти цели гарантируют, что миграция управляется комплексным и целостным образом, отвечая на необходимость учитывать мобильные категории людей и удовлетворять их потребности в помощи в случае чрезвычайной ситуации, повышая устойчивость отдельных людей и сообществ, а также обеспечение возможностей для экономического и социального здоровья государства.</w:t>
      </w:r>
    </w:p>
    <w:p w14:paraId="2C5C84DA" w14:textId="77777777" w:rsidR="006C10F0" w:rsidRPr="00371A77" w:rsidRDefault="006C10F0" w:rsidP="006C10F0">
      <w:pPr>
        <w:spacing w:before="100" w:beforeAutospacing="1" w:after="100" w:afterAutospacing="1"/>
        <w:rPr>
          <w:rStyle w:val="tlid-translation"/>
          <w:rFonts w:cs="Times New Roman"/>
          <w:szCs w:val="24"/>
        </w:rPr>
      </w:pPr>
      <w:r w:rsidRPr="00371A77">
        <w:rPr>
          <w:rStyle w:val="tlid-translation"/>
          <w:rFonts w:cs="Times New Roman"/>
          <w:szCs w:val="24"/>
        </w:rPr>
        <w:t xml:space="preserve">В соответствии с </w:t>
      </w:r>
      <w:proofErr w:type="spellStart"/>
      <w:r w:rsidRPr="00371A77">
        <w:rPr>
          <w:rStyle w:val="tlid-translation"/>
          <w:rFonts w:cs="Times New Roman"/>
          <w:szCs w:val="24"/>
        </w:rPr>
        <w:t>MiGOF</w:t>
      </w:r>
      <w:proofErr w:type="spellEnd"/>
      <w:r w:rsidRPr="00371A77">
        <w:rPr>
          <w:rStyle w:val="tlid-translation"/>
          <w:rFonts w:cs="Times New Roman"/>
          <w:szCs w:val="24"/>
        </w:rPr>
        <w:t>, предлагаемая методология для показателя 10.7.2 ЦУР состоит из шести областей политики, с одной мерой прокси для каждой области (Таблица 1.)</w:t>
      </w:r>
    </w:p>
    <w:p w14:paraId="7461616E" w14:textId="77777777" w:rsidR="006C10F0" w:rsidRPr="00371A77" w:rsidRDefault="006C10F0" w:rsidP="006C10F0">
      <w:pPr>
        <w:spacing w:before="100" w:beforeAutospacing="1" w:after="100" w:afterAutospacing="1"/>
        <w:rPr>
          <w:rStyle w:val="tlid-translation"/>
          <w:rFonts w:cs="Times New Roman"/>
          <w:b/>
          <w:szCs w:val="24"/>
        </w:rPr>
      </w:pPr>
      <w:r w:rsidRPr="00371A77">
        <w:rPr>
          <w:rStyle w:val="tlid-translation"/>
          <w:rFonts w:cs="Times New Roman"/>
          <w:b/>
          <w:szCs w:val="24"/>
        </w:rPr>
        <w:t>Таблица 1</w:t>
      </w:r>
      <w:r>
        <w:rPr>
          <w:rStyle w:val="tlid-translation"/>
          <w:rFonts w:cs="Times New Roman"/>
          <w:b/>
          <w:szCs w:val="24"/>
        </w:rPr>
        <w:t xml:space="preserve"> </w:t>
      </w:r>
      <w:r w:rsidRPr="00371A77">
        <w:rPr>
          <w:rStyle w:val="tlid-translation"/>
          <w:rFonts w:cs="Times New Roman"/>
          <w:b/>
          <w:szCs w:val="24"/>
        </w:rPr>
        <w:t xml:space="preserve">Домены и прокси-меры для </w:t>
      </w:r>
      <w:r>
        <w:rPr>
          <w:rStyle w:val="tlid-translation"/>
          <w:rFonts w:cs="Times New Roman"/>
          <w:b/>
          <w:szCs w:val="24"/>
        </w:rPr>
        <w:t>показателя</w:t>
      </w:r>
      <w:r w:rsidRPr="00371A77">
        <w:rPr>
          <w:rStyle w:val="tlid-translation"/>
          <w:rFonts w:cs="Times New Roman"/>
          <w:b/>
          <w:szCs w:val="24"/>
        </w:rPr>
        <w:t xml:space="preserve"> ЦУР 10.7.2</w:t>
      </w:r>
    </w:p>
    <w:tbl>
      <w:tblPr>
        <w:tblStyle w:val="ab"/>
        <w:tblW w:w="0" w:type="auto"/>
        <w:tblLook w:val="04A0" w:firstRow="1" w:lastRow="0" w:firstColumn="1" w:lastColumn="0" w:noHBand="0" w:noVBand="1"/>
      </w:tblPr>
      <w:tblGrid>
        <w:gridCol w:w="396"/>
        <w:gridCol w:w="3737"/>
        <w:gridCol w:w="5438"/>
      </w:tblGrid>
      <w:tr w:rsidR="006C10F0" w:rsidRPr="00371A77" w14:paraId="1F9826DB" w14:textId="77777777" w:rsidTr="00947AE3">
        <w:tc>
          <w:tcPr>
            <w:tcW w:w="396" w:type="dxa"/>
          </w:tcPr>
          <w:p w14:paraId="56E3A8AE" w14:textId="77777777" w:rsidR="006C10F0" w:rsidRPr="00371A77" w:rsidRDefault="006C10F0" w:rsidP="00947AE3">
            <w:pPr>
              <w:spacing w:before="100" w:beforeAutospacing="1" w:after="100" w:afterAutospacing="1" w:line="276" w:lineRule="auto"/>
              <w:rPr>
                <w:rStyle w:val="tlid-translation"/>
                <w:rFonts w:cs="Times New Roman"/>
                <w:szCs w:val="24"/>
              </w:rPr>
            </w:pPr>
          </w:p>
        </w:tc>
        <w:tc>
          <w:tcPr>
            <w:tcW w:w="3398" w:type="dxa"/>
          </w:tcPr>
          <w:p w14:paraId="76CAEE74" w14:textId="77777777" w:rsidR="006C10F0" w:rsidRPr="00371A77" w:rsidRDefault="006C10F0" w:rsidP="00947AE3">
            <w:pPr>
              <w:spacing w:before="100" w:beforeAutospacing="1" w:after="100" w:afterAutospacing="1" w:line="276" w:lineRule="auto"/>
              <w:rPr>
                <w:rStyle w:val="tlid-translation"/>
                <w:rFonts w:cs="Times New Roman"/>
                <w:szCs w:val="24"/>
              </w:rPr>
            </w:pPr>
            <w:r>
              <w:rPr>
                <w:rStyle w:val="gt-baf-cell"/>
                <w:rFonts w:cs="Times New Roman"/>
                <w:szCs w:val="24"/>
              </w:rPr>
              <w:t>Домен (</w:t>
            </w:r>
            <w:r w:rsidRPr="00371A77">
              <w:rPr>
                <w:rStyle w:val="gt-baf-cell"/>
                <w:rFonts w:cs="Times New Roman"/>
                <w:szCs w:val="24"/>
              </w:rPr>
              <w:t>Область</w:t>
            </w:r>
            <w:r>
              <w:rPr>
                <w:rStyle w:val="gt-baf-cell"/>
                <w:rFonts w:cs="Times New Roman"/>
                <w:szCs w:val="24"/>
              </w:rPr>
              <w:t>)</w:t>
            </w:r>
          </w:p>
        </w:tc>
        <w:tc>
          <w:tcPr>
            <w:tcW w:w="5563" w:type="dxa"/>
          </w:tcPr>
          <w:p w14:paraId="622AD0C6"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Прокси-меры (Репрезентативные данные)</w:t>
            </w:r>
          </w:p>
        </w:tc>
      </w:tr>
      <w:tr w:rsidR="006C10F0" w:rsidRPr="00371A77" w14:paraId="16A027AA" w14:textId="77777777" w:rsidTr="00947AE3">
        <w:tc>
          <w:tcPr>
            <w:tcW w:w="396" w:type="dxa"/>
          </w:tcPr>
          <w:p w14:paraId="2B175AC1"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1.</w:t>
            </w:r>
          </w:p>
        </w:tc>
        <w:tc>
          <w:tcPr>
            <w:tcW w:w="3398" w:type="dxa"/>
          </w:tcPr>
          <w:p w14:paraId="3A01649F"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Права мигрантов</w:t>
            </w:r>
          </w:p>
        </w:tc>
        <w:tc>
          <w:tcPr>
            <w:tcW w:w="5563" w:type="dxa"/>
          </w:tcPr>
          <w:p w14:paraId="627DFEAD"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Степень, в которой мигранты имеют равный доступ к услугам, включая здравоохранение, образование, достойную работу, социальное обеспечение и социальные пособия</w:t>
            </w:r>
          </w:p>
        </w:tc>
      </w:tr>
      <w:tr w:rsidR="006C10F0" w:rsidRPr="00371A77" w14:paraId="3E485739" w14:textId="77777777" w:rsidTr="00947AE3">
        <w:tc>
          <w:tcPr>
            <w:tcW w:w="396" w:type="dxa"/>
          </w:tcPr>
          <w:p w14:paraId="191E5F0E"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2.</w:t>
            </w:r>
          </w:p>
        </w:tc>
        <w:tc>
          <w:tcPr>
            <w:tcW w:w="3398" w:type="dxa"/>
          </w:tcPr>
          <w:p w14:paraId="3D315BB3"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Общегосударственная/основанная на фактических данных политика</w:t>
            </w:r>
          </w:p>
        </w:tc>
        <w:tc>
          <w:tcPr>
            <w:tcW w:w="5563" w:type="dxa"/>
          </w:tcPr>
          <w:p w14:paraId="2997C409"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Специализированные институты, правовые рамки и политика или стратегии по управлению миграцией</w:t>
            </w:r>
          </w:p>
        </w:tc>
      </w:tr>
      <w:tr w:rsidR="006C10F0" w:rsidRPr="00371A77" w14:paraId="2F3D4634" w14:textId="77777777" w:rsidTr="00947AE3">
        <w:tc>
          <w:tcPr>
            <w:tcW w:w="396" w:type="dxa"/>
          </w:tcPr>
          <w:p w14:paraId="78470A42"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3.</w:t>
            </w:r>
          </w:p>
        </w:tc>
        <w:tc>
          <w:tcPr>
            <w:tcW w:w="3398" w:type="dxa"/>
          </w:tcPr>
          <w:p w14:paraId="58617D09"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Сотрудничество и партнерство</w:t>
            </w:r>
          </w:p>
        </w:tc>
        <w:tc>
          <w:tcPr>
            <w:tcW w:w="5563" w:type="dxa"/>
          </w:tcPr>
          <w:p w14:paraId="2F06B43D"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Правительственные меры по развитию сотрудничества и поощрению вовлечения заинтересованных сторон и участия в миграционной политике</w:t>
            </w:r>
          </w:p>
        </w:tc>
      </w:tr>
      <w:tr w:rsidR="006C10F0" w:rsidRPr="00371A77" w14:paraId="08C732CE" w14:textId="77777777" w:rsidTr="00947AE3">
        <w:tc>
          <w:tcPr>
            <w:tcW w:w="396" w:type="dxa"/>
          </w:tcPr>
          <w:p w14:paraId="5CBAFBA6"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4.</w:t>
            </w:r>
          </w:p>
        </w:tc>
        <w:tc>
          <w:tcPr>
            <w:tcW w:w="3398" w:type="dxa"/>
          </w:tcPr>
          <w:p w14:paraId="0C550971"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Социально-экономическое благополучие</w:t>
            </w:r>
          </w:p>
        </w:tc>
        <w:tc>
          <w:tcPr>
            <w:tcW w:w="5563" w:type="dxa"/>
          </w:tcPr>
          <w:p w14:paraId="3557EA60"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Правительственные меры по максимизации положительного воздействия миграции на развитие и социально-экономическое благополучие мигрантов</w:t>
            </w:r>
          </w:p>
        </w:tc>
      </w:tr>
      <w:tr w:rsidR="006C10F0" w:rsidRPr="00371A77" w14:paraId="31B45F6E" w14:textId="77777777" w:rsidTr="00947AE3">
        <w:tc>
          <w:tcPr>
            <w:tcW w:w="396" w:type="dxa"/>
          </w:tcPr>
          <w:p w14:paraId="5CF4B8B7"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5.</w:t>
            </w:r>
          </w:p>
        </w:tc>
        <w:tc>
          <w:tcPr>
            <w:tcW w:w="3398" w:type="dxa"/>
          </w:tcPr>
          <w:p w14:paraId="335F20F1"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Оперативность измерения кризисов</w:t>
            </w:r>
          </w:p>
        </w:tc>
        <w:tc>
          <w:tcPr>
            <w:tcW w:w="5563" w:type="dxa"/>
          </w:tcPr>
          <w:p w14:paraId="637F9CEF"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Правительственные меры по комплексному реагированию на беженцев и других насильственно перемещенных лиц</w:t>
            </w:r>
          </w:p>
        </w:tc>
      </w:tr>
      <w:tr w:rsidR="006C10F0" w:rsidRPr="00371A77" w14:paraId="6535A366" w14:textId="77777777" w:rsidTr="00947AE3">
        <w:tc>
          <w:tcPr>
            <w:tcW w:w="396" w:type="dxa"/>
          </w:tcPr>
          <w:p w14:paraId="6FBDDA4C"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6.</w:t>
            </w:r>
          </w:p>
        </w:tc>
        <w:tc>
          <w:tcPr>
            <w:tcW w:w="3398" w:type="dxa"/>
          </w:tcPr>
          <w:p w14:paraId="616C7F8E"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Безопасная, упорядоченная и регулярная миграция</w:t>
            </w:r>
          </w:p>
        </w:tc>
        <w:tc>
          <w:tcPr>
            <w:tcW w:w="5563" w:type="dxa"/>
          </w:tcPr>
          <w:p w14:paraId="1A6664CC"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Правительственные меры по решению проблемы регулярной или нелегальной иммиграции</w:t>
            </w:r>
          </w:p>
        </w:tc>
      </w:tr>
    </w:tbl>
    <w:p w14:paraId="55CA7039" w14:textId="77777777" w:rsidR="006C10F0" w:rsidRPr="00371A77" w:rsidRDefault="006C10F0" w:rsidP="006C10F0">
      <w:pPr>
        <w:spacing w:before="100" w:beforeAutospacing="1" w:after="100" w:afterAutospacing="1"/>
        <w:rPr>
          <w:rFonts w:cs="Times New Roman"/>
          <w:szCs w:val="24"/>
        </w:rPr>
      </w:pPr>
    </w:p>
    <w:p w14:paraId="52401153" w14:textId="77777777" w:rsidR="006C10F0" w:rsidRPr="00371A77" w:rsidRDefault="006C10F0" w:rsidP="006C10F0">
      <w:pPr>
        <w:spacing w:before="100" w:beforeAutospacing="1" w:after="100" w:afterAutospacing="1"/>
        <w:rPr>
          <w:rStyle w:val="tlid-translation"/>
          <w:rFonts w:cs="Times New Roman"/>
          <w:szCs w:val="24"/>
        </w:rPr>
      </w:pPr>
      <w:r w:rsidRPr="00371A77">
        <w:rPr>
          <w:rStyle w:val="tlid-translation"/>
          <w:rFonts w:cs="Times New Roman"/>
          <w:szCs w:val="24"/>
        </w:rPr>
        <w:lastRenderedPageBreak/>
        <w:t>Для каждой из областей и соответствующих мер действий был задан один вопрос, каждый из которых информирован пятью подкатегориями или ответами (Таблица 2), чтобы охватить ключевые аспекты диапазона миграционной политики на национальном уровне, позволяя при этом показателю выявить соответствующие различия между странами и с течением времени.</w:t>
      </w:r>
    </w:p>
    <w:p w14:paraId="7EE57617" w14:textId="77777777" w:rsidR="006C10F0" w:rsidRPr="00371A77" w:rsidRDefault="006C10F0" w:rsidP="006C10F0">
      <w:pPr>
        <w:spacing w:before="100" w:beforeAutospacing="1" w:after="100" w:afterAutospacing="1"/>
        <w:rPr>
          <w:rStyle w:val="tlid-translation"/>
          <w:rFonts w:cs="Times New Roman"/>
          <w:b/>
          <w:szCs w:val="24"/>
        </w:rPr>
      </w:pPr>
      <w:r w:rsidRPr="00371A77">
        <w:rPr>
          <w:rStyle w:val="tlid-translation"/>
          <w:rFonts w:cs="Times New Roman"/>
          <w:b/>
          <w:szCs w:val="24"/>
        </w:rPr>
        <w:t>Таблица 2. Вопросы и подкатегории для показателя ЦУР 10.7.2</w:t>
      </w:r>
    </w:p>
    <w:tbl>
      <w:tblPr>
        <w:tblStyle w:val="ab"/>
        <w:tblW w:w="0" w:type="auto"/>
        <w:tblInd w:w="-567" w:type="dxa"/>
        <w:tblLook w:val="04A0" w:firstRow="1" w:lastRow="0" w:firstColumn="1" w:lastColumn="0" w:noHBand="0" w:noVBand="1"/>
      </w:tblPr>
      <w:tblGrid>
        <w:gridCol w:w="1271"/>
        <w:gridCol w:w="5062"/>
        <w:gridCol w:w="3115"/>
      </w:tblGrid>
      <w:tr w:rsidR="006C10F0" w:rsidRPr="00371A77" w14:paraId="484D6191" w14:textId="77777777" w:rsidTr="00947AE3">
        <w:tc>
          <w:tcPr>
            <w:tcW w:w="1271" w:type="dxa"/>
          </w:tcPr>
          <w:p w14:paraId="43F0417F" w14:textId="77777777" w:rsidR="006C10F0" w:rsidRPr="00371A77" w:rsidRDefault="006C10F0" w:rsidP="00947AE3">
            <w:pPr>
              <w:spacing w:before="100" w:beforeAutospacing="1" w:after="100" w:afterAutospacing="1" w:line="276" w:lineRule="auto"/>
              <w:rPr>
                <w:rFonts w:cs="Times New Roman"/>
                <w:szCs w:val="24"/>
              </w:rPr>
            </w:pPr>
          </w:p>
        </w:tc>
        <w:tc>
          <w:tcPr>
            <w:tcW w:w="5062" w:type="dxa"/>
          </w:tcPr>
          <w:p w14:paraId="730D89C3"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Вопрос</w:t>
            </w:r>
          </w:p>
        </w:tc>
        <w:tc>
          <w:tcPr>
            <w:tcW w:w="3115" w:type="dxa"/>
          </w:tcPr>
          <w:p w14:paraId="696AFBDE"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Подкатегории</w:t>
            </w:r>
          </w:p>
        </w:tc>
      </w:tr>
      <w:tr w:rsidR="006C10F0" w:rsidRPr="00371A77" w14:paraId="34BF89DB" w14:textId="77777777" w:rsidTr="00947AE3">
        <w:tc>
          <w:tcPr>
            <w:tcW w:w="1271" w:type="dxa"/>
          </w:tcPr>
          <w:p w14:paraId="5BA4E36C"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t>Область</w:t>
            </w:r>
            <w:r w:rsidRPr="00371A77">
              <w:rPr>
                <w:rStyle w:val="tlid-translation"/>
                <w:rFonts w:cs="Times New Roman"/>
                <w:szCs w:val="24"/>
              </w:rPr>
              <w:t xml:space="preserve"> 1</w:t>
            </w:r>
          </w:p>
        </w:tc>
        <w:tc>
          <w:tcPr>
            <w:tcW w:w="5062" w:type="dxa"/>
          </w:tcPr>
          <w:p w14:paraId="5FB587B7"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Предоставляет ли правительство не гражданам равный доступ к следующим услугам, социальным пособиям и правам?</w:t>
            </w:r>
          </w:p>
        </w:tc>
        <w:tc>
          <w:tcPr>
            <w:tcW w:w="3115" w:type="dxa"/>
          </w:tcPr>
          <w:p w14:paraId="52245D62" w14:textId="77777777" w:rsidR="006C10F0" w:rsidRPr="00F352EA" w:rsidRDefault="006C10F0" w:rsidP="00F918E7">
            <w:pPr>
              <w:pStyle w:val="ac"/>
              <w:spacing w:before="100" w:beforeAutospacing="1" w:after="100" w:afterAutospacing="1"/>
              <w:ind w:left="46"/>
              <w:rPr>
                <w:rFonts w:cs="Times New Roman"/>
                <w:szCs w:val="24"/>
              </w:rPr>
            </w:pPr>
            <w:r w:rsidRPr="00F352EA">
              <w:rPr>
                <w:rStyle w:val="tlid-translation"/>
                <w:rFonts w:cs="Times New Roman"/>
                <w:szCs w:val="24"/>
              </w:rPr>
              <w:t>а. Основное и/или неотложное медицинское обслуживание</w:t>
            </w:r>
          </w:p>
          <w:p w14:paraId="581F53A3" w14:textId="6A3E3ACA" w:rsidR="006C10F0" w:rsidRPr="00F352EA" w:rsidRDefault="00AD2026" w:rsidP="00F918E7">
            <w:pPr>
              <w:pStyle w:val="ac"/>
              <w:spacing w:before="100" w:beforeAutospacing="1" w:after="100" w:afterAutospacing="1"/>
              <w:ind w:left="46"/>
              <w:rPr>
                <w:rFonts w:cs="Times New Roman"/>
                <w:szCs w:val="24"/>
              </w:rPr>
            </w:pPr>
            <w:proofErr w:type="gramStart"/>
            <w:r>
              <w:rPr>
                <w:rStyle w:val="tlid-translation"/>
                <w:rFonts w:cs="Times New Roman"/>
                <w:szCs w:val="24"/>
              </w:rPr>
              <w:t>б</w:t>
            </w:r>
            <w:proofErr w:type="gramEnd"/>
            <w:r>
              <w:rPr>
                <w:rStyle w:val="tlid-translation"/>
                <w:rFonts w:cs="Times New Roman"/>
                <w:szCs w:val="24"/>
              </w:rPr>
              <w:t xml:space="preserve">. </w:t>
            </w:r>
            <w:r w:rsidR="006C10F0" w:rsidRPr="00F352EA">
              <w:rPr>
                <w:rStyle w:val="tlid-translation"/>
                <w:rFonts w:cs="Times New Roman"/>
                <w:szCs w:val="24"/>
              </w:rPr>
              <w:t>Государственное образование</w:t>
            </w:r>
          </w:p>
          <w:p w14:paraId="44D888A7" w14:textId="77777777" w:rsidR="006C10F0" w:rsidRPr="00F352EA" w:rsidRDefault="006C10F0" w:rsidP="00F918E7">
            <w:pPr>
              <w:pStyle w:val="ac"/>
              <w:spacing w:before="100" w:beforeAutospacing="1" w:after="100" w:afterAutospacing="1"/>
              <w:ind w:left="46"/>
              <w:rPr>
                <w:rFonts w:cs="Times New Roman"/>
                <w:szCs w:val="24"/>
              </w:rPr>
            </w:pPr>
            <w:proofErr w:type="gramStart"/>
            <w:r w:rsidRPr="00F352EA">
              <w:rPr>
                <w:rStyle w:val="tlid-translation"/>
                <w:rFonts w:cs="Times New Roman"/>
                <w:szCs w:val="24"/>
              </w:rPr>
              <w:t>с</w:t>
            </w:r>
            <w:proofErr w:type="gramEnd"/>
            <w:r w:rsidRPr="00F352EA">
              <w:rPr>
                <w:rStyle w:val="tlid-translation"/>
                <w:rFonts w:cs="Times New Roman"/>
                <w:szCs w:val="24"/>
              </w:rPr>
              <w:t>. Равная оплата за равный труд</w:t>
            </w:r>
          </w:p>
          <w:p w14:paraId="41FF52D9" w14:textId="77777777" w:rsidR="006C10F0" w:rsidRPr="00F352EA" w:rsidRDefault="006C10F0" w:rsidP="00F918E7">
            <w:pPr>
              <w:pStyle w:val="ac"/>
              <w:spacing w:before="100" w:beforeAutospacing="1" w:after="100" w:afterAutospacing="1"/>
              <w:ind w:left="46"/>
              <w:rPr>
                <w:rFonts w:cs="Times New Roman"/>
                <w:szCs w:val="24"/>
              </w:rPr>
            </w:pPr>
            <w:r w:rsidRPr="00F352EA">
              <w:rPr>
                <w:rStyle w:val="tlid-translation"/>
                <w:rFonts w:cs="Times New Roman"/>
                <w:szCs w:val="24"/>
              </w:rPr>
              <w:t>д. Социальная защита</w:t>
            </w:r>
          </w:p>
          <w:p w14:paraId="7B1A230C" w14:textId="77777777" w:rsidR="006C10F0" w:rsidRPr="00F352EA" w:rsidRDefault="006C10F0" w:rsidP="00F918E7">
            <w:pPr>
              <w:pStyle w:val="ac"/>
              <w:spacing w:before="100" w:beforeAutospacing="1" w:after="100" w:afterAutospacing="1"/>
              <w:ind w:left="46"/>
              <w:rPr>
                <w:rFonts w:cs="Times New Roman"/>
                <w:szCs w:val="24"/>
              </w:rPr>
            </w:pPr>
            <w:r w:rsidRPr="00F352EA">
              <w:rPr>
                <w:rStyle w:val="tlid-translation"/>
                <w:rFonts w:cs="Times New Roman"/>
                <w:szCs w:val="24"/>
              </w:rPr>
              <w:t>е. Доступ к правосудию</w:t>
            </w:r>
          </w:p>
        </w:tc>
      </w:tr>
      <w:tr w:rsidR="006C10F0" w:rsidRPr="00371A77" w14:paraId="28B0A276" w14:textId="77777777" w:rsidTr="00947AE3">
        <w:tc>
          <w:tcPr>
            <w:tcW w:w="1271" w:type="dxa"/>
          </w:tcPr>
          <w:p w14:paraId="33187232"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t>Область</w:t>
            </w:r>
            <w:r w:rsidRPr="00371A77">
              <w:rPr>
                <w:rStyle w:val="tlid-translation"/>
                <w:rFonts w:cs="Times New Roman"/>
                <w:szCs w:val="24"/>
              </w:rPr>
              <w:t xml:space="preserve"> 2</w:t>
            </w:r>
          </w:p>
        </w:tc>
        <w:tc>
          <w:tcPr>
            <w:tcW w:w="5062" w:type="dxa"/>
          </w:tcPr>
          <w:p w14:paraId="4BE1C79F" w14:textId="77777777" w:rsidR="006C10F0" w:rsidRPr="00371A77" w:rsidRDefault="006C10F0" w:rsidP="00947AE3">
            <w:pPr>
              <w:spacing w:before="100" w:beforeAutospacing="1" w:after="100" w:afterAutospacing="1" w:line="276" w:lineRule="auto"/>
              <w:rPr>
                <w:rFonts w:cs="Times New Roman"/>
                <w:szCs w:val="24"/>
              </w:rPr>
            </w:pPr>
            <w:proofErr w:type="gramStart"/>
            <w:r w:rsidRPr="00371A77">
              <w:rPr>
                <w:rStyle w:val="tlid-translation"/>
                <w:rFonts w:cs="Times New Roman"/>
                <w:szCs w:val="24"/>
              </w:rPr>
              <w:t>Есть ли у правительства какие-либо из следующих институтов, политика или стратегия для управления иммиграцией или эмиграцией?</w:t>
            </w:r>
            <w:proofErr w:type="gramEnd"/>
          </w:p>
        </w:tc>
        <w:tc>
          <w:tcPr>
            <w:tcW w:w="3115" w:type="dxa"/>
          </w:tcPr>
          <w:p w14:paraId="2FB40856" w14:textId="77777777" w:rsidR="006C10F0" w:rsidRPr="00371A77" w:rsidRDefault="006C10F0" w:rsidP="00947AE3">
            <w:pPr>
              <w:spacing w:before="100" w:beforeAutospacing="1" w:after="100" w:afterAutospacing="1" w:line="276" w:lineRule="auto"/>
              <w:rPr>
                <w:rFonts w:cs="Times New Roman"/>
                <w:szCs w:val="24"/>
              </w:rPr>
            </w:pPr>
            <w:proofErr w:type="gramStart"/>
            <w:r w:rsidRPr="00371A77">
              <w:rPr>
                <w:rStyle w:val="tlid-translation"/>
                <w:rFonts w:cs="Times New Roman"/>
                <w:szCs w:val="24"/>
              </w:rPr>
              <w:t>а. Специализированное государственное учреждение для реализации национальной миграционной политики</w:t>
            </w:r>
            <w:r w:rsidRPr="00371A77">
              <w:rPr>
                <w:rFonts w:cs="Times New Roman"/>
                <w:szCs w:val="24"/>
              </w:rPr>
              <w:br/>
            </w:r>
            <w:r w:rsidRPr="00371A77">
              <w:rPr>
                <w:rStyle w:val="tlid-translation"/>
                <w:rFonts w:cs="Times New Roman"/>
                <w:szCs w:val="24"/>
              </w:rPr>
              <w:t>б. Национальная политика или стратегия для регулярных миграционных путей, включая трудовую миграцию</w:t>
            </w:r>
            <w:r w:rsidRPr="00371A77">
              <w:rPr>
                <w:rFonts w:cs="Times New Roman"/>
                <w:szCs w:val="24"/>
              </w:rPr>
              <w:br/>
            </w:r>
            <w:r w:rsidRPr="00371A77">
              <w:rPr>
                <w:rStyle w:val="tlid-translation"/>
                <w:rFonts w:cs="Times New Roman"/>
                <w:szCs w:val="24"/>
              </w:rPr>
              <w:t>с. Национальная политика или стратегия по содействию включения или интеграции иммигрантов</w:t>
            </w:r>
            <w:r w:rsidRPr="00371A77">
              <w:rPr>
                <w:rFonts w:cs="Times New Roman"/>
                <w:szCs w:val="24"/>
              </w:rPr>
              <w:br/>
            </w:r>
            <w:r w:rsidRPr="00371A77">
              <w:rPr>
                <w:rStyle w:val="tlid-translation"/>
                <w:rFonts w:cs="Times New Roman"/>
                <w:szCs w:val="24"/>
              </w:rPr>
              <w:t>д. Формальные механизмы для обеспечения того, чтобы миграционная политика учитывала гендерные аспекты</w:t>
            </w:r>
            <w:r w:rsidRPr="00371A77">
              <w:rPr>
                <w:rFonts w:cs="Times New Roman"/>
                <w:szCs w:val="24"/>
              </w:rPr>
              <w:br/>
            </w:r>
            <w:r w:rsidRPr="00371A77">
              <w:rPr>
                <w:rStyle w:val="tlid-translation"/>
                <w:rFonts w:cs="Times New Roman"/>
                <w:szCs w:val="24"/>
              </w:rPr>
              <w:t>е. Механизм для обеспечения того, чтобы миграционная политика основывалась на данных, соответствующим образом дезагрегированных</w:t>
            </w:r>
            <w:proofErr w:type="gramEnd"/>
          </w:p>
        </w:tc>
      </w:tr>
      <w:tr w:rsidR="006C10F0" w:rsidRPr="00371A77" w14:paraId="5746F1E4" w14:textId="77777777" w:rsidTr="00947AE3">
        <w:tc>
          <w:tcPr>
            <w:tcW w:w="1271" w:type="dxa"/>
          </w:tcPr>
          <w:p w14:paraId="1B554CD4"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t>Область</w:t>
            </w:r>
            <w:r w:rsidRPr="00371A77">
              <w:rPr>
                <w:rStyle w:val="tlid-translation"/>
                <w:rFonts w:cs="Times New Roman"/>
                <w:szCs w:val="24"/>
              </w:rPr>
              <w:t xml:space="preserve"> 3</w:t>
            </w:r>
          </w:p>
        </w:tc>
        <w:tc>
          <w:tcPr>
            <w:tcW w:w="5062" w:type="dxa"/>
          </w:tcPr>
          <w:p w14:paraId="32713131"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 xml:space="preserve">Принимает ли правительство какие-либо из следующих мер для развития сотрудничества </w:t>
            </w:r>
            <w:r w:rsidRPr="00371A77">
              <w:rPr>
                <w:rStyle w:val="tlid-translation"/>
                <w:rFonts w:cs="Times New Roman"/>
                <w:szCs w:val="24"/>
              </w:rPr>
              <w:lastRenderedPageBreak/>
              <w:t>между странами и поощрения вовлечения заинтересованных сторон и участия в миграционной политике?</w:t>
            </w:r>
          </w:p>
        </w:tc>
        <w:tc>
          <w:tcPr>
            <w:tcW w:w="3115" w:type="dxa"/>
          </w:tcPr>
          <w:p w14:paraId="3B78E5EA"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lastRenderedPageBreak/>
              <w:t xml:space="preserve">а. Межведомственный координационный </w:t>
            </w:r>
            <w:r w:rsidRPr="00371A77">
              <w:rPr>
                <w:rStyle w:val="tlid-translation"/>
                <w:rFonts w:cs="Times New Roman"/>
                <w:szCs w:val="24"/>
              </w:rPr>
              <w:lastRenderedPageBreak/>
              <w:t>механизм по миграции</w:t>
            </w:r>
            <w:r w:rsidRPr="00371A77">
              <w:rPr>
                <w:rFonts w:cs="Times New Roman"/>
                <w:szCs w:val="24"/>
              </w:rPr>
              <w:br/>
            </w:r>
            <w:r w:rsidRPr="00371A77">
              <w:rPr>
                <w:rStyle w:val="tlid-translation"/>
                <w:rFonts w:cs="Times New Roman"/>
                <w:szCs w:val="24"/>
              </w:rPr>
              <w:t>б. Двусторонние соглашения по миграции, включая трудовую миграцию</w:t>
            </w:r>
          </w:p>
          <w:p w14:paraId="281915EE"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с. Региональные соглашения, способствующие мобильности</w:t>
            </w:r>
          </w:p>
          <w:p w14:paraId="656B0FB8"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д. Соглашения о сотрудничестве с другими странами по возврату и выдаче нелегальных мигрантов</w:t>
            </w:r>
            <w:r w:rsidRPr="00371A77">
              <w:rPr>
                <w:rFonts w:cs="Times New Roman"/>
                <w:szCs w:val="24"/>
              </w:rPr>
              <w:br/>
            </w:r>
            <w:r w:rsidRPr="00371A77">
              <w:rPr>
                <w:rStyle w:val="tlid-translation"/>
                <w:rFonts w:cs="Times New Roman"/>
                <w:szCs w:val="24"/>
              </w:rPr>
              <w:t>е. Официальные механизмы привлечения гражданского общества и частного сектора к разработке и реализации миграционной политики</w:t>
            </w:r>
          </w:p>
        </w:tc>
      </w:tr>
      <w:tr w:rsidR="006C10F0" w:rsidRPr="00371A77" w14:paraId="67411048" w14:textId="77777777" w:rsidTr="00947AE3">
        <w:tc>
          <w:tcPr>
            <w:tcW w:w="1271" w:type="dxa"/>
          </w:tcPr>
          <w:p w14:paraId="57BA8ED2"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lastRenderedPageBreak/>
              <w:t>Область</w:t>
            </w:r>
            <w:r w:rsidRPr="00371A77">
              <w:rPr>
                <w:rStyle w:val="tlid-translation"/>
                <w:rFonts w:cs="Times New Roman"/>
                <w:szCs w:val="24"/>
              </w:rPr>
              <w:t xml:space="preserve"> 4</w:t>
            </w:r>
          </w:p>
        </w:tc>
        <w:tc>
          <w:tcPr>
            <w:tcW w:w="5062" w:type="dxa"/>
          </w:tcPr>
          <w:p w14:paraId="2B05E3B5"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Принимает ли правительство какие-либо из следующих мер для максимизации положительного воздействия миграции на развитие и социально-экономическое благополучие мигрантов?</w:t>
            </w:r>
          </w:p>
        </w:tc>
        <w:tc>
          <w:tcPr>
            <w:tcW w:w="3115" w:type="dxa"/>
          </w:tcPr>
          <w:p w14:paraId="1BFD734B" w14:textId="77777777" w:rsidR="006C10F0" w:rsidRPr="00371A77" w:rsidRDefault="006C10F0" w:rsidP="00947AE3">
            <w:pPr>
              <w:spacing w:before="100" w:beforeAutospacing="1" w:after="100" w:afterAutospacing="1" w:line="276" w:lineRule="auto"/>
              <w:rPr>
                <w:rStyle w:val="tlid-translation"/>
                <w:rFonts w:cs="Times New Roman"/>
                <w:szCs w:val="24"/>
              </w:rPr>
            </w:pPr>
            <w:r w:rsidRPr="00371A77">
              <w:rPr>
                <w:rStyle w:val="tlid-translation"/>
                <w:rFonts w:cs="Times New Roman"/>
                <w:szCs w:val="24"/>
              </w:rPr>
              <w:t>а. Приведение в соответствие посредством периодических оценок политику в области трудовой миграции с фактическими и прогнозируемыми потребностями рынка труда</w:t>
            </w:r>
            <w:r w:rsidRPr="00371A77">
              <w:rPr>
                <w:rFonts w:cs="Times New Roman"/>
                <w:szCs w:val="24"/>
              </w:rPr>
              <w:br/>
            </w:r>
            <w:r w:rsidRPr="00371A77">
              <w:rPr>
                <w:rStyle w:val="tlid-translation"/>
                <w:rFonts w:cs="Times New Roman"/>
                <w:szCs w:val="24"/>
              </w:rPr>
              <w:t>б. Содействие переносу пособий по социальному обеспечению</w:t>
            </w:r>
          </w:p>
          <w:p w14:paraId="653CC43C" w14:textId="77777777" w:rsidR="006C10F0" w:rsidRPr="00371A77" w:rsidRDefault="006C10F0" w:rsidP="00947AE3">
            <w:pPr>
              <w:spacing w:before="100" w:beforeAutospacing="1" w:after="100" w:afterAutospacing="1" w:line="276" w:lineRule="auto"/>
              <w:rPr>
                <w:rFonts w:cs="Times New Roman"/>
                <w:szCs w:val="24"/>
              </w:rPr>
            </w:pPr>
            <w:proofErr w:type="gramStart"/>
            <w:r w:rsidRPr="00371A77">
              <w:rPr>
                <w:rStyle w:val="tlid-translation"/>
                <w:rFonts w:cs="Times New Roman"/>
                <w:szCs w:val="24"/>
              </w:rPr>
              <w:t>с</w:t>
            </w:r>
            <w:proofErr w:type="gramEnd"/>
            <w:r w:rsidRPr="00371A77">
              <w:rPr>
                <w:rStyle w:val="tlid-translation"/>
                <w:rFonts w:cs="Times New Roman"/>
                <w:szCs w:val="24"/>
              </w:rPr>
              <w:t>. Способствование признанию навыков и квалификаций, приобретенных за границей</w:t>
            </w:r>
            <w:r w:rsidRPr="00371A77">
              <w:rPr>
                <w:rFonts w:cs="Times New Roman"/>
                <w:szCs w:val="24"/>
              </w:rPr>
              <w:br/>
            </w:r>
            <w:r w:rsidRPr="00371A77">
              <w:rPr>
                <w:rStyle w:val="tlid-translation"/>
                <w:rFonts w:cs="Times New Roman"/>
                <w:szCs w:val="24"/>
              </w:rPr>
              <w:t>д. Облегчение или поощрение денежных переводов</w:t>
            </w:r>
            <w:r w:rsidRPr="00371A77">
              <w:rPr>
                <w:rFonts w:cs="Times New Roman"/>
                <w:szCs w:val="24"/>
              </w:rPr>
              <w:br/>
            </w:r>
            <w:r w:rsidRPr="00371A77">
              <w:rPr>
                <w:rStyle w:val="tlid-translation"/>
                <w:rFonts w:cs="Times New Roman"/>
                <w:szCs w:val="24"/>
              </w:rPr>
              <w:t>е. Содействие справедливому и этичному найму трудящихся-</w:t>
            </w:r>
            <w:r w:rsidRPr="00371A77">
              <w:rPr>
                <w:rStyle w:val="tlid-translation"/>
                <w:rFonts w:cs="Times New Roman"/>
                <w:szCs w:val="24"/>
              </w:rPr>
              <w:lastRenderedPageBreak/>
              <w:t>мигрантов</w:t>
            </w:r>
          </w:p>
        </w:tc>
      </w:tr>
      <w:tr w:rsidR="006C10F0" w:rsidRPr="00371A77" w14:paraId="40F18CA7" w14:textId="77777777" w:rsidTr="00947AE3">
        <w:tc>
          <w:tcPr>
            <w:tcW w:w="1271" w:type="dxa"/>
          </w:tcPr>
          <w:p w14:paraId="461A75DE"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lastRenderedPageBreak/>
              <w:t>Область</w:t>
            </w:r>
            <w:r w:rsidRPr="00371A77">
              <w:rPr>
                <w:rStyle w:val="tlid-translation"/>
                <w:rFonts w:cs="Times New Roman"/>
                <w:szCs w:val="24"/>
              </w:rPr>
              <w:t xml:space="preserve"> 5</w:t>
            </w:r>
          </w:p>
        </w:tc>
        <w:tc>
          <w:tcPr>
            <w:tcW w:w="5062" w:type="dxa"/>
          </w:tcPr>
          <w:p w14:paraId="0028AC14" w14:textId="77777777" w:rsidR="006C10F0" w:rsidRPr="00371A77" w:rsidRDefault="006C10F0" w:rsidP="00947AE3">
            <w:pPr>
              <w:spacing w:before="100" w:beforeAutospacing="1" w:after="100" w:afterAutospacing="1" w:line="276" w:lineRule="auto"/>
              <w:rPr>
                <w:rFonts w:cs="Times New Roman"/>
                <w:szCs w:val="24"/>
              </w:rPr>
            </w:pPr>
            <w:proofErr w:type="gramStart"/>
            <w:r w:rsidRPr="00371A77">
              <w:rPr>
                <w:rStyle w:val="tlid-translation"/>
                <w:rFonts w:cs="Times New Roman"/>
                <w:szCs w:val="24"/>
              </w:rPr>
              <w:t>Принимает ли правительство какие-либо из следующих мер для реагирования на беженцев и других лиц, насильственно перемещенных через международные границы?</w:t>
            </w:r>
            <w:proofErr w:type="gramEnd"/>
          </w:p>
        </w:tc>
        <w:tc>
          <w:tcPr>
            <w:tcW w:w="3115" w:type="dxa"/>
          </w:tcPr>
          <w:p w14:paraId="335E3A5B" w14:textId="77777777" w:rsidR="006C10F0" w:rsidRPr="00371A77" w:rsidRDefault="006C10F0" w:rsidP="00947AE3">
            <w:pPr>
              <w:spacing w:before="100" w:beforeAutospacing="1" w:after="100" w:afterAutospacing="1" w:line="276" w:lineRule="auto"/>
              <w:rPr>
                <w:rFonts w:cs="Times New Roman"/>
                <w:szCs w:val="24"/>
              </w:rPr>
            </w:pPr>
            <w:proofErr w:type="gramStart"/>
            <w:r w:rsidRPr="00371A77">
              <w:rPr>
                <w:rStyle w:val="tlid-translation"/>
                <w:rFonts w:cs="Times New Roman"/>
                <w:szCs w:val="24"/>
              </w:rPr>
              <w:t>а. Система для получения, обработки и идентификации лиц, вынужденных бежать через международные границы</w:t>
            </w:r>
            <w:r w:rsidRPr="00371A77">
              <w:rPr>
                <w:rFonts w:cs="Times New Roman"/>
                <w:szCs w:val="24"/>
              </w:rPr>
              <w:br/>
            </w:r>
            <w:r w:rsidRPr="00371A77">
              <w:rPr>
                <w:rStyle w:val="tlid-translation"/>
                <w:rFonts w:cs="Times New Roman"/>
                <w:szCs w:val="24"/>
              </w:rPr>
              <w:t>  б. Планирование на случай чрезвычайных обстоятельств для перемещенных лиц с точки зрения основных потребностей, таких как питание, санитария, образование и медицинское обслуживание</w:t>
            </w:r>
            <w:r w:rsidRPr="00371A77">
              <w:rPr>
                <w:rFonts w:cs="Times New Roman"/>
                <w:szCs w:val="24"/>
              </w:rPr>
              <w:br/>
            </w:r>
            <w:r w:rsidRPr="00371A77">
              <w:rPr>
                <w:rStyle w:val="tlid-translation"/>
                <w:rFonts w:cs="Times New Roman"/>
                <w:szCs w:val="24"/>
              </w:rPr>
              <w:t>с. Конкретные меры по оказанию помощи гражданам, проживающим за рубежом в странах, находящихся в кризисных или посткризисных ситуациях</w:t>
            </w:r>
            <w:r w:rsidRPr="00371A77">
              <w:rPr>
                <w:rFonts w:cs="Times New Roman"/>
                <w:szCs w:val="24"/>
              </w:rPr>
              <w:br/>
            </w:r>
            <w:r w:rsidRPr="00371A77">
              <w:rPr>
                <w:rStyle w:val="tlid-translation"/>
                <w:rFonts w:cs="Times New Roman"/>
                <w:szCs w:val="24"/>
              </w:rPr>
              <w:t>д. Национальная стратегия снижения риска бедствий с</w:t>
            </w:r>
            <w:proofErr w:type="gramEnd"/>
            <w:r w:rsidRPr="00371A77">
              <w:rPr>
                <w:rStyle w:val="tlid-translation"/>
                <w:rFonts w:cs="Times New Roman"/>
                <w:szCs w:val="24"/>
              </w:rPr>
              <w:t xml:space="preserve"> конкретными положениями по устранению последствий стихийных бедствий, вызванных перемещением населения</w:t>
            </w:r>
            <w:r w:rsidRPr="00371A77">
              <w:rPr>
                <w:rFonts w:cs="Times New Roman"/>
                <w:szCs w:val="24"/>
              </w:rPr>
              <w:br/>
            </w:r>
            <w:r w:rsidRPr="00371A77">
              <w:rPr>
                <w:rStyle w:val="tlid-translation"/>
                <w:rFonts w:cs="Times New Roman"/>
                <w:szCs w:val="24"/>
              </w:rPr>
              <w:t> е. Предоставление разрешения на временное пребывание или временную защиту лицам, перемещенным через международные границы, и лицам, которые не могут вернуться</w:t>
            </w:r>
          </w:p>
        </w:tc>
      </w:tr>
      <w:tr w:rsidR="006C10F0" w:rsidRPr="00371A77" w14:paraId="682B6C55" w14:textId="77777777" w:rsidTr="00947AE3">
        <w:tc>
          <w:tcPr>
            <w:tcW w:w="1271" w:type="dxa"/>
          </w:tcPr>
          <w:p w14:paraId="0DADB17F" w14:textId="77777777" w:rsidR="006C10F0" w:rsidRPr="00371A77" w:rsidRDefault="006C10F0" w:rsidP="00947AE3">
            <w:pPr>
              <w:spacing w:before="100" w:beforeAutospacing="1" w:after="100" w:afterAutospacing="1" w:line="276" w:lineRule="auto"/>
              <w:rPr>
                <w:rFonts w:cs="Times New Roman"/>
                <w:szCs w:val="24"/>
              </w:rPr>
            </w:pPr>
            <w:r w:rsidRPr="00371A77">
              <w:rPr>
                <w:rStyle w:val="gt-baf-cell"/>
                <w:rFonts w:cs="Times New Roman"/>
                <w:szCs w:val="24"/>
              </w:rPr>
              <w:t>Область</w:t>
            </w:r>
            <w:r w:rsidRPr="00371A77">
              <w:rPr>
                <w:rStyle w:val="tlid-translation"/>
                <w:rFonts w:cs="Times New Roman"/>
                <w:szCs w:val="24"/>
              </w:rPr>
              <w:t xml:space="preserve"> 6</w:t>
            </w:r>
          </w:p>
        </w:tc>
        <w:tc>
          <w:tcPr>
            <w:tcW w:w="5062" w:type="dxa"/>
          </w:tcPr>
          <w:p w14:paraId="5B7F0BE8"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Обращается ли правительство к регулярной или нерегулярной иммиграции с помощью следующих мер?</w:t>
            </w:r>
          </w:p>
        </w:tc>
        <w:tc>
          <w:tcPr>
            <w:tcW w:w="3115" w:type="dxa"/>
          </w:tcPr>
          <w:p w14:paraId="33F8BB05" w14:textId="77777777" w:rsidR="006C10F0" w:rsidRPr="00371A77" w:rsidRDefault="006C10F0" w:rsidP="00947AE3">
            <w:pPr>
              <w:spacing w:before="100" w:beforeAutospacing="1" w:after="100" w:afterAutospacing="1" w:line="276" w:lineRule="auto"/>
              <w:rPr>
                <w:rFonts w:cs="Times New Roman"/>
                <w:szCs w:val="24"/>
              </w:rPr>
            </w:pPr>
            <w:r w:rsidRPr="00371A77">
              <w:rPr>
                <w:rStyle w:val="tlid-translation"/>
                <w:rFonts w:cs="Times New Roman"/>
                <w:szCs w:val="24"/>
              </w:rPr>
              <w:t xml:space="preserve">а. Система мониторинга просроченных </w:t>
            </w:r>
            <w:proofErr w:type="gramStart"/>
            <w:r w:rsidRPr="00371A77">
              <w:rPr>
                <w:rStyle w:val="tlid-translation"/>
                <w:rFonts w:cs="Times New Roman"/>
                <w:szCs w:val="24"/>
              </w:rPr>
              <w:t>виз</w:t>
            </w:r>
            <w:r w:rsidRPr="00371A77">
              <w:rPr>
                <w:rFonts w:cs="Times New Roman"/>
                <w:szCs w:val="24"/>
              </w:rPr>
              <w:br/>
            </w:r>
            <w:r w:rsidRPr="00371A77">
              <w:rPr>
                <w:rStyle w:val="tlid-translation"/>
                <w:rFonts w:cs="Times New Roman"/>
                <w:szCs w:val="24"/>
              </w:rPr>
              <w:t>б</w:t>
            </w:r>
            <w:proofErr w:type="gramEnd"/>
            <w:r w:rsidRPr="00371A77">
              <w:rPr>
                <w:rStyle w:val="tlid-translation"/>
                <w:rFonts w:cs="Times New Roman"/>
                <w:szCs w:val="24"/>
              </w:rPr>
              <w:t>. Элементы управления авторизацией перед прибытием</w:t>
            </w:r>
            <w:r w:rsidRPr="00371A77">
              <w:rPr>
                <w:rFonts w:cs="Times New Roman"/>
                <w:szCs w:val="24"/>
              </w:rPr>
              <w:br/>
            </w:r>
            <w:r w:rsidRPr="00371A77">
              <w:rPr>
                <w:rStyle w:val="tlid-translation"/>
                <w:rFonts w:cs="Times New Roman"/>
                <w:szCs w:val="24"/>
              </w:rPr>
              <w:t xml:space="preserve">с. Условия для несопровождаемых </w:t>
            </w:r>
            <w:r w:rsidRPr="00371A77">
              <w:rPr>
                <w:rStyle w:val="tlid-translation"/>
                <w:rFonts w:cs="Times New Roman"/>
                <w:szCs w:val="24"/>
              </w:rPr>
              <w:lastRenderedPageBreak/>
              <w:t>несовершеннолетних или разлученных детей</w:t>
            </w:r>
            <w:r w:rsidRPr="00371A77">
              <w:rPr>
                <w:rFonts w:cs="Times New Roman"/>
                <w:szCs w:val="24"/>
              </w:rPr>
              <w:br/>
            </w:r>
            <w:r w:rsidRPr="00371A77">
              <w:rPr>
                <w:rStyle w:val="tlid-translation"/>
                <w:rFonts w:cs="Times New Roman"/>
                <w:szCs w:val="24"/>
              </w:rPr>
              <w:t>д. Информационно-просветительские кампании по вопросам миграции</w:t>
            </w:r>
            <w:r w:rsidRPr="00371A77">
              <w:rPr>
                <w:rFonts w:cs="Times New Roman"/>
                <w:szCs w:val="24"/>
              </w:rPr>
              <w:br/>
            </w:r>
            <w:r w:rsidRPr="00371A77">
              <w:rPr>
                <w:rStyle w:val="tlid-translation"/>
                <w:rFonts w:cs="Times New Roman"/>
                <w:szCs w:val="24"/>
              </w:rPr>
              <w:t>е. Формальные стратегии по борьбе с торговлей людьми и контрабандой мигрантов</w:t>
            </w:r>
          </w:p>
        </w:tc>
      </w:tr>
    </w:tbl>
    <w:p w14:paraId="64E7D796" w14:textId="77777777" w:rsidR="00235C73" w:rsidRPr="00235C73" w:rsidRDefault="00235C73" w:rsidP="00235C73">
      <w:pPr>
        <w:rPr>
          <w:b/>
        </w:rPr>
      </w:pPr>
      <w:r w:rsidRPr="00235C73">
        <w:rPr>
          <w:b/>
        </w:rPr>
        <w:lastRenderedPageBreak/>
        <w:t>Основные понятия</w:t>
      </w:r>
    </w:p>
    <w:p w14:paraId="2D46861C" w14:textId="24FD1C54" w:rsidR="006C10F0" w:rsidRPr="00371A77" w:rsidRDefault="006C10F0" w:rsidP="006C10F0">
      <w:pPr>
        <w:rPr>
          <w:rStyle w:val="tlid-translation"/>
          <w:rFonts w:cs="Times New Roman"/>
          <w:szCs w:val="24"/>
        </w:rPr>
      </w:pPr>
      <w:r w:rsidRPr="00371A77">
        <w:rPr>
          <w:rStyle w:val="tlid-translation"/>
          <w:rFonts w:cs="Times New Roman"/>
          <w:szCs w:val="24"/>
        </w:rPr>
        <w:t xml:space="preserve">Цель 10.7 ЦУР имеет широкий охват, и многие, но не все, термины четко определены. Глоссарий </w:t>
      </w:r>
      <w:r w:rsidR="004B6CEC">
        <w:rPr>
          <w:rStyle w:val="tlid-translation"/>
          <w:rFonts w:cs="Times New Roman"/>
          <w:szCs w:val="24"/>
          <w:lang w:val="en-US"/>
        </w:rPr>
        <w:t>IOM</w:t>
      </w:r>
      <w:r w:rsidRPr="00371A77">
        <w:rPr>
          <w:rStyle w:val="tlid-translation"/>
          <w:rFonts w:cs="Times New Roman"/>
          <w:szCs w:val="24"/>
        </w:rPr>
        <w:t xml:space="preserve"> по миграции</w:t>
      </w:r>
      <w:r w:rsidRPr="00371A77">
        <w:rPr>
          <w:rStyle w:val="a7"/>
          <w:rFonts w:cs="Times New Roman"/>
          <w:szCs w:val="24"/>
        </w:rPr>
        <w:footnoteReference w:id="2"/>
      </w:r>
      <w:r w:rsidRPr="00371A77">
        <w:rPr>
          <w:rStyle w:val="tlid-translation"/>
          <w:rFonts w:cs="Times New Roman"/>
          <w:szCs w:val="24"/>
        </w:rPr>
        <w:t xml:space="preserve"> дает определение ключевых понятий, таких как упорядоченная и регулярная миграция, но не других, таких как безопасная и ответственная миграция. Согласно Глоссарию, под организованной миграцией понимается «перемещение человека из его/ее обычного места жительства в соответствии с законами и правилами, регулирующими выезд из страны происхождения и поездки, транзит и въе</w:t>
      </w:r>
      <w:proofErr w:type="gramStart"/>
      <w:r w:rsidRPr="00371A77">
        <w:rPr>
          <w:rStyle w:val="tlid-translation"/>
          <w:rFonts w:cs="Times New Roman"/>
          <w:szCs w:val="24"/>
        </w:rPr>
        <w:t>зд в стр</w:t>
      </w:r>
      <w:proofErr w:type="gramEnd"/>
      <w:r w:rsidRPr="00371A77">
        <w:rPr>
          <w:rStyle w:val="tlid-translation"/>
          <w:rFonts w:cs="Times New Roman"/>
          <w:szCs w:val="24"/>
        </w:rPr>
        <w:t>ану пребывания». Регулярный характер определяется как «миграция, которая происходит по признанным легальным каналам».</w:t>
      </w:r>
    </w:p>
    <w:p w14:paraId="0593BA3D" w14:textId="018278BC" w:rsidR="006C10F0" w:rsidRPr="006C10F0" w:rsidRDefault="006C10F0" w:rsidP="006C10F0">
      <w:r w:rsidRPr="00371A77">
        <w:rPr>
          <w:rStyle w:val="tlid-translation"/>
          <w:rFonts w:cs="Times New Roman"/>
          <w:szCs w:val="24"/>
        </w:rPr>
        <w:t xml:space="preserve">Хотя понятие «хорошо продуманной миграционной политики» явно не определено, согласно Глоссарию </w:t>
      </w:r>
      <w:r w:rsidR="004B6CEC">
        <w:rPr>
          <w:rStyle w:val="tlid-translation"/>
          <w:rFonts w:cs="Times New Roman"/>
          <w:szCs w:val="24"/>
          <w:lang w:val="en-US"/>
        </w:rPr>
        <w:t>IOM</w:t>
      </w:r>
      <w:r w:rsidRPr="00371A77">
        <w:rPr>
          <w:rStyle w:val="tlid-translation"/>
          <w:rFonts w:cs="Times New Roman"/>
          <w:szCs w:val="24"/>
        </w:rPr>
        <w:t>, оно включено в ссылки на управление миграцией, регулирование миграции и упрощенную миграцию. Управление миграцией относится к запланированному подходу к разработке политики, а также к законодательным и административным ответам на ключевые вопросы миграции. Регулирование миграции определяется как система институтов, правовых рамок, механизмов и практик, направленных на регулирование миграции и защиту мигрантов. Облегченная миграция означает стимулирование или поощрение регулярной миграции, например, посредством упрощенного процесса подачи заявления на визу.</w:t>
      </w:r>
    </w:p>
    <w:p w14:paraId="0F5C7661" w14:textId="77777777" w:rsidR="00407E4E" w:rsidRPr="006C10F0" w:rsidRDefault="00407E4E" w:rsidP="00C013D8">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w:t>
      </w:r>
      <w:r w:rsidRPr="006C10F0">
        <w:rPr>
          <w:b/>
          <w:color w:val="auto"/>
          <w:sz w:val="24"/>
          <w:szCs w:val="24"/>
          <w:lang w:val="ru-RU"/>
        </w:rPr>
        <w:t xml:space="preserve"> </w:t>
      </w:r>
      <w:r w:rsidRPr="00A343D5">
        <w:rPr>
          <w:b/>
          <w:color w:val="auto"/>
          <w:sz w:val="24"/>
          <w:szCs w:val="24"/>
          <w:lang w:val="ru-RU"/>
        </w:rPr>
        <w:t>измерения</w:t>
      </w:r>
    </w:p>
    <w:p w14:paraId="69360DE6" w14:textId="77777777" w:rsidR="006C10F0" w:rsidRDefault="006C10F0" w:rsidP="006C10F0">
      <w:proofErr w:type="gramStart"/>
      <w:r w:rsidRPr="006C10F0">
        <w:t>Единица измерения для региональных и глобальных агрегированных показателей относится к доле стран, значения которых находятся между конкретными диапазонами (см. Также 4.c.</w:t>
      </w:r>
      <w:proofErr w:type="gramEnd"/>
      <w:r w:rsidRPr="006C10F0">
        <w:t xml:space="preserve"> </w:t>
      </w:r>
      <w:proofErr w:type="gramStart"/>
      <w:r w:rsidRPr="006C10F0">
        <w:t>Метод расчета).</w:t>
      </w:r>
      <w:proofErr w:type="gramEnd"/>
    </w:p>
    <w:p w14:paraId="59C02644" w14:textId="77777777" w:rsidR="000A229E" w:rsidRPr="00CF1C87" w:rsidRDefault="000A229E" w:rsidP="00C9679B">
      <w:pPr>
        <w:pStyle w:val="MHeader2"/>
        <w:spacing w:line="276" w:lineRule="auto"/>
        <w:rPr>
          <w:b/>
          <w:color w:val="auto"/>
          <w:sz w:val="24"/>
          <w:szCs w:val="24"/>
          <w:lang w:val="ru-RU"/>
        </w:rPr>
      </w:pPr>
      <w:r w:rsidRPr="00CF1C87">
        <w:rPr>
          <w:color w:val="auto"/>
          <w:sz w:val="24"/>
          <w:szCs w:val="24"/>
          <w:lang w:val="ru-RU"/>
        </w:rPr>
        <w:t>2.</w:t>
      </w:r>
      <w:r w:rsidRPr="00A343D5">
        <w:rPr>
          <w:color w:val="auto"/>
          <w:sz w:val="24"/>
          <w:szCs w:val="24"/>
        </w:rPr>
        <w:t>c</w:t>
      </w:r>
      <w:r w:rsidRPr="00CF1C87">
        <w:rPr>
          <w:color w:val="auto"/>
          <w:sz w:val="24"/>
          <w:szCs w:val="24"/>
          <w:lang w:val="ru-RU"/>
        </w:rPr>
        <w:t xml:space="preserve">. </w:t>
      </w:r>
      <w:r w:rsidRPr="00A343D5">
        <w:rPr>
          <w:b/>
          <w:color w:val="auto"/>
          <w:sz w:val="24"/>
          <w:szCs w:val="24"/>
          <w:lang w:val="ru-RU"/>
        </w:rPr>
        <w:t>Классификации</w:t>
      </w:r>
    </w:p>
    <w:p w14:paraId="3B88E641" w14:textId="77777777" w:rsidR="00562B74" w:rsidRPr="00CF1C87" w:rsidRDefault="00B30158" w:rsidP="00562B74">
      <w:r>
        <w:t>Не применимо.</w:t>
      </w:r>
    </w:p>
    <w:p w14:paraId="0DF62681"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372FE301"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77546F24" w14:textId="77777777" w:rsidR="00DF5ADD" w:rsidRDefault="00B30158" w:rsidP="0046792A">
      <w:r w:rsidRPr="00B30158">
        <w:t xml:space="preserve">Источником данных является исследование ООН среди правительств по вопросам народонаселения и развития, которое используется для обзора глобальной политики в области народонаселения с 1963 года, включая политику в отношении международной </w:t>
      </w:r>
      <w:r w:rsidRPr="00B30158">
        <w:lastRenderedPageBreak/>
        <w:t xml:space="preserve">миграции. Расследование санкционировано Генеральной Ассамблеей в ее резолюции 1838 (XVII) от 18 декабря 1962 года. Расследование состоит в основном из вопросов с несколькими вариантами ответов. </w:t>
      </w:r>
    </w:p>
    <w:p w14:paraId="605D41E1" w14:textId="1301D821" w:rsidR="00C14967" w:rsidRPr="00C14967" w:rsidRDefault="00DF5ADD" w:rsidP="0046792A">
      <w:pPr>
        <w:pStyle w:val="a0"/>
        <w:spacing w:line="276" w:lineRule="auto"/>
      </w:pPr>
      <w:r w:rsidRPr="00DF5ADD">
        <w:t xml:space="preserve">Для сбора данных по показателю 10.7.2 были использованы два последовательных раунда опроса: двенадцатый опрос, проведенный в период с сентября 2018 года по октябрь 2019 года, и </w:t>
      </w:r>
      <w:r w:rsidR="00B76BF1">
        <w:t>т</w:t>
      </w:r>
      <w:r w:rsidRPr="00DF5ADD">
        <w:t>ринадцатый опрос, проведенный в период с ноября 2020 года по октябрь 2021 года</w:t>
      </w:r>
      <w:r>
        <w:t>.</w:t>
      </w:r>
      <w:r w:rsidR="009460AE">
        <w:t xml:space="preserve"> </w:t>
      </w:r>
      <w:r w:rsidR="00B30158" w:rsidRPr="00B30158">
        <w:t>Двенадцатое исследование разделено на три тематических модуля: Модуль I по старению населения и урбанизации; Модуль II по фертильности, планированию семьи и репродуктивному здоровью; и Модуль III по международной миграции. Модуль III Двенадцатого запроса был обновлен и теперь включает основные вопросы по всем шести упомянутым выше областям миграционной политики.</w:t>
      </w:r>
      <w:r w:rsidR="00925282">
        <w:t xml:space="preserve"> </w:t>
      </w:r>
      <w:r w:rsidR="009460AE">
        <w:t xml:space="preserve">Тринадцатое исследование разделено на два тематических модуля: </w:t>
      </w:r>
      <w:r w:rsidR="001A7C75">
        <w:t>М</w:t>
      </w:r>
      <w:r w:rsidR="009460AE">
        <w:t>одуль I, посвященный репродуктивному здоровью, и модуль II, посвященный международной миграции.</w:t>
      </w:r>
    </w:p>
    <w:p w14:paraId="34986C8A" w14:textId="77777777" w:rsidR="00C14967" w:rsidRPr="00576298" w:rsidRDefault="00C14967" w:rsidP="00576298">
      <w:pPr>
        <w:pStyle w:val="MHeader2"/>
        <w:spacing w:line="276" w:lineRule="auto"/>
        <w:rPr>
          <w:lang w:val="ru-RU"/>
        </w:rPr>
      </w:pPr>
    </w:p>
    <w:p w14:paraId="6606F9B4" w14:textId="65A636FD"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34A65591" w14:textId="3BA24D98" w:rsidR="008C7B00" w:rsidRDefault="008C7B00" w:rsidP="008C7B00">
      <w:r>
        <w:t xml:space="preserve">Запрос направляется от имени Генерального секретаря во все постоянные представительства в Нью-Йорке: 193 государства-члена, 2 государства-наблюдателя и 2 государства, не являющиеся членами. В соответствии с прошлой практикой постоянные представительства перенаправляют три тематических модуля исследования в соответствующие отраслевые министерства или правительственные ведомства, которым поручено отвечать на вопросы. Модули запроса можно заполнить либо с помощью онлайн-анкеты, либо с помощью заполняемой анкеты в формате PDF. Ответы стран передаются обратно в </w:t>
      </w:r>
      <w:r w:rsidR="00C9037A" w:rsidRPr="00C9037A">
        <w:t>DESA</w:t>
      </w:r>
      <w:r>
        <w:t xml:space="preserve"> ООН для базовой проверки согласованно</w:t>
      </w:r>
      <w:r w:rsidR="00B23DDC">
        <w:t xml:space="preserve">сти. Затем данные </w:t>
      </w:r>
      <w:proofErr w:type="gramStart"/>
      <w:r w:rsidR="00B23DDC">
        <w:t>компилируются</w:t>
      </w:r>
      <w:proofErr w:type="gramEnd"/>
      <w:r w:rsidR="00B23DDC">
        <w:t>/</w:t>
      </w:r>
      <w:r>
        <w:t xml:space="preserve">интегрируются в базу данных </w:t>
      </w:r>
      <w:proofErr w:type="spellStart"/>
      <w:r>
        <w:t>World</w:t>
      </w:r>
      <w:proofErr w:type="spellEnd"/>
      <w:r>
        <w:t xml:space="preserve"> </w:t>
      </w:r>
      <w:proofErr w:type="spellStart"/>
      <w:r>
        <w:t>Population</w:t>
      </w:r>
      <w:proofErr w:type="spellEnd"/>
      <w:r>
        <w:t xml:space="preserve"> </w:t>
      </w:r>
      <w:proofErr w:type="spellStart"/>
      <w:r>
        <w:t>Policies</w:t>
      </w:r>
      <w:proofErr w:type="spellEnd"/>
      <w:r>
        <w:t>. Результаты исследования распространяются через базу данных, обновляемую каждые два года.</w:t>
      </w:r>
    </w:p>
    <w:p w14:paraId="6C2D7A15" w14:textId="2A961184" w:rsidR="008C7B00" w:rsidRDefault="008C7B00" w:rsidP="008C7B00">
      <w:r>
        <w:t xml:space="preserve">В рамках сотрудничества по показателю 10.7.2 ЦУР </w:t>
      </w:r>
      <w:r w:rsidR="00925282" w:rsidRPr="00925282">
        <w:t>IOM</w:t>
      </w:r>
      <w:r>
        <w:t xml:space="preserve"> </w:t>
      </w:r>
      <w:r w:rsidR="00925282" w:rsidRPr="00925282">
        <w:t>оказала помощь в сборе ответов стран на модуль исследования по международной</w:t>
      </w:r>
      <w:r w:rsidR="00925282">
        <w:t xml:space="preserve"> миграции</w:t>
      </w:r>
      <w:r>
        <w:t>, приняв меры через своих соответствующих страновых или региональных партнеров. ОЭСР, как агентство-</w:t>
      </w:r>
      <w:r w:rsidR="00413F58">
        <w:t>курато</w:t>
      </w:r>
      <w:r>
        <w:t>р по этому показателю, поддержала эти усилия своих стран-членов. Благодаря сотрудничеству увеличилось количество ответов из стран и улучшилось качество данных.</w:t>
      </w:r>
    </w:p>
    <w:p w14:paraId="27B172BD" w14:textId="48685C5B" w:rsidR="008C7B00" w:rsidRDefault="00070AFF" w:rsidP="008C7B00">
      <w:r w:rsidRPr="00070AFF">
        <w:t>Данные собирались раз в два года в период с 2019 по 2021 год, чтобы обеспечить наличие достаточной информации для мониторинга прогресса в достижении поставленной цели. В будущем данные будут собираться раз в четыре года</w:t>
      </w:r>
      <w:r w:rsidR="008C7B00">
        <w:t xml:space="preserve">. </w:t>
      </w:r>
      <w:r w:rsidR="005B7516" w:rsidRPr="005B7516">
        <w:t xml:space="preserve">Это также позволит собирать контрольные данные один раз в течение каждого 4-летнего цикла </w:t>
      </w:r>
      <w:r w:rsidR="00CD6C39" w:rsidRPr="00CD6C39">
        <w:t>HLPF</w:t>
      </w:r>
      <w:r w:rsidR="008C7B00">
        <w:t>.</w:t>
      </w:r>
    </w:p>
    <w:p w14:paraId="5D8B80EB" w14:textId="77777777" w:rsidR="008C7B00" w:rsidRDefault="008C7B00" w:rsidP="008C7B00">
      <w:r>
        <w:t>Никаких корректировок стандартных классификаций не предусмотрено.</w:t>
      </w:r>
    </w:p>
    <w:p w14:paraId="4BDDA36B" w14:textId="77777777" w:rsidR="009E707C" w:rsidRPr="00CF1C87" w:rsidRDefault="009E707C" w:rsidP="00CF1C87">
      <w:pPr>
        <w:pStyle w:val="MHeader2"/>
        <w:spacing w:line="276" w:lineRule="auto"/>
        <w:rPr>
          <w:b/>
          <w:color w:val="auto"/>
          <w:sz w:val="24"/>
          <w:szCs w:val="24"/>
          <w:lang w:val="ru-RU"/>
        </w:rPr>
      </w:pPr>
      <w:r w:rsidRPr="00CF1C87">
        <w:rPr>
          <w:b/>
          <w:color w:val="auto"/>
          <w:sz w:val="24"/>
          <w:szCs w:val="24"/>
          <w:lang w:val="ru-RU"/>
        </w:rPr>
        <w:t>3.</w:t>
      </w:r>
      <w:r w:rsidR="00900860" w:rsidRPr="00CF1C87">
        <w:rPr>
          <w:b/>
          <w:color w:val="auto"/>
          <w:sz w:val="24"/>
          <w:szCs w:val="24"/>
          <w:lang w:val="ru-RU"/>
        </w:rPr>
        <w:t>с</w:t>
      </w:r>
      <w:r w:rsidRPr="00CF1C87">
        <w:rPr>
          <w:b/>
          <w:color w:val="auto"/>
          <w:sz w:val="24"/>
          <w:szCs w:val="24"/>
          <w:lang w:val="ru-RU"/>
        </w:rPr>
        <w:t>.</w:t>
      </w:r>
      <w:r w:rsidR="00900860" w:rsidRPr="00CF1C87">
        <w:rPr>
          <w:b/>
          <w:color w:val="auto"/>
          <w:sz w:val="24"/>
          <w:szCs w:val="24"/>
          <w:lang w:val="ru-RU"/>
        </w:rPr>
        <w:t xml:space="preserve"> </w:t>
      </w:r>
      <w:r w:rsidRPr="00CF1C87">
        <w:rPr>
          <w:b/>
          <w:color w:val="auto"/>
          <w:sz w:val="24"/>
          <w:szCs w:val="24"/>
          <w:lang w:val="ru-RU"/>
        </w:rPr>
        <w:t>Календарь сбора данных</w:t>
      </w:r>
    </w:p>
    <w:p w14:paraId="4E8606C1" w14:textId="3F673DD8" w:rsidR="008D4BF9" w:rsidRPr="00576298" w:rsidRDefault="008D4BF9" w:rsidP="00576298">
      <w:pPr>
        <w:pStyle w:val="MHeader2"/>
        <w:spacing w:line="276" w:lineRule="auto"/>
        <w:rPr>
          <w:lang w:val="ru-RU"/>
        </w:rPr>
      </w:pPr>
      <w:r w:rsidRPr="00576298">
        <w:rPr>
          <w:rFonts w:eastAsiaTheme="minorHAnsi"/>
          <w:color w:val="auto"/>
          <w:sz w:val="24"/>
          <w:lang w:val="ru-RU"/>
        </w:rPr>
        <w:t xml:space="preserve">Данные </w:t>
      </w:r>
      <w:r w:rsidRPr="008D4BF9">
        <w:rPr>
          <w:rFonts w:eastAsiaTheme="minorHAnsi" w:cstheme="minorBidi"/>
          <w:color w:val="auto"/>
          <w:sz w:val="24"/>
          <w:szCs w:val="22"/>
          <w:lang w:val="ru-RU" w:eastAsia="en-US"/>
        </w:rPr>
        <w:t xml:space="preserve">будут </w:t>
      </w:r>
      <w:proofErr w:type="gramStart"/>
      <w:r w:rsidRPr="008D4BF9">
        <w:rPr>
          <w:rFonts w:eastAsiaTheme="minorHAnsi" w:cstheme="minorBidi"/>
          <w:color w:val="auto"/>
          <w:sz w:val="24"/>
          <w:szCs w:val="22"/>
          <w:lang w:val="ru-RU" w:eastAsia="en-US"/>
        </w:rPr>
        <w:t>собираться</w:t>
      </w:r>
      <w:proofErr w:type="gramEnd"/>
      <w:r w:rsidRPr="00576298">
        <w:rPr>
          <w:rFonts w:eastAsiaTheme="minorHAnsi"/>
          <w:color w:val="auto"/>
          <w:sz w:val="24"/>
          <w:lang w:val="ru-RU"/>
        </w:rPr>
        <w:t xml:space="preserve"> и </w:t>
      </w:r>
      <w:r w:rsidR="001D45B0">
        <w:rPr>
          <w:rFonts w:eastAsiaTheme="minorHAnsi" w:cstheme="minorBidi"/>
          <w:color w:val="auto"/>
          <w:sz w:val="24"/>
          <w:szCs w:val="22"/>
          <w:lang w:val="ru-RU" w:eastAsia="en-US"/>
        </w:rPr>
        <w:t xml:space="preserve">составляться </w:t>
      </w:r>
      <w:r w:rsidRPr="00576298">
        <w:rPr>
          <w:rFonts w:eastAsiaTheme="minorHAnsi"/>
          <w:color w:val="auto"/>
          <w:sz w:val="24"/>
          <w:lang w:val="ru-RU"/>
        </w:rPr>
        <w:t xml:space="preserve">каждые </w:t>
      </w:r>
      <w:r w:rsidRPr="008D4BF9">
        <w:rPr>
          <w:rFonts w:eastAsiaTheme="minorHAnsi" w:cstheme="minorBidi"/>
          <w:color w:val="auto"/>
          <w:sz w:val="24"/>
          <w:szCs w:val="22"/>
          <w:lang w:val="ru-RU" w:eastAsia="en-US"/>
        </w:rPr>
        <w:t>четыре</w:t>
      </w:r>
      <w:r w:rsidRPr="00576298">
        <w:rPr>
          <w:rFonts w:eastAsiaTheme="minorHAnsi"/>
          <w:color w:val="auto"/>
          <w:sz w:val="24"/>
          <w:lang w:val="ru-RU"/>
        </w:rPr>
        <w:t xml:space="preserve"> года, начиная с </w:t>
      </w:r>
      <w:r w:rsidRPr="008D4BF9">
        <w:rPr>
          <w:rFonts w:eastAsiaTheme="minorHAnsi" w:cstheme="minorBidi"/>
          <w:color w:val="auto"/>
          <w:sz w:val="24"/>
          <w:szCs w:val="22"/>
          <w:lang w:val="ru-RU" w:eastAsia="en-US"/>
        </w:rPr>
        <w:t>2024</w:t>
      </w:r>
      <w:r w:rsidRPr="00576298">
        <w:rPr>
          <w:rFonts w:eastAsiaTheme="minorHAnsi"/>
          <w:color w:val="auto"/>
          <w:sz w:val="24"/>
          <w:lang w:val="ru-RU"/>
        </w:rPr>
        <w:t xml:space="preserve"> года.</w:t>
      </w:r>
    </w:p>
    <w:p w14:paraId="0D20F1B5" w14:textId="00B58398" w:rsidR="000A229E" w:rsidRDefault="009E707C" w:rsidP="00C1236A">
      <w:pPr>
        <w:pStyle w:val="MHeader2"/>
        <w:spacing w:line="276" w:lineRule="auto"/>
        <w:rPr>
          <w:b/>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7BBC0FE0" w14:textId="76BC6AAC" w:rsidR="000C3890" w:rsidRPr="00576298" w:rsidRDefault="000C3890" w:rsidP="00576298">
      <w:pPr>
        <w:pStyle w:val="MHeader2"/>
        <w:spacing w:line="276" w:lineRule="auto"/>
        <w:rPr>
          <w:lang w:val="ru-RU"/>
        </w:rPr>
      </w:pPr>
      <w:r w:rsidRPr="00576298">
        <w:rPr>
          <w:rFonts w:eastAsiaTheme="minorHAnsi"/>
          <w:color w:val="auto"/>
          <w:sz w:val="24"/>
          <w:lang w:val="ru-RU"/>
        </w:rPr>
        <w:t xml:space="preserve">Четвертый квартал </w:t>
      </w:r>
      <w:r w:rsidRPr="000C3890">
        <w:rPr>
          <w:rFonts w:eastAsiaTheme="minorHAnsi" w:cstheme="minorBidi"/>
          <w:color w:val="auto"/>
          <w:sz w:val="24"/>
          <w:szCs w:val="22"/>
          <w:lang w:val="ru-RU" w:eastAsia="en-US"/>
        </w:rPr>
        <w:t>кажд</w:t>
      </w:r>
      <w:r>
        <w:rPr>
          <w:rFonts w:eastAsiaTheme="minorHAnsi" w:cstheme="minorBidi"/>
          <w:color w:val="auto"/>
          <w:sz w:val="24"/>
          <w:szCs w:val="22"/>
          <w:lang w:val="ru-RU" w:eastAsia="en-US"/>
        </w:rPr>
        <w:t>ого</w:t>
      </w:r>
      <w:r w:rsidRPr="000C3890">
        <w:rPr>
          <w:rFonts w:eastAsiaTheme="minorHAnsi" w:cstheme="minorBidi"/>
          <w:color w:val="auto"/>
          <w:sz w:val="24"/>
          <w:szCs w:val="22"/>
          <w:lang w:val="ru-RU" w:eastAsia="en-US"/>
        </w:rPr>
        <w:t xml:space="preserve"> чет</w:t>
      </w:r>
      <w:r>
        <w:rPr>
          <w:rFonts w:eastAsiaTheme="minorHAnsi" w:cstheme="minorBidi"/>
          <w:color w:val="auto"/>
          <w:sz w:val="24"/>
          <w:szCs w:val="22"/>
          <w:lang w:val="ru-RU" w:eastAsia="en-US"/>
        </w:rPr>
        <w:t>вертого</w:t>
      </w:r>
      <w:r w:rsidRPr="00576298">
        <w:rPr>
          <w:rFonts w:eastAsiaTheme="minorHAnsi"/>
          <w:color w:val="auto"/>
          <w:sz w:val="24"/>
          <w:lang w:val="ru-RU"/>
        </w:rPr>
        <w:t xml:space="preserve"> года.</w:t>
      </w:r>
    </w:p>
    <w:p w14:paraId="52110473" w14:textId="116C1DB3"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71E48E42" w14:textId="77777777" w:rsidR="008C7B00" w:rsidRDefault="008C7B00" w:rsidP="008C7B00">
      <w:r w:rsidRPr="008C7B00">
        <w:lastRenderedPageBreak/>
        <w:t>Правительства 193 государств-членов, 2 государств-наблюдателей и 2 государств-нечленов.</w:t>
      </w:r>
    </w:p>
    <w:p w14:paraId="68327C0D" w14:textId="77777777"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12A22AD2" w14:textId="5F2723B9" w:rsidR="003C5AC5" w:rsidRDefault="003C5AC5" w:rsidP="00C1236A">
      <w:pPr>
        <w:pStyle w:val="MHeader2"/>
        <w:spacing w:line="276" w:lineRule="auto"/>
        <w:rPr>
          <w:rFonts w:eastAsiaTheme="minorHAnsi" w:cstheme="minorBidi"/>
          <w:color w:val="auto"/>
          <w:sz w:val="24"/>
          <w:szCs w:val="22"/>
          <w:lang w:val="ru-RU" w:eastAsia="en-US"/>
        </w:rPr>
      </w:pPr>
      <w:r w:rsidRPr="003C5AC5">
        <w:rPr>
          <w:rFonts w:eastAsiaTheme="minorHAnsi" w:cstheme="minorBidi"/>
          <w:color w:val="auto"/>
          <w:sz w:val="24"/>
          <w:szCs w:val="22"/>
          <w:lang w:val="ru-RU" w:eastAsia="en-US"/>
        </w:rPr>
        <w:t>Департамент ООН по экономическим и социальным вопросам (</w:t>
      </w:r>
      <w:r>
        <w:rPr>
          <w:rFonts w:eastAsiaTheme="minorHAnsi" w:cstheme="minorBidi"/>
          <w:color w:val="auto"/>
          <w:sz w:val="24"/>
          <w:szCs w:val="22"/>
          <w:lang w:val="en-US" w:eastAsia="en-US"/>
        </w:rPr>
        <w:t>UN</w:t>
      </w:r>
      <w:r w:rsidRPr="003C5AC5">
        <w:rPr>
          <w:rFonts w:eastAsiaTheme="minorHAnsi" w:cstheme="minorBidi"/>
          <w:color w:val="auto"/>
          <w:sz w:val="24"/>
          <w:szCs w:val="22"/>
          <w:lang w:val="ru-RU" w:eastAsia="en-US"/>
        </w:rPr>
        <w:t xml:space="preserve"> </w:t>
      </w:r>
      <w:r>
        <w:rPr>
          <w:rFonts w:eastAsiaTheme="minorHAnsi" w:cstheme="minorBidi"/>
          <w:color w:val="auto"/>
          <w:sz w:val="24"/>
          <w:szCs w:val="22"/>
          <w:lang w:val="en-US" w:eastAsia="en-US"/>
        </w:rPr>
        <w:t>DESA</w:t>
      </w:r>
      <w:r w:rsidRPr="003C5AC5">
        <w:rPr>
          <w:rFonts w:eastAsiaTheme="minorHAnsi" w:cstheme="minorBidi"/>
          <w:color w:val="auto"/>
          <w:sz w:val="24"/>
          <w:szCs w:val="22"/>
          <w:lang w:val="ru-RU" w:eastAsia="en-US"/>
        </w:rPr>
        <w:t>), Международная организация по миграции (</w:t>
      </w:r>
      <w:r>
        <w:rPr>
          <w:rFonts w:eastAsiaTheme="minorHAnsi" w:cstheme="minorBidi"/>
          <w:color w:val="auto"/>
          <w:sz w:val="24"/>
          <w:szCs w:val="22"/>
          <w:lang w:val="en-US" w:eastAsia="en-US"/>
        </w:rPr>
        <w:t>IOM</w:t>
      </w:r>
      <w:r w:rsidRPr="003C5AC5">
        <w:rPr>
          <w:rFonts w:eastAsiaTheme="minorHAnsi" w:cstheme="minorBidi"/>
          <w:color w:val="auto"/>
          <w:sz w:val="24"/>
          <w:szCs w:val="22"/>
          <w:lang w:val="ru-RU" w:eastAsia="en-US"/>
        </w:rPr>
        <w:t>) и Организация экономического сотрудничества и развития (ОЭСР)</w:t>
      </w:r>
    </w:p>
    <w:p w14:paraId="3CDCC842" w14:textId="725178EE"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7CFB63B7" w14:textId="77777777" w:rsidR="008C7B00" w:rsidRDefault="00D80BC2" w:rsidP="008C7B00">
      <w:r>
        <w:t>Исследование</w:t>
      </w:r>
      <w:r w:rsidR="008C7B00" w:rsidRPr="008C7B00">
        <w:t xml:space="preserve"> проводится от имени Генерального секретаря. Постоянные представительства в Нью-Йорке способствуют передаче запроса в соответствующие отраслевые министерства или правительственные ведомства. Национальные статистические управления также включаются в корреспонденцию постоянных представительств.</w:t>
      </w:r>
    </w:p>
    <w:p w14:paraId="532D5838" w14:textId="77777777"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14:paraId="0D9E3630" w14:textId="77777777"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09917AC0" w14:textId="1148B995" w:rsidR="00D80BC2" w:rsidRPr="00371A77" w:rsidRDefault="00D80BC2" w:rsidP="00D80BC2">
      <w:pPr>
        <w:spacing w:before="100" w:beforeAutospacing="1" w:after="100" w:afterAutospacing="1"/>
        <w:rPr>
          <w:rStyle w:val="tlid-translation"/>
          <w:rFonts w:cs="Times New Roman"/>
          <w:szCs w:val="24"/>
        </w:rPr>
      </w:pPr>
      <w:r w:rsidRPr="00371A77">
        <w:rPr>
          <w:rStyle w:val="tlid-translation"/>
          <w:rFonts w:cs="Times New Roman"/>
          <w:szCs w:val="24"/>
        </w:rPr>
        <w:t xml:space="preserve">Основная цель предлагаемой методологии состоит в том, чтобы сформулировать четкий и простой показатель на основе существующего источника данных, который может дать значимую, действенную и своевременную информацию о ключевых тенденциях и пробелах в отношении «хорошо управляемой миграционной политики» стран (структура 2). Предложенный показатель может использоваться в качестве синтетической меры для мониторинга цели 10.7 ЦУР и дополнять другие национальные системы мониторинга миграции, включая показатели </w:t>
      </w:r>
      <w:r w:rsidR="004B6CEC">
        <w:rPr>
          <w:rStyle w:val="tlid-translation"/>
          <w:rFonts w:cs="Times New Roman"/>
          <w:szCs w:val="24"/>
          <w:lang w:val="en-US"/>
        </w:rPr>
        <w:t>IOM</w:t>
      </w:r>
      <w:r w:rsidRPr="00371A77">
        <w:rPr>
          <w:rStyle w:val="tlid-translation"/>
          <w:rFonts w:cs="Times New Roman"/>
          <w:szCs w:val="24"/>
        </w:rPr>
        <w:t xml:space="preserve"> по управлению миграцией (MGI)</w:t>
      </w:r>
      <w:r w:rsidRPr="00371A77">
        <w:rPr>
          <w:rStyle w:val="a7"/>
          <w:rFonts w:cs="Times New Roman"/>
          <w:szCs w:val="24"/>
        </w:rPr>
        <w:footnoteReference w:id="3"/>
      </w:r>
      <w:r w:rsidRPr="00371A77">
        <w:rPr>
          <w:rStyle w:val="tlid-translation"/>
          <w:rFonts w:cs="Times New Roman"/>
          <w:szCs w:val="24"/>
        </w:rPr>
        <w:t>.</w:t>
      </w:r>
    </w:p>
    <w:p w14:paraId="2D1ECAC7" w14:textId="77777777" w:rsidR="00D80BC2" w:rsidRPr="00371A77" w:rsidRDefault="00D80BC2" w:rsidP="00D80BC2">
      <w:pPr>
        <w:spacing w:before="100" w:beforeAutospacing="1" w:after="100" w:afterAutospacing="1"/>
        <w:rPr>
          <w:rStyle w:val="tlid-translation"/>
          <w:rFonts w:cs="Times New Roman"/>
          <w:b/>
          <w:szCs w:val="24"/>
        </w:rPr>
      </w:pPr>
      <w:r w:rsidRPr="00371A77">
        <w:rPr>
          <w:rStyle w:val="tlid-translation"/>
          <w:rFonts w:cs="Times New Roman"/>
          <w:b/>
          <w:szCs w:val="24"/>
        </w:rPr>
        <w:t>Структура 2. Область применения и ограничения предлагаемого показателя.</w:t>
      </w:r>
    </w:p>
    <w:tbl>
      <w:tblPr>
        <w:tblStyle w:val="ab"/>
        <w:tblW w:w="10201" w:type="dxa"/>
        <w:tblInd w:w="-841" w:type="dxa"/>
        <w:tblLook w:val="04A0" w:firstRow="1" w:lastRow="0" w:firstColumn="1" w:lastColumn="0" w:noHBand="0" w:noVBand="1"/>
      </w:tblPr>
      <w:tblGrid>
        <w:gridCol w:w="5528"/>
        <w:gridCol w:w="4673"/>
      </w:tblGrid>
      <w:tr w:rsidR="00D80BC2" w:rsidRPr="00371A77" w14:paraId="2BAB7412" w14:textId="77777777" w:rsidTr="00947AE3">
        <w:tc>
          <w:tcPr>
            <w:tcW w:w="10201" w:type="dxa"/>
            <w:gridSpan w:val="2"/>
          </w:tcPr>
          <w:p w14:paraId="11560285" w14:textId="77777777" w:rsidR="00D80BC2" w:rsidRPr="00371A77" w:rsidRDefault="00D80BC2" w:rsidP="00947AE3">
            <w:pPr>
              <w:spacing w:before="100" w:beforeAutospacing="1" w:after="100" w:afterAutospacing="1" w:line="276" w:lineRule="auto"/>
              <w:rPr>
                <w:rFonts w:cs="Times New Roman"/>
                <w:szCs w:val="24"/>
              </w:rPr>
            </w:pPr>
            <w:r w:rsidRPr="00371A77">
              <w:rPr>
                <w:rStyle w:val="tlid-translation"/>
                <w:rFonts w:cs="Times New Roman"/>
                <w:szCs w:val="24"/>
              </w:rPr>
              <w:t>Показатель ЦУР 10.7.2</w:t>
            </w:r>
          </w:p>
        </w:tc>
      </w:tr>
      <w:tr w:rsidR="00D80BC2" w:rsidRPr="00371A77" w14:paraId="69232056" w14:textId="77777777" w:rsidTr="00947AE3">
        <w:tc>
          <w:tcPr>
            <w:tcW w:w="5528" w:type="dxa"/>
          </w:tcPr>
          <w:p w14:paraId="6B90A284" w14:textId="77777777" w:rsidR="00D80BC2" w:rsidRPr="00371A77" w:rsidRDefault="00D80BC2" w:rsidP="00947AE3">
            <w:pPr>
              <w:spacing w:before="100" w:beforeAutospacing="1" w:after="100" w:afterAutospacing="1" w:line="276" w:lineRule="auto"/>
              <w:rPr>
                <w:rFonts w:cs="Times New Roman"/>
                <w:szCs w:val="24"/>
              </w:rPr>
            </w:pPr>
            <w:r w:rsidRPr="00371A77">
              <w:rPr>
                <w:rStyle w:val="tlid-translation"/>
                <w:rFonts w:cs="Times New Roman"/>
                <w:szCs w:val="24"/>
              </w:rPr>
              <w:t>допустимо:</w:t>
            </w:r>
          </w:p>
        </w:tc>
        <w:tc>
          <w:tcPr>
            <w:tcW w:w="4673" w:type="dxa"/>
          </w:tcPr>
          <w:p w14:paraId="26B782D6" w14:textId="77777777" w:rsidR="00D80BC2" w:rsidRPr="00371A77" w:rsidRDefault="00D80BC2" w:rsidP="00947AE3">
            <w:pPr>
              <w:spacing w:before="100" w:beforeAutospacing="1" w:after="100" w:afterAutospacing="1" w:line="276" w:lineRule="auto"/>
              <w:rPr>
                <w:rFonts w:cs="Times New Roman"/>
                <w:szCs w:val="24"/>
              </w:rPr>
            </w:pPr>
            <w:r w:rsidRPr="00371A77">
              <w:rPr>
                <w:rStyle w:val="tlid-translation"/>
                <w:rFonts w:cs="Times New Roman"/>
                <w:szCs w:val="24"/>
              </w:rPr>
              <w:t>Не допустимо:</w:t>
            </w:r>
          </w:p>
        </w:tc>
      </w:tr>
      <w:tr w:rsidR="00D80BC2" w:rsidRPr="00371A77" w14:paraId="682A7151" w14:textId="77777777" w:rsidTr="00947AE3">
        <w:tc>
          <w:tcPr>
            <w:tcW w:w="5528" w:type="dxa"/>
          </w:tcPr>
          <w:p w14:paraId="039C5FDC"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Документирование существования и объёма миграционной политики на уровне стран.</w:t>
            </w:r>
          </w:p>
        </w:tc>
        <w:tc>
          <w:tcPr>
            <w:tcW w:w="4673" w:type="dxa"/>
          </w:tcPr>
          <w:p w14:paraId="21161B85"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Существование в качестве национальной основы для мониторинга миграционной политики</w:t>
            </w:r>
          </w:p>
        </w:tc>
      </w:tr>
      <w:tr w:rsidR="00D80BC2" w:rsidRPr="00371A77" w14:paraId="198738FD" w14:textId="77777777" w:rsidTr="00947AE3">
        <w:tc>
          <w:tcPr>
            <w:tcW w:w="5528" w:type="dxa"/>
          </w:tcPr>
          <w:p w14:paraId="3F4A0C83"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Мониторинг прогресса в сопоставимых областях политики.</w:t>
            </w:r>
          </w:p>
        </w:tc>
        <w:tc>
          <w:tcPr>
            <w:tcW w:w="4673" w:type="dxa"/>
          </w:tcPr>
          <w:p w14:paraId="16CEE07F"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 xml:space="preserve">Предоставление исчерпывающей картины рассмотрения миграционной политики </w:t>
            </w:r>
          </w:p>
        </w:tc>
      </w:tr>
      <w:tr w:rsidR="00D80BC2" w:rsidRPr="00371A77" w14:paraId="0EA53D3B" w14:textId="77777777" w:rsidTr="00947AE3">
        <w:tc>
          <w:tcPr>
            <w:tcW w:w="5528" w:type="dxa"/>
          </w:tcPr>
          <w:p w14:paraId="73A1F502"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 xml:space="preserve">Выявление пробелов в политике для выявления стран, в которых необходимо наращивание потенциала  </w:t>
            </w:r>
          </w:p>
        </w:tc>
        <w:tc>
          <w:tcPr>
            <w:tcW w:w="4673" w:type="dxa"/>
          </w:tcPr>
          <w:p w14:paraId="27414949"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 xml:space="preserve">Решение вопросов реализации миграционной политики </w:t>
            </w:r>
          </w:p>
        </w:tc>
      </w:tr>
      <w:tr w:rsidR="00D80BC2" w:rsidRPr="00371A77" w14:paraId="6017D767" w14:textId="77777777" w:rsidTr="00947AE3">
        <w:tc>
          <w:tcPr>
            <w:tcW w:w="5528" w:type="dxa"/>
          </w:tcPr>
          <w:p w14:paraId="742AAD63"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Отражение различных реалий стран происхождения, транзита и назначения</w:t>
            </w:r>
          </w:p>
        </w:tc>
        <w:tc>
          <w:tcPr>
            <w:tcW w:w="4673" w:type="dxa"/>
          </w:tcPr>
          <w:p w14:paraId="244AAE92" w14:textId="77777777" w:rsidR="00D80BC2" w:rsidRPr="00371A77" w:rsidRDefault="00D80BC2" w:rsidP="00947AE3">
            <w:pPr>
              <w:spacing w:before="100" w:beforeAutospacing="1" w:after="100" w:afterAutospacing="1" w:line="276" w:lineRule="auto"/>
              <w:rPr>
                <w:rFonts w:cs="Times New Roman"/>
                <w:szCs w:val="24"/>
              </w:rPr>
            </w:pPr>
            <w:r w:rsidRPr="00371A77">
              <w:rPr>
                <w:rFonts w:cs="Times New Roman"/>
                <w:szCs w:val="24"/>
              </w:rPr>
              <w:t xml:space="preserve">Оценка влияния эффективности миграционной политики </w:t>
            </w:r>
          </w:p>
        </w:tc>
      </w:tr>
    </w:tbl>
    <w:p w14:paraId="0DAF6562" w14:textId="77777777"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1CD127B6" w14:textId="777F6CEC" w:rsidR="00D80BC2" w:rsidRPr="00371A77" w:rsidRDefault="00D80BC2" w:rsidP="00D80BC2">
      <w:pPr>
        <w:spacing w:before="100" w:beforeAutospacing="1" w:after="100" w:afterAutospacing="1"/>
        <w:rPr>
          <w:rStyle w:val="tlid-translation"/>
          <w:rFonts w:cs="Times New Roman"/>
          <w:b/>
          <w:szCs w:val="24"/>
        </w:rPr>
      </w:pPr>
      <w:r w:rsidRPr="00371A77">
        <w:rPr>
          <w:rStyle w:val="tlid-translation"/>
          <w:rFonts w:cs="Times New Roman"/>
          <w:szCs w:val="24"/>
        </w:rPr>
        <w:lastRenderedPageBreak/>
        <w:t xml:space="preserve">Разработка синтетического надежного индикатора с охватом и масштабом цели 10.7, сформулированной в Повестке дня в области устойчивого развития на период до 2030 года, является сложной задачей. Как со-кураторы показателя 10.7.2, </w:t>
      </w:r>
      <w:r w:rsidR="009027F2">
        <w:rPr>
          <w:rStyle w:val="tlid-translation"/>
          <w:rFonts w:cs="Times New Roman"/>
          <w:szCs w:val="24"/>
          <w:lang w:val="en-US"/>
        </w:rPr>
        <w:t>DESA</w:t>
      </w:r>
      <w:r w:rsidRPr="00371A77">
        <w:rPr>
          <w:rStyle w:val="tlid-translation"/>
          <w:rFonts w:cs="Times New Roman"/>
          <w:szCs w:val="24"/>
        </w:rPr>
        <w:t xml:space="preserve"> ООН и </w:t>
      </w:r>
      <w:r w:rsidR="00934C36">
        <w:rPr>
          <w:rStyle w:val="tlid-translation"/>
          <w:rFonts w:cs="Times New Roman"/>
          <w:szCs w:val="24"/>
          <w:lang w:val="en-US"/>
        </w:rPr>
        <w:t>IOM</w:t>
      </w:r>
      <w:r w:rsidRPr="00371A77">
        <w:rPr>
          <w:rStyle w:val="tlid-translation"/>
          <w:rFonts w:cs="Times New Roman"/>
          <w:szCs w:val="24"/>
        </w:rPr>
        <w:t xml:space="preserve"> признают, что этот показатель не является ни ожидаемым, ни предназначенным для того, чтобы быть всеобъемлющим (структура 2); отсюда важность других дополнительных инструментов, таких как проект </w:t>
      </w:r>
      <w:r w:rsidR="004B6CEC">
        <w:rPr>
          <w:rStyle w:val="tlid-translation"/>
          <w:rFonts w:cs="Times New Roman"/>
          <w:szCs w:val="24"/>
          <w:lang w:val="en-US"/>
        </w:rPr>
        <w:t>IOM</w:t>
      </w:r>
      <w:r w:rsidRPr="00371A77">
        <w:rPr>
          <w:rStyle w:val="tlid-translation"/>
          <w:rFonts w:cs="Times New Roman"/>
          <w:szCs w:val="24"/>
        </w:rPr>
        <w:t xml:space="preserve"> по показателям управления миграцией (MGI)</w:t>
      </w:r>
      <w:r w:rsidRPr="00371A77">
        <w:rPr>
          <w:rStyle w:val="a7"/>
          <w:rFonts w:cs="Times New Roman"/>
          <w:szCs w:val="24"/>
        </w:rPr>
        <w:footnoteReference w:id="4"/>
      </w:r>
      <w:r w:rsidRPr="00371A77">
        <w:rPr>
          <w:rStyle w:val="tlid-translation"/>
          <w:rFonts w:cs="Times New Roman"/>
          <w:szCs w:val="24"/>
        </w:rPr>
        <w:t>.</w:t>
      </w:r>
    </w:p>
    <w:p w14:paraId="1EED330E" w14:textId="77777777"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0CCC73EF" w14:textId="77777777" w:rsidR="00B30158" w:rsidRDefault="00B30158" w:rsidP="00B30158">
      <w:pPr>
        <w:spacing w:before="100" w:beforeAutospacing="1" w:after="100" w:afterAutospacing="1"/>
        <w:rPr>
          <w:rStyle w:val="tlid-translation"/>
          <w:rFonts w:cs="Times New Roman"/>
          <w:szCs w:val="24"/>
        </w:rPr>
      </w:pPr>
      <w:r w:rsidRPr="00371A77">
        <w:rPr>
          <w:rStyle w:val="tlid-translation"/>
          <w:rFonts w:cs="Times New Roman"/>
          <w:szCs w:val="24"/>
        </w:rPr>
        <w:t>Показатель включает в себя 30 подкатегорий по 6 вопросам/областям. Все подкатегории, кроме тех, которые относятся к области 1, имеют дихотомические ответы «Да</w:t>
      </w:r>
      <w:proofErr w:type="gramStart"/>
      <w:r w:rsidRPr="00371A77">
        <w:rPr>
          <w:rStyle w:val="tlid-translation"/>
          <w:rFonts w:cs="Times New Roman"/>
          <w:szCs w:val="24"/>
        </w:rPr>
        <w:t xml:space="preserve"> / Н</w:t>
      </w:r>
      <w:proofErr w:type="gramEnd"/>
      <w:r w:rsidRPr="00371A77">
        <w:rPr>
          <w:rStyle w:val="tlid-translation"/>
          <w:rFonts w:cs="Times New Roman"/>
          <w:szCs w:val="24"/>
        </w:rPr>
        <w:t>ет», закодированные «1» для «Да» и «0» для «Нет». Для подкатегорий в области 1 существует три возможных ответа: «Да, независимо от иммиграционного статуса», код «1»; «Да, только для лиц с легальным иммиграционным статусом», код «0,5»; и «Нет» с кодировкой «0».</w:t>
      </w:r>
      <w:r w:rsidRPr="00371A77">
        <w:rPr>
          <w:rFonts w:cs="Times New Roman"/>
          <w:szCs w:val="24"/>
        </w:rPr>
        <w:br/>
      </w:r>
      <w:r w:rsidRPr="00371A77">
        <w:rPr>
          <w:rStyle w:val="tlid-translation"/>
          <w:rFonts w:cs="Times New Roman"/>
          <w:szCs w:val="24"/>
        </w:rPr>
        <w:t>Для каждой области вычислительная методология представляет собой невзвешенное среднее значение подкатегорий в каждой области:</w:t>
      </w:r>
    </w:p>
    <w:p w14:paraId="1A88551E" w14:textId="77777777" w:rsidR="00B30158" w:rsidRPr="001D08FA" w:rsidRDefault="00B30158" w:rsidP="00934C36">
      <w:pPr>
        <w:spacing w:before="100" w:beforeAutospacing="1" w:after="100" w:afterAutospacing="1"/>
        <w:jc w:val="center"/>
        <w:rPr>
          <w:rStyle w:val="tlid-translation"/>
          <w:rFonts w:cs="Times New Roman"/>
          <w:i/>
          <w:sz w:val="28"/>
          <w:szCs w:val="28"/>
        </w:rPr>
      </w:pPr>
      <w:r w:rsidRPr="001D08FA">
        <w:rPr>
          <w:rStyle w:val="tlid-translation"/>
          <w:rFonts w:cs="Times New Roman"/>
          <w:i/>
          <w:sz w:val="32"/>
          <w:szCs w:val="32"/>
          <w:lang w:val="en-US"/>
        </w:rPr>
        <w:t>D</w:t>
      </w:r>
      <w:r w:rsidRPr="001D08FA">
        <w:rPr>
          <w:rStyle w:val="tlid-translation"/>
          <w:rFonts w:cs="Times New Roman"/>
          <w:i/>
          <w:sz w:val="32"/>
          <w:szCs w:val="32"/>
          <w:vertAlign w:val="subscript"/>
          <w:lang w:val="en-US"/>
        </w:rPr>
        <w:t>i</w:t>
      </w:r>
      <w:r w:rsidRPr="001D08FA">
        <w:rPr>
          <w:rStyle w:val="tlid-translation"/>
          <w:rFonts w:cs="Times New Roman"/>
          <w:i/>
          <w:sz w:val="32"/>
          <w:szCs w:val="32"/>
          <w:vertAlign w:val="subscript"/>
        </w:rPr>
        <w:t xml:space="preserve"> </w:t>
      </w:r>
      <w:r w:rsidRPr="001D08FA">
        <w:rPr>
          <w:rStyle w:val="tlid-translation"/>
          <w:rFonts w:cs="Times New Roman"/>
          <w:i/>
          <w:sz w:val="28"/>
          <w:szCs w:val="28"/>
          <w:vertAlign w:val="subscript"/>
        </w:rPr>
        <w:t xml:space="preserve">= </w:t>
      </w:r>
      <m:oMath>
        <m:f>
          <m:fPr>
            <m:ctrlPr>
              <w:rPr>
                <w:rStyle w:val="tlid-translation"/>
                <w:rFonts w:ascii="Cambria Math" w:hAnsi="Cambria Math" w:cs="Times New Roman"/>
                <w:i/>
                <w:sz w:val="32"/>
                <w:szCs w:val="32"/>
                <w:vertAlign w:val="subscript"/>
                <w:lang w:val="en-US"/>
              </w:rPr>
            </m:ctrlPr>
          </m:fPr>
          <m:num>
            <m:nary>
              <m:naryPr>
                <m:chr m:val="∑"/>
                <m:limLoc m:val="subSup"/>
                <m:ctrlPr>
                  <w:rPr>
                    <w:rStyle w:val="tlid-translation"/>
                    <w:rFonts w:ascii="Cambria Math" w:hAnsi="Cambria Math" w:cs="Times New Roman"/>
                    <w:i/>
                    <w:sz w:val="32"/>
                    <w:szCs w:val="32"/>
                    <w:vertAlign w:val="subscript"/>
                    <w:lang w:val="en-US"/>
                  </w:rPr>
                </m:ctrlPr>
              </m:naryPr>
              <m:sub>
                <m:r>
                  <w:rPr>
                    <w:rStyle w:val="tlid-translation"/>
                    <w:rFonts w:ascii="Cambria Math" w:hAnsi="Cambria Math" w:cs="Times New Roman"/>
                    <w:sz w:val="32"/>
                    <w:szCs w:val="32"/>
                    <w:vertAlign w:val="subscript"/>
                    <w:lang w:val="en-US"/>
                  </w:rPr>
                  <m:t>j</m:t>
                </m:r>
              </m:sub>
              <m:sup>
                <m:r>
                  <w:rPr>
                    <w:rStyle w:val="tlid-translation"/>
                    <w:rFonts w:ascii="Cambria Math" w:hAnsi="Cambria Math" w:cs="Times New Roman"/>
                    <w:sz w:val="32"/>
                    <w:szCs w:val="32"/>
                    <w:vertAlign w:val="subscript"/>
                    <w:lang w:val="en-US"/>
                  </w:rPr>
                  <m:t>n</m:t>
                </m:r>
              </m:sup>
              <m:e>
                <m:sSub>
                  <m:sSubPr>
                    <m:ctrlPr>
                      <w:rPr>
                        <w:rStyle w:val="tlid-translation"/>
                        <w:rFonts w:ascii="Cambria Math" w:hAnsi="Cambria Math" w:cs="Times New Roman"/>
                        <w:i/>
                        <w:sz w:val="32"/>
                        <w:szCs w:val="32"/>
                        <w:vertAlign w:val="subscript"/>
                        <w:lang w:val="en-US"/>
                      </w:rPr>
                    </m:ctrlPr>
                  </m:sSubPr>
                  <m:e>
                    <m:r>
                      <w:rPr>
                        <w:rStyle w:val="tlid-translation"/>
                        <w:rFonts w:ascii="Cambria Math" w:hAnsi="Cambria Math" w:cs="Times New Roman"/>
                        <w:sz w:val="32"/>
                        <w:szCs w:val="32"/>
                        <w:vertAlign w:val="subscript"/>
                        <w:lang w:val="en-US"/>
                      </w:rPr>
                      <m:t>S</m:t>
                    </m:r>
                  </m:e>
                  <m:sub>
                    <m:r>
                      <w:rPr>
                        <w:rStyle w:val="tlid-translation"/>
                        <w:rFonts w:ascii="Cambria Math" w:hAnsi="Cambria Math" w:cs="Times New Roman"/>
                        <w:sz w:val="32"/>
                        <w:szCs w:val="32"/>
                        <w:vertAlign w:val="subscript"/>
                        <w:lang w:val="en-US"/>
                      </w:rPr>
                      <m:t>ji</m:t>
                    </m:r>
                  </m:sub>
                </m:sSub>
              </m:e>
            </m:nary>
          </m:num>
          <m:den>
            <m:r>
              <w:rPr>
                <w:rStyle w:val="tlid-translation"/>
                <w:rFonts w:ascii="Cambria Math" w:hAnsi="Cambria Math" w:cs="Times New Roman"/>
                <w:sz w:val="32"/>
                <w:szCs w:val="32"/>
                <w:vertAlign w:val="subscript"/>
                <w:lang w:val="en-US"/>
              </w:rPr>
              <m:t>n</m:t>
            </m:r>
          </m:den>
        </m:f>
      </m:oMath>
      <w:r w:rsidRPr="001D08FA">
        <w:rPr>
          <w:rStyle w:val="tlid-translation"/>
          <w:rFonts w:eastAsiaTheme="minorEastAsia" w:cs="Times New Roman"/>
          <w:i/>
          <w:sz w:val="32"/>
          <w:szCs w:val="32"/>
          <w:vertAlign w:val="subscript"/>
        </w:rPr>
        <w:t>*100</w:t>
      </w:r>
    </w:p>
    <w:p w14:paraId="7B3629B3" w14:textId="77777777" w:rsidR="00B30158" w:rsidRPr="001D08FA" w:rsidRDefault="00B30158" w:rsidP="00B30158">
      <w:pPr>
        <w:spacing w:before="100" w:beforeAutospacing="1" w:after="100" w:afterAutospacing="1"/>
        <w:rPr>
          <w:rFonts w:cs="Times New Roman"/>
          <w:szCs w:val="24"/>
        </w:rPr>
      </w:pPr>
      <w:r w:rsidRPr="00371A77">
        <w:rPr>
          <w:rStyle w:val="tlid-translation"/>
          <w:rFonts w:cs="Times New Roman"/>
          <w:szCs w:val="24"/>
        </w:rPr>
        <w:t xml:space="preserve">Где </w:t>
      </w:r>
      <w:r w:rsidRPr="00371A77">
        <w:rPr>
          <w:rStyle w:val="tlid-translation"/>
          <w:rFonts w:ascii="Cambria Math" w:hAnsi="Cambria Math" w:cs="Cambria Math"/>
          <w:szCs w:val="24"/>
        </w:rPr>
        <w:t>𝐷</w:t>
      </w:r>
      <w:r w:rsidRPr="001D08FA">
        <w:rPr>
          <w:rStyle w:val="tlid-translation"/>
          <w:rFonts w:ascii="Cambria Math" w:hAnsi="Cambria Math" w:cs="Cambria Math"/>
          <w:szCs w:val="24"/>
          <w:vertAlign w:val="subscript"/>
        </w:rPr>
        <w:t>𝑖</w:t>
      </w:r>
      <w:r w:rsidRPr="00371A77">
        <w:rPr>
          <w:rStyle w:val="tlid-translation"/>
          <w:rFonts w:cs="Times New Roman"/>
          <w:szCs w:val="24"/>
        </w:rPr>
        <w:t xml:space="preserve"> относится к области i; </w:t>
      </w:r>
      <m:oMath>
        <m:nary>
          <m:naryPr>
            <m:chr m:val="∑"/>
            <m:limLoc m:val="subSup"/>
            <m:ctrlPr>
              <w:rPr>
                <w:rStyle w:val="tlid-translation"/>
                <w:rFonts w:ascii="Cambria Math" w:hAnsi="Cambria Math" w:cs="Times New Roman"/>
                <w:i/>
                <w:sz w:val="32"/>
                <w:szCs w:val="32"/>
                <w:vertAlign w:val="subscript"/>
                <w:lang w:val="en-US"/>
              </w:rPr>
            </m:ctrlPr>
          </m:naryPr>
          <m:sub>
            <m:r>
              <w:rPr>
                <w:rStyle w:val="tlid-translation"/>
                <w:rFonts w:ascii="Cambria Math" w:hAnsi="Cambria Math" w:cs="Times New Roman"/>
                <w:sz w:val="32"/>
                <w:szCs w:val="32"/>
                <w:vertAlign w:val="subscript"/>
                <w:lang w:val="en-US"/>
              </w:rPr>
              <m:t>j</m:t>
            </m:r>
          </m:sub>
          <m:sup>
            <m:r>
              <w:rPr>
                <w:rStyle w:val="tlid-translation"/>
                <w:rFonts w:ascii="Cambria Math" w:hAnsi="Cambria Math" w:cs="Times New Roman"/>
                <w:sz w:val="32"/>
                <w:szCs w:val="32"/>
                <w:vertAlign w:val="subscript"/>
                <w:lang w:val="en-US"/>
              </w:rPr>
              <m:t>n</m:t>
            </m:r>
          </m:sup>
          <m:e>
            <m:sSub>
              <m:sSubPr>
                <m:ctrlPr>
                  <w:rPr>
                    <w:rStyle w:val="tlid-translation"/>
                    <w:rFonts w:ascii="Cambria Math" w:hAnsi="Cambria Math" w:cs="Times New Roman"/>
                    <w:i/>
                    <w:sz w:val="32"/>
                    <w:szCs w:val="32"/>
                    <w:vertAlign w:val="subscript"/>
                    <w:lang w:val="en-US"/>
                  </w:rPr>
                </m:ctrlPr>
              </m:sSubPr>
              <m:e>
                <m:r>
                  <w:rPr>
                    <w:rStyle w:val="tlid-translation"/>
                    <w:rFonts w:ascii="Cambria Math" w:hAnsi="Cambria Math" w:cs="Times New Roman"/>
                    <w:sz w:val="32"/>
                    <w:szCs w:val="32"/>
                    <w:vertAlign w:val="subscript"/>
                    <w:lang w:val="en-US"/>
                  </w:rPr>
                  <m:t>S</m:t>
                </m:r>
              </m:e>
              <m:sub>
                <m:r>
                  <w:rPr>
                    <w:rStyle w:val="tlid-translation"/>
                    <w:rFonts w:ascii="Cambria Math" w:hAnsi="Cambria Math" w:cs="Times New Roman"/>
                    <w:sz w:val="32"/>
                    <w:szCs w:val="32"/>
                    <w:vertAlign w:val="subscript"/>
                    <w:lang w:val="en-US"/>
                  </w:rPr>
                  <m:t>ji</m:t>
                </m:r>
              </m:sub>
            </m:sSub>
          </m:e>
        </m:nary>
      </m:oMath>
      <w:r w:rsidRPr="00371A77">
        <w:rPr>
          <w:rStyle w:val="tlid-translation"/>
          <w:rFonts w:cs="Times New Roman"/>
          <w:szCs w:val="24"/>
        </w:rPr>
        <w:t xml:space="preserve"> относится к сумме подкатегорий j в области i; и n относится к общему количеству подкатегорий в каждой области. Результаты представлены в процентах. </w:t>
      </w:r>
      <w:proofErr w:type="gramStart"/>
      <w:r w:rsidRPr="00371A77">
        <w:rPr>
          <w:rStyle w:val="tlid-translation"/>
          <w:rFonts w:cs="Times New Roman"/>
          <w:szCs w:val="24"/>
        </w:rPr>
        <w:t>Для каждой области значения варьируются от минимум 0 до максимум 100 процентов.</w:t>
      </w:r>
      <w:proofErr w:type="gramEnd"/>
    </w:p>
    <w:p w14:paraId="67EAB501" w14:textId="35553535" w:rsidR="00B30158" w:rsidRPr="001D08FA" w:rsidRDefault="00B30158" w:rsidP="00B30158">
      <w:pPr>
        <w:spacing w:before="100" w:beforeAutospacing="1" w:after="100" w:afterAutospacing="1"/>
        <w:rPr>
          <w:rFonts w:cs="Times New Roman"/>
          <w:szCs w:val="24"/>
        </w:rPr>
      </w:pPr>
      <w:r w:rsidRPr="00371A77">
        <w:rPr>
          <w:rStyle w:val="tlid-translation"/>
          <w:rFonts w:cs="Times New Roman"/>
          <w:szCs w:val="24"/>
        </w:rPr>
        <w:t xml:space="preserve">Общий синтетический показатель 10.7.2 получается путем вычисления невзвешенного среднего значения 30 подкатегорий в шести областях </w:t>
      </w:r>
      <w:r w:rsidR="00926365" w:rsidRPr="00371A77">
        <w:rPr>
          <w:rStyle w:val="tlid-translation"/>
          <w:rFonts w:cs="Times New Roman"/>
          <w:szCs w:val="24"/>
        </w:rPr>
        <w:t>со значениями</w:t>
      </w:r>
      <w:r w:rsidRPr="00371A77">
        <w:rPr>
          <w:rStyle w:val="tlid-translation"/>
          <w:rFonts w:cs="Times New Roman"/>
          <w:szCs w:val="24"/>
        </w:rPr>
        <w:t xml:space="preserve"> в диапазоне от 0 до 100 процентов.</w:t>
      </w:r>
    </w:p>
    <w:p w14:paraId="322EE6AB" w14:textId="3F761C36" w:rsidR="00B30158" w:rsidRDefault="00B30158" w:rsidP="00B30158">
      <w:pPr>
        <w:spacing w:before="100" w:beforeAutospacing="1" w:after="100" w:afterAutospacing="1"/>
        <w:rPr>
          <w:rStyle w:val="tlid-translation"/>
          <w:rFonts w:cs="Times New Roman"/>
          <w:szCs w:val="24"/>
        </w:rPr>
      </w:pPr>
      <w:r w:rsidRPr="00371A77">
        <w:rPr>
          <w:rStyle w:val="tlid-translation"/>
          <w:rFonts w:cs="Times New Roman"/>
          <w:szCs w:val="24"/>
        </w:rPr>
        <w:t xml:space="preserve">Для простоты интерпретации и обобщения </w:t>
      </w:r>
      <w:proofErr w:type="gramStart"/>
      <w:r w:rsidRPr="00371A77">
        <w:rPr>
          <w:rStyle w:val="tlid-translation"/>
          <w:rFonts w:cs="Times New Roman"/>
          <w:szCs w:val="24"/>
        </w:rPr>
        <w:t>результатов</w:t>
      </w:r>
      <w:proofErr w:type="gramEnd"/>
      <w:r w:rsidRPr="00371A77">
        <w:rPr>
          <w:rStyle w:val="tlid-translation"/>
          <w:rFonts w:cs="Times New Roman"/>
          <w:szCs w:val="24"/>
        </w:rPr>
        <w:t xml:space="preserve"> полученные средние значения затем классифицируются следующим образом: значения менее 40 процентов кодируются как «Требуется дальнейший прогресс»; значения от 40% до 80% кодируются как «Частично соответствует», </w:t>
      </w:r>
      <w:r w:rsidR="00926365" w:rsidRPr="00926365">
        <w:rPr>
          <w:rStyle w:val="tlid-translation"/>
          <w:rFonts w:cs="Times New Roman"/>
          <w:szCs w:val="24"/>
        </w:rPr>
        <w:t>значения от 80</w:t>
      </w:r>
      <w:r w:rsidR="00372FFE">
        <w:rPr>
          <w:rStyle w:val="tlid-translation"/>
          <w:rFonts w:cs="Times New Roman"/>
          <w:szCs w:val="24"/>
        </w:rPr>
        <w:t>%</w:t>
      </w:r>
      <w:r w:rsidR="00926365" w:rsidRPr="00926365">
        <w:rPr>
          <w:rStyle w:val="tlid-translation"/>
          <w:rFonts w:cs="Times New Roman"/>
          <w:szCs w:val="24"/>
        </w:rPr>
        <w:t xml:space="preserve"> до 100</w:t>
      </w:r>
      <w:r w:rsidR="00372FFE">
        <w:rPr>
          <w:rStyle w:val="tlid-translation"/>
          <w:rFonts w:cs="Times New Roman"/>
          <w:szCs w:val="24"/>
        </w:rPr>
        <w:t>%</w:t>
      </w:r>
      <w:r w:rsidR="00926365" w:rsidRPr="00926365">
        <w:rPr>
          <w:rStyle w:val="tlid-translation"/>
          <w:rFonts w:cs="Times New Roman"/>
          <w:szCs w:val="24"/>
        </w:rPr>
        <w:t xml:space="preserve"> кодируются как </w:t>
      </w:r>
      <w:r w:rsidR="00F61539">
        <w:rPr>
          <w:rStyle w:val="tlid-translation"/>
          <w:rFonts w:cs="Times New Roman"/>
          <w:szCs w:val="24"/>
        </w:rPr>
        <w:t>«</w:t>
      </w:r>
      <w:r w:rsidR="00926365" w:rsidRPr="00926365">
        <w:rPr>
          <w:rStyle w:val="tlid-translation"/>
          <w:rFonts w:cs="Times New Roman"/>
          <w:szCs w:val="24"/>
        </w:rPr>
        <w:t>Соответствует</w:t>
      </w:r>
      <w:r w:rsidR="00F61539">
        <w:rPr>
          <w:rStyle w:val="tlid-translation"/>
          <w:rFonts w:cs="Times New Roman"/>
          <w:szCs w:val="24"/>
        </w:rPr>
        <w:t>»</w:t>
      </w:r>
      <w:r w:rsidR="00926365" w:rsidRPr="00926365">
        <w:rPr>
          <w:rStyle w:val="tlid-translation"/>
          <w:rFonts w:cs="Times New Roman"/>
          <w:szCs w:val="24"/>
        </w:rPr>
        <w:t xml:space="preserve">, а </w:t>
      </w:r>
      <w:r w:rsidR="00824571" w:rsidRPr="00926365">
        <w:rPr>
          <w:rStyle w:val="tlid-translation"/>
          <w:rFonts w:cs="Times New Roman"/>
          <w:szCs w:val="24"/>
        </w:rPr>
        <w:t>значения</w:t>
      </w:r>
      <w:r w:rsidR="00C95D84">
        <w:rPr>
          <w:rStyle w:val="tlid-translation"/>
          <w:rFonts w:cs="Times New Roman"/>
          <w:szCs w:val="24"/>
        </w:rPr>
        <w:t xml:space="preserve"> соответствующие</w:t>
      </w:r>
      <w:r w:rsidR="00824571">
        <w:rPr>
          <w:rStyle w:val="tlid-translation"/>
          <w:rFonts w:cs="Times New Roman"/>
          <w:szCs w:val="24"/>
        </w:rPr>
        <w:t xml:space="preserve"> </w:t>
      </w:r>
      <w:r w:rsidR="00824571" w:rsidRPr="00926365">
        <w:rPr>
          <w:rStyle w:val="tlid-translation"/>
          <w:rFonts w:cs="Times New Roman"/>
          <w:szCs w:val="24"/>
        </w:rPr>
        <w:t>100</w:t>
      </w:r>
      <w:r w:rsidR="00372FFE">
        <w:rPr>
          <w:rStyle w:val="tlid-translation"/>
          <w:rFonts w:cs="Times New Roman"/>
          <w:szCs w:val="24"/>
        </w:rPr>
        <w:t>%</w:t>
      </w:r>
      <w:r w:rsidR="00926365" w:rsidRPr="00926365">
        <w:rPr>
          <w:rStyle w:val="tlid-translation"/>
          <w:rFonts w:cs="Times New Roman"/>
          <w:szCs w:val="24"/>
        </w:rPr>
        <w:t xml:space="preserve"> кодируются как </w:t>
      </w:r>
      <w:r w:rsidR="00B147A7">
        <w:rPr>
          <w:rStyle w:val="tlid-translation"/>
          <w:rFonts w:cs="Times New Roman"/>
          <w:szCs w:val="24"/>
        </w:rPr>
        <w:t>«</w:t>
      </w:r>
      <w:r w:rsidR="00926365" w:rsidRPr="00926365">
        <w:rPr>
          <w:rStyle w:val="tlid-translation"/>
          <w:rFonts w:cs="Times New Roman"/>
          <w:szCs w:val="24"/>
        </w:rPr>
        <w:t>Полностью соответствует</w:t>
      </w:r>
      <w:r w:rsidR="00B147A7">
        <w:rPr>
          <w:rStyle w:val="tlid-translation"/>
          <w:rFonts w:cs="Times New Roman"/>
          <w:szCs w:val="24"/>
        </w:rPr>
        <w:t>»</w:t>
      </w:r>
      <w:r w:rsidR="00926365" w:rsidRPr="00926365">
        <w:rPr>
          <w:rStyle w:val="tlid-translation"/>
          <w:rFonts w:cs="Times New Roman"/>
          <w:szCs w:val="24"/>
        </w:rPr>
        <w:t>.</w:t>
      </w:r>
    </w:p>
    <w:p w14:paraId="43F0183C" w14:textId="77777777" w:rsidR="0040505F" w:rsidRDefault="00251603" w:rsidP="00251603">
      <w:pPr>
        <w:pStyle w:val="a0"/>
      </w:pPr>
      <w:r w:rsidRPr="00251603">
        <w:t>Данные о средних значениях по странам для общего показателя и по доменам, использованным для расчета показателя 10.7.2, доступны через базу данных ЦУР на страновом уровне в серии 3230 (SG_CPA_MIGRS).</w:t>
      </w:r>
    </w:p>
    <w:p w14:paraId="3B55E796" w14:textId="6CDE9DA5" w:rsidR="00251603" w:rsidRDefault="00251603" w:rsidP="00251603">
      <w:pPr>
        <w:pStyle w:val="a0"/>
      </w:pPr>
      <w:r w:rsidRPr="00251603">
        <w:t>Единицей измерения средних значений по стране для общего показателя и по предметной области является категория/балл (1</w:t>
      </w:r>
      <w:proofErr w:type="gramStart"/>
      <w:r w:rsidRPr="00251603">
        <w:t xml:space="preserve"> = Т</w:t>
      </w:r>
      <w:proofErr w:type="gramEnd"/>
      <w:r w:rsidRPr="00251603">
        <w:t>ребуется дальнейший прогресс; 2 = Частично соответствует; 3 = Соответствует; 4 = Полностью соответствует).</w:t>
      </w:r>
    </w:p>
    <w:p w14:paraId="00D10C55" w14:textId="77777777" w:rsidR="00251603" w:rsidRPr="00576298" w:rsidRDefault="00251603" w:rsidP="00576298">
      <w:pPr>
        <w:pStyle w:val="a0"/>
      </w:pPr>
    </w:p>
    <w:p w14:paraId="4C53F8E6" w14:textId="77777777" w:rsidR="002E15F9" w:rsidRDefault="002E15F9" w:rsidP="00A7053F">
      <w:pPr>
        <w:pStyle w:val="MHeader2"/>
        <w:pBdr>
          <w:bottom w:val="single" w:sz="12" w:space="3" w:color="DDDDDD"/>
        </w:pBdr>
        <w:spacing w:line="276" w:lineRule="auto"/>
        <w:rPr>
          <w:b/>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4C807408" w14:textId="77777777" w:rsidR="00083DC3" w:rsidRDefault="00083DC3" w:rsidP="00083DC3">
      <w:r w:rsidRPr="00083DC3">
        <w:t>Право собственности на данные по показателю 10.7.2 принадлежит правительствам 193 государств-членов, 2 государств-наблюдателей и 2 государств-нечленов. Они в индивидуальном порядке несут ответственность за проверку качества данных, которые они предоставляют в ходе запроса.</w:t>
      </w:r>
    </w:p>
    <w:p w14:paraId="76F046FF" w14:textId="77777777"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0360563B" w14:textId="4E0CB08A" w:rsidR="004C35F0" w:rsidRPr="009E18DB" w:rsidRDefault="004C35F0" w:rsidP="00B179C9">
      <w:pPr>
        <w:pStyle w:val="MHeader2"/>
        <w:spacing w:line="276" w:lineRule="auto"/>
        <w:rPr>
          <w:bCs/>
          <w:color w:val="auto"/>
          <w:sz w:val="24"/>
          <w:szCs w:val="24"/>
          <w:lang w:val="ru-RU"/>
        </w:rPr>
      </w:pPr>
      <w:r w:rsidRPr="004C35F0">
        <w:rPr>
          <w:bCs/>
          <w:color w:val="auto"/>
          <w:sz w:val="24"/>
          <w:szCs w:val="24"/>
          <w:lang w:val="ru-RU"/>
        </w:rPr>
        <w:t>Корректировок не</w:t>
      </w:r>
      <w:r>
        <w:rPr>
          <w:bCs/>
          <w:color w:val="auto"/>
          <w:sz w:val="24"/>
          <w:szCs w:val="24"/>
          <w:lang w:val="ru-RU"/>
        </w:rPr>
        <w:t>т</w:t>
      </w:r>
    </w:p>
    <w:p w14:paraId="7AE09AA5"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1599AF72" w14:textId="24F679F6" w:rsidR="00083DC3" w:rsidRPr="007764B4" w:rsidRDefault="00083DC3" w:rsidP="007764B4">
      <w:pPr>
        <w:pStyle w:val="ac"/>
        <w:numPr>
          <w:ilvl w:val="0"/>
          <w:numId w:val="17"/>
        </w:numPr>
        <w:rPr>
          <w:i/>
        </w:rPr>
      </w:pPr>
      <w:r w:rsidRPr="007764B4">
        <w:rPr>
          <w:i/>
        </w:rPr>
        <w:t xml:space="preserve">На </w:t>
      </w:r>
      <w:r w:rsidR="007764B4" w:rsidRPr="007764B4">
        <w:rPr>
          <w:i/>
        </w:rPr>
        <w:t>страновом уровне:</w:t>
      </w:r>
    </w:p>
    <w:p w14:paraId="43EC537F" w14:textId="77777777" w:rsidR="00083DC3" w:rsidRPr="00083DC3" w:rsidRDefault="00083DC3" w:rsidP="00083DC3">
      <w:r w:rsidRPr="00083DC3">
        <w:t>Для обеспечения сопоставимости показателя по странам и во времени пропущенным значениям присваивается значение «0».</w:t>
      </w:r>
    </w:p>
    <w:p w14:paraId="5C4C19FC" w14:textId="4AD3DD6B" w:rsidR="00083DC3" w:rsidRPr="007764B4" w:rsidRDefault="00083DC3" w:rsidP="007764B4">
      <w:pPr>
        <w:pStyle w:val="ac"/>
        <w:numPr>
          <w:ilvl w:val="0"/>
          <w:numId w:val="17"/>
        </w:numPr>
        <w:rPr>
          <w:i/>
        </w:rPr>
      </w:pPr>
      <w:r w:rsidRPr="007764B4">
        <w:rPr>
          <w:i/>
        </w:rPr>
        <w:t>На региональном и глобальном уровнях</w:t>
      </w:r>
      <w:r w:rsidR="007764B4" w:rsidRPr="007764B4">
        <w:rPr>
          <w:i/>
        </w:rPr>
        <w:t>:</w:t>
      </w:r>
    </w:p>
    <w:p w14:paraId="6E8DB322" w14:textId="77777777" w:rsidR="00083DC3" w:rsidRDefault="00083DC3" w:rsidP="00083DC3">
      <w:r w:rsidRPr="00083DC3">
        <w:t>Не вменено.</w:t>
      </w:r>
    </w:p>
    <w:p w14:paraId="4D1E1058" w14:textId="77777777" w:rsidR="002E15F9" w:rsidRDefault="002E15F9" w:rsidP="00083DC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09C4FE32" w14:textId="359076B1" w:rsidR="009A1284" w:rsidRPr="009A1284" w:rsidRDefault="009A1284" w:rsidP="00576298">
      <w:pPr>
        <w:pStyle w:val="a0"/>
        <w:spacing w:line="276" w:lineRule="auto"/>
      </w:pPr>
      <w:r w:rsidRPr="009A1284">
        <w:t>Региональные и глобальные агрегированные показатели рассчитываются и представляются как доля стран в этом регионе (или во всем мире), которые “</w:t>
      </w:r>
      <w:r>
        <w:t>Т</w:t>
      </w:r>
      <w:r w:rsidRPr="009A1284">
        <w:t>ребуют дальнейшего прогресса”, “Частично выполняют</w:t>
      </w:r>
      <w:r>
        <w:t>ся</w:t>
      </w:r>
      <w:r w:rsidRPr="009A1284">
        <w:t>” и “Выполняют</w:t>
      </w:r>
      <w:r>
        <w:t>ся</w:t>
      </w:r>
      <w:r w:rsidRPr="009A1284">
        <w:t xml:space="preserve"> или полностью удовлетворяют” целевому показателю 10.7, </w:t>
      </w:r>
      <w:proofErr w:type="spellStart"/>
      <w:r w:rsidRPr="009A1284">
        <w:t>концептуализированному</w:t>
      </w:r>
      <w:proofErr w:type="spellEnd"/>
      <w:r w:rsidRPr="009A1284">
        <w:t xml:space="preserve"> и измеряемому с помощью показателя 10.7.2, среди тех, которые ответили на запрос модуля по международной миграции. Региональные и глобальные агрегированные данные могут быть представлены как по общему показателю, так и по предметным областям.</w:t>
      </w:r>
    </w:p>
    <w:p w14:paraId="7EE3318F" w14:textId="77777777" w:rsidR="00F56853" w:rsidRPr="00CF1C87" w:rsidRDefault="002E15F9" w:rsidP="00CF1C87">
      <w:pPr>
        <w:pStyle w:val="MHeader2"/>
        <w:spacing w:line="276" w:lineRule="auto"/>
        <w:rPr>
          <w:b/>
          <w:color w:val="auto"/>
          <w:sz w:val="24"/>
          <w:szCs w:val="24"/>
          <w:lang w:val="ru-RU"/>
        </w:rPr>
      </w:pPr>
      <w:r w:rsidRPr="00CF1C87">
        <w:rPr>
          <w:b/>
          <w:color w:val="auto"/>
          <w:sz w:val="24"/>
          <w:szCs w:val="24"/>
          <w:lang w:val="ru-RU"/>
        </w:rPr>
        <w:t xml:space="preserve">4.h. </w:t>
      </w:r>
      <w:r w:rsidR="00E27922" w:rsidRPr="00CF1C87">
        <w:rPr>
          <w:b/>
          <w:color w:val="auto"/>
          <w:sz w:val="24"/>
          <w:szCs w:val="24"/>
          <w:lang w:val="ru-RU"/>
        </w:rPr>
        <w:t>Доступные странам методы для сбора данных на национальном уровне</w:t>
      </w:r>
    </w:p>
    <w:p w14:paraId="6CF13036" w14:textId="1F5B1086" w:rsidR="00083DC3" w:rsidRPr="003D1CC0" w:rsidRDefault="00083DC3" w:rsidP="009E3522">
      <w:pPr>
        <w:pStyle w:val="ac"/>
        <w:numPr>
          <w:ilvl w:val="0"/>
          <w:numId w:val="12"/>
        </w:numPr>
        <w:spacing w:before="100" w:beforeAutospacing="1" w:after="100" w:afterAutospacing="1"/>
        <w:rPr>
          <w:rFonts w:cs="Times New Roman"/>
          <w:szCs w:val="24"/>
        </w:rPr>
      </w:pPr>
      <w:r w:rsidRPr="001D08FA">
        <w:rPr>
          <w:rStyle w:val="tlid-translation"/>
          <w:rFonts w:cs="Times New Roman"/>
          <w:szCs w:val="24"/>
        </w:rPr>
        <w:t>Опросный ли</w:t>
      </w:r>
      <w:proofErr w:type="gramStart"/>
      <w:r w:rsidRPr="001D08FA">
        <w:rPr>
          <w:rStyle w:val="tlid-translation"/>
          <w:rFonts w:cs="Times New Roman"/>
          <w:szCs w:val="24"/>
        </w:rPr>
        <w:t>ст вкл</w:t>
      </w:r>
      <w:proofErr w:type="gramEnd"/>
      <w:r w:rsidRPr="001D08FA">
        <w:rPr>
          <w:rStyle w:val="tlid-translation"/>
          <w:rFonts w:cs="Times New Roman"/>
          <w:szCs w:val="24"/>
        </w:rPr>
        <w:t xml:space="preserve">ючает в себя рекомендации, определения и инструкции. </w:t>
      </w:r>
      <w:r w:rsidR="009E3522" w:rsidRPr="009E3522">
        <w:rPr>
          <w:rStyle w:val="tlid-translation"/>
          <w:rFonts w:cs="Times New Roman"/>
          <w:szCs w:val="24"/>
        </w:rPr>
        <w:t>DESA</w:t>
      </w:r>
      <w:r w:rsidRPr="001D08FA">
        <w:rPr>
          <w:rStyle w:val="tlid-translation"/>
          <w:rFonts w:cs="Times New Roman"/>
          <w:szCs w:val="24"/>
        </w:rPr>
        <w:t xml:space="preserve"> ООН, </w:t>
      </w:r>
      <w:r w:rsidR="009E3522">
        <w:rPr>
          <w:rStyle w:val="tlid-translation"/>
          <w:rFonts w:cs="Times New Roman"/>
          <w:szCs w:val="24"/>
          <w:lang w:val="en-US"/>
        </w:rPr>
        <w:t>IOM</w:t>
      </w:r>
      <w:r w:rsidRPr="001D08FA">
        <w:rPr>
          <w:rStyle w:val="tlid-translation"/>
          <w:rFonts w:cs="Times New Roman"/>
          <w:szCs w:val="24"/>
        </w:rPr>
        <w:t xml:space="preserve"> и ОЭСР готовы ответить на запросы стран и дать дополнительные разъяснения. Кроме того, </w:t>
      </w:r>
      <w:r w:rsidR="005C4ECC">
        <w:rPr>
          <w:rStyle w:val="tlid-translation"/>
          <w:rFonts w:cs="Times New Roman"/>
          <w:szCs w:val="24"/>
          <w:lang w:val="en-US"/>
        </w:rPr>
        <w:t>IOM</w:t>
      </w:r>
      <w:r w:rsidRPr="001D08FA">
        <w:rPr>
          <w:rStyle w:val="tlid-translation"/>
          <w:rFonts w:cs="Times New Roman"/>
          <w:szCs w:val="24"/>
        </w:rPr>
        <w:t xml:space="preserve"> и ОЭСР определили координаторов/страновые отделения, которые могут оказать помощь в проведении опроса на страновом уровне.</w:t>
      </w:r>
      <w:r w:rsidR="003D1CC0" w:rsidRPr="003D1CC0">
        <w:t xml:space="preserve"> </w:t>
      </w:r>
      <w:r w:rsidR="003D1CC0" w:rsidRPr="003D1CC0">
        <w:rPr>
          <w:rStyle w:val="tlid-translation"/>
          <w:rFonts w:cs="Times New Roman"/>
          <w:szCs w:val="24"/>
        </w:rPr>
        <w:t>Для облегчения ответов и удовлетворения</w:t>
      </w:r>
      <w:r w:rsidR="003D1CC0">
        <w:rPr>
          <w:rStyle w:val="tlid-translation"/>
          <w:rFonts w:cs="Times New Roman"/>
          <w:szCs w:val="24"/>
        </w:rPr>
        <w:t xml:space="preserve"> </w:t>
      </w:r>
      <w:r w:rsidR="003D1CC0" w:rsidRPr="003D1CC0">
        <w:rPr>
          <w:rStyle w:val="tlid-translation"/>
          <w:rFonts w:cs="Times New Roman"/>
          <w:szCs w:val="24"/>
        </w:rPr>
        <w:t>запросов на материалы на разных языках инструмент опроса был переведен на шесть официальных языков ООН (английский, арабский, испанский, китайский, русский и французский).</w:t>
      </w:r>
    </w:p>
    <w:p w14:paraId="7BD36BCB" w14:textId="39705A47" w:rsidR="00083DC3" w:rsidRPr="001D08FA" w:rsidRDefault="00083DC3" w:rsidP="00083DC3">
      <w:pPr>
        <w:pStyle w:val="ac"/>
        <w:numPr>
          <w:ilvl w:val="0"/>
          <w:numId w:val="12"/>
        </w:numPr>
        <w:spacing w:before="100" w:beforeAutospacing="1" w:after="100" w:afterAutospacing="1"/>
        <w:rPr>
          <w:rFonts w:cs="Times New Roman"/>
          <w:szCs w:val="24"/>
        </w:rPr>
      </w:pPr>
      <w:r w:rsidRPr="001D08FA">
        <w:rPr>
          <w:rStyle w:val="tlid-translation"/>
          <w:rFonts w:cs="Times New Roman"/>
          <w:szCs w:val="24"/>
        </w:rPr>
        <w:t xml:space="preserve">Никаких новых международных рекомендаций и руководств не предлагается. Как отмечалось в предыдущих параграфах, методология основана на резолюции Совета </w:t>
      </w:r>
      <w:r w:rsidR="00ED599F">
        <w:rPr>
          <w:rStyle w:val="tlid-translation"/>
          <w:rFonts w:cs="Times New Roman"/>
          <w:szCs w:val="24"/>
          <w:lang w:val="en-US"/>
        </w:rPr>
        <w:t>IOM</w:t>
      </w:r>
      <w:r w:rsidRPr="001D08FA">
        <w:rPr>
          <w:rStyle w:val="tlid-translation"/>
          <w:rFonts w:cs="Times New Roman"/>
          <w:szCs w:val="24"/>
        </w:rPr>
        <w:t>, касающейся Механизма управления миграцией, и существующего механизма сбора данных - опроса, санкционированного Генеральной Ассамблеей ООН.</w:t>
      </w:r>
    </w:p>
    <w:p w14:paraId="78DB4567" w14:textId="77777777" w:rsidR="00151C00" w:rsidRPr="00CF1C87" w:rsidRDefault="002E15F9" w:rsidP="00CF1C87">
      <w:pPr>
        <w:pStyle w:val="MHeader2"/>
        <w:spacing w:line="276" w:lineRule="auto"/>
        <w:rPr>
          <w:b/>
          <w:color w:val="auto"/>
          <w:sz w:val="24"/>
          <w:szCs w:val="24"/>
          <w:lang w:val="ru-RU"/>
        </w:rPr>
      </w:pPr>
      <w:r w:rsidRPr="00CF1C87">
        <w:rPr>
          <w:b/>
          <w:color w:val="auto"/>
          <w:sz w:val="24"/>
          <w:szCs w:val="24"/>
          <w:lang w:val="ru-RU"/>
        </w:rPr>
        <w:t xml:space="preserve">4.i. </w:t>
      </w:r>
      <w:r w:rsidR="00E27922" w:rsidRPr="00CF1C87">
        <w:rPr>
          <w:b/>
          <w:color w:val="auto"/>
          <w:sz w:val="24"/>
          <w:szCs w:val="24"/>
          <w:lang w:val="ru-RU"/>
        </w:rPr>
        <w:t>Управление качеством</w:t>
      </w:r>
      <w:r w:rsidR="000C224E" w:rsidRPr="00CF1C87">
        <w:rPr>
          <w:b/>
          <w:color w:val="auto"/>
          <w:sz w:val="24"/>
          <w:szCs w:val="24"/>
          <w:lang w:val="ru-RU"/>
        </w:rPr>
        <w:t xml:space="preserve"> </w:t>
      </w:r>
    </w:p>
    <w:p w14:paraId="0F026799" w14:textId="77777777" w:rsidR="00083DC3" w:rsidRPr="00083DC3" w:rsidRDefault="00083DC3" w:rsidP="00083DC3">
      <w:r w:rsidRPr="00083DC3">
        <w:lastRenderedPageBreak/>
        <w:t>Правительства 193 государств-членов, 2 государств-наблюдателей и 2 государств-нечленов несут ответственность за управление качеством данных, относящихся к показателю 10.7.2.</w:t>
      </w:r>
    </w:p>
    <w:p w14:paraId="6A4D10B3" w14:textId="77777777" w:rsidR="00151C00" w:rsidRDefault="002E15F9" w:rsidP="00F568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14:paraId="2986A51B" w14:textId="3AC7F9AB" w:rsidR="00083DC3" w:rsidRPr="001D08FA" w:rsidRDefault="00083DC3" w:rsidP="00083DC3">
      <w:pPr>
        <w:pStyle w:val="ac"/>
        <w:numPr>
          <w:ilvl w:val="0"/>
          <w:numId w:val="13"/>
        </w:numPr>
        <w:spacing w:before="100" w:beforeAutospacing="1" w:after="100" w:afterAutospacing="1"/>
        <w:rPr>
          <w:rStyle w:val="tlid-translation"/>
          <w:rFonts w:cs="Times New Roman"/>
          <w:szCs w:val="24"/>
        </w:rPr>
      </w:pPr>
      <w:r w:rsidRPr="001D08FA">
        <w:rPr>
          <w:rStyle w:val="tlid-translation"/>
          <w:rFonts w:cs="Times New Roman"/>
          <w:szCs w:val="24"/>
        </w:rPr>
        <w:t>Ответы на запрос предоставляются и утверждаются непосредственно отвечающ</w:t>
      </w:r>
      <w:r w:rsidR="00861FD7">
        <w:rPr>
          <w:rStyle w:val="tlid-translation"/>
          <w:rFonts w:cs="Times New Roman"/>
          <w:szCs w:val="24"/>
        </w:rPr>
        <w:t xml:space="preserve">ими государственными органами. </w:t>
      </w:r>
      <w:r w:rsidR="00861FD7">
        <w:rPr>
          <w:rStyle w:val="tlid-translation"/>
          <w:rFonts w:cs="Times New Roman"/>
          <w:szCs w:val="24"/>
          <w:lang w:val="en-US"/>
        </w:rPr>
        <w:t>DESA</w:t>
      </w:r>
      <w:r w:rsidRPr="001D08FA">
        <w:rPr>
          <w:rStyle w:val="tlid-translation"/>
          <w:rFonts w:cs="Times New Roman"/>
          <w:szCs w:val="24"/>
        </w:rPr>
        <w:t xml:space="preserve"> ООН при поддержке </w:t>
      </w:r>
      <w:r w:rsidR="00861FD7">
        <w:rPr>
          <w:rStyle w:val="tlid-translation"/>
          <w:rFonts w:cs="Times New Roman"/>
          <w:szCs w:val="24"/>
          <w:lang w:val="en-US"/>
        </w:rPr>
        <w:t>IOM</w:t>
      </w:r>
      <w:r w:rsidRPr="001D08FA">
        <w:rPr>
          <w:rStyle w:val="tlid-translation"/>
          <w:rFonts w:cs="Times New Roman"/>
          <w:szCs w:val="24"/>
        </w:rPr>
        <w:t xml:space="preserve"> и ОЭСР по мере необходимости будет проводить базовую проверку согласованности. Любые несоответствия будут отмечены национальными партнерами для разрешения. </w:t>
      </w:r>
    </w:p>
    <w:p w14:paraId="2D78BCE0" w14:textId="77777777" w:rsidR="00083DC3" w:rsidRPr="001D08FA" w:rsidRDefault="00083DC3" w:rsidP="00083DC3">
      <w:pPr>
        <w:pStyle w:val="ac"/>
        <w:numPr>
          <w:ilvl w:val="0"/>
          <w:numId w:val="13"/>
        </w:numPr>
        <w:spacing w:before="100" w:beforeAutospacing="1" w:after="100" w:afterAutospacing="1"/>
        <w:rPr>
          <w:rStyle w:val="tlid-translation"/>
          <w:rFonts w:cs="Times New Roman"/>
          <w:szCs w:val="24"/>
        </w:rPr>
      </w:pPr>
      <w:r w:rsidRPr="001D08FA">
        <w:rPr>
          <w:rStyle w:val="tlid-translation"/>
          <w:rFonts w:cs="Times New Roman"/>
          <w:szCs w:val="24"/>
        </w:rPr>
        <w:t>Поскольку показатель напрямую зависит от ответов стран на запрос, дополнительного процесса консультаций со странами по национальным данным, представленным в базе данных показателей ЦУР, не предусматривается.</w:t>
      </w:r>
    </w:p>
    <w:p w14:paraId="0BF29C78" w14:textId="77777777" w:rsidR="002E15F9" w:rsidRPr="00CF1C87" w:rsidRDefault="0075371E" w:rsidP="00CF1C87">
      <w:pPr>
        <w:pStyle w:val="MHeader"/>
        <w:spacing w:after="100"/>
        <w:rPr>
          <w:b/>
          <w:color w:val="auto"/>
          <w:sz w:val="24"/>
          <w:szCs w:val="24"/>
          <w:lang w:val="ru-RU"/>
        </w:rPr>
      </w:pPr>
      <w:r w:rsidRPr="00CF1C87">
        <w:rPr>
          <w:b/>
          <w:color w:val="auto"/>
          <w:sz w:val="24"/>
          <w:szCs w:val="24"/>
          <w:lang w:val="ru-RU"/>
        </w:rPr>
        <w:t xml:space="preserve">4.k. </w:t>
      </w:r>
      <w:r w:rsidRPr="00A343D5">
        <w:rPr>
          <w:b/>
          <w:color w:val="auto"/>
          <w:sz w:val="24"/>
          <w:szCs w:val="24"/>
          <w:lang w:val="ru-RU"/>
        </w:rPr>
        <w:t>Оценка качества</w:t>
      </w:r>
      <w:r w:rsidRPr="00CF1C87">
        <w:rPr>
          <w:b/>
          <w:color w:val="auto"/>
          <w:sz w:val="24"/>
          <w:szCs w:val="24"/>
          <w:lang w:val="ru-RU"/>
        </w:rPr>
        <w:t xml:space="preserve"> </w:t>
      </w:r>
    </w:p>
    <w:p w14:paraId="756958D2" w14:textId="77777777" w:rsidR="00083DC3" w:rsidRDefault="00083DC3" w:rsidP="00083DC3">
      <w:r w:rsidRPr="00083DC3">
        <w:t>Данные проверяются на внутреннюю непротиворечивость. В случаях, когда возникают сомнения относительно достоверности национальных ответов на запрос, с поставщиками данных на уровне страны связываются и запрашиваются разъяснения. Если это будет сочтено необходимым, ответившую государственную организацию просят представить исправленные данные.</w:t>
      </w:r>
    </w:p>
    <w:p w14:paraId="65815717" w14:textId="77777777"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14:paraId="2DF6EF4A" w14:textId="77777777" w:rsidR="00845FE2" w:rsidRPr="001513C5" w:rsidRDefault="00845FE2" w:rsidP="00845FE2">
      <w:pPr>
        <w:rPr>
          <w:b/>
        </w:rPr>
      </w:pPr>
      <w:r w:rsidRPr="001513C5">
        <w:rPr>
          <w:b/>
        </w:rPr>
        <w:t>Доступность данных:</w:t>
      </w:r>
    </w:p>
    <w:p w14:paraId="7546ACDE" w14:textId="77777777" w:rsidR="00083DC3" w:rsidRDefault="00083DC3" w:rsidP="00083DC3">
      <w:pPr>
        <w:spacing w:before="100" w:beforeAutospacing="1" w:after="100" w:afterAutospacing="1"/>
        <w:rPr>
          <w:rStyle w:val="tlid-translation"/>
          <w:rFonts w:cs="Times New Roman"/>
          <w:szCs w:val="24"/>
        </w:rPr>
      </w:pPr>
      <w:r w:rsidRPr="00371A77">
        <w:rPr>
          <w:rStyle w:val="tlid-translation"/>
          <w:rFonts w:cs="Times New Roman"/>
          <w:szCs w:val="24"/>
        </w:rPr>
        <w:t xml:space="preserve">Тридцати странам было предложено принять участие в пилотной реализации предлагаемой методологии для показателя 10.7.2; по шесть от каждой из региональных </w:t>
      </w:r>
      <w:r w:rsidRPr="00083DC3">
        <w:t xml:space="preserve">комиссий ООН. Десять стран ответили на </w:t>
      </w:r>
      <w:proofErr w:type="spellStart"/>
      <w:r w:rsidRPr="00083DC3">
        <w:t>эпилотный</w:t>
      </w:r>
      <w:proofErr w:type="spellEnd"/>
      <w:r w:rsidRPr="00083DC3">
        <w:t xml:space="preserve"> проект: </w:t>
      </w:r>
      <w:proofErr w:type="gramStart"/>
      <w:r w:rsidRPr="00083DC3">
        <w:t>Кот-д'Ивуар; Демократическая Республика Конго; Финляндия; Франция; Лесото; Литва; Мексика; Марокко; Швеция и Йемен.</w:t>
      </w:r>
      <w:proofErr w:type="gramEnd"/>
      <w:r w:rsidRPr="00083DC3">
        <w:t xml:space="preserve"> Результаты пилотного проекта представлены в приложении «Изложение методологии развития».</w:t>
      </w:r>
    </w:p>
    <w:p w14:paraId="502AABCC" w14:textId="379659EF" w:rsidR="0075466D" w:rsidRDefault="0075466D" w:rsidP="0075466D">
      <w:r>
        <w:t>По состоянию на 31 октября 2021 года правительства 138 стран предоставили данные по показателю 10.7.2 ЦУР через модуль международной миграции Запроса; что эквивалентно 70 процентам всех стран мира. Из них 49 стран ответили только на Двенадцатый запрос, 27 - только на тринадцатый запрос и 62 - как на Двенадцатый запрос, так и на Тринадцатый запрос.</w:t>
      </w:r>
    </w:p>
    <w:p w14:paraId="3362A953" w14:textId="45245A81" w:rsidR="00083DC3" w:rsidRDefault="0075466D" w:rsidP="0075466D">
      <w:r>
        <w:t xml:space="preserve">Охват показателя по регионам достижения ЦУР неравномерен. Что касается странового охвата, то в трех регионах (Европа и Северная Америка, Северная Африка и Западная Азия, а также страны Африки к югу от Сахары) имелись данные по 75 процентам или более стран. Хотя охват был ниже в других регионах, во всех регионах имелись </w:t>
      </w:r>
      <w:proofErr w:type="gramStart"/>
      <w:r>
        <w:t>данные</w:t>
      </w:r>
      <w:proofErr w:type="gramEnd"/>
      <w:r>
        <w:t xml:space="preserve"> по меньшей мере по 50 процентам стран</w:t>
      </w:r>
      <w:r w:rsidR="00083DC3" w:rsidRPr="00083DC3">
        <w:t>.</w:t>
      </w:r>
    </w:p>
    <w:p w14:paraId="6B06A58C" w14:textId="77777777" w:rsidR="00AF3B1B" w:rsidRPr="00AF3B1B" w:rsidRDefault="00AF3B1B" w:rsidP="00AF3B1B">
      <w:pPr>
        <w:pStyle w:val="MText"/>
        <w:jc w:val="center"/>
        <w:rPr>
          <w:b/>
          <w:lang w:val="ru-RU"/>
        </w:rPr>
      </w:pPr>
      <w:r>
        <w:rPr>
          <w:b/>
          <w:bCs/>
          <w:lang w:val="ru-RU"/>
        </w:rPr>
        <w:t>Таблица</w:t>
      </w:r>
      <w:r w:rsidRPr="00AF3B1B">
        <w:rPr>
          <w:b/>
          <w:bCs/>
          <w:lang w:val="ru-RU"/>
        </w:rPr>
        <w:t xml:space="preserve"> 3. </w:t>
      </w:r>
      <w:r w:rsidRPr="00AF3B1B">
        <w:rPr>
          <w:b/>
          <w:lang w:val="ru-RU"/>
        </w:rPr>
        <w:t xml:space="preserve">Охват </w:t>
      </w:r>
      <w:r>
        <w:rPr>
          <w:b/>
          <w:lang w:val="ru-RU"/>
        </w:rPr>
        <w:t>М</w:t>
      </w:r>
      <w:r w:rsidRPr="00AF3B1B">
        <w:rPr>
          <w:b/>
          <w:lang w:val="ru-RU"/>
        </w:rPr>
        <w:t xml:space="preserve">одуля </w:t>
      </w:r>
      <w:r w:rsidRPr="00AF3B1B">
        <w:rPr>
          <w:b/>
        </w:rPr>
        <w:t>III</w:t>
      </w:r>
      <w:r w:rsidRPr="00AF3B1B">
        <w:rPr>
          <w:b/>
          <w:lang w:val="ru-RU"/>
        </w:rPr>
        <w:t xml:space="preserve"> запроса</w:t>
      </w:r>
    </w:p>
    <w:tbl>
      <w:tblPr>
        <w:tblStyle w:val="1-1"/>
        <w:tblW w:w="5000" w:type="pct"/>
        <w:tblLook w:val="04A0" w:firstRow="1" w:lastRow="0" w:firstColumn="1" w:lastColumn="0" w:noHBand="0" w:noVBand="1"/>
      </w:tblPr>
      <w:tblGrid>
        <w:gridCol w:w="3535"/>
        <w:gridCol w:w="1735"/>
        <w:gridCol w:w="1435"/>
        <w:gridCol w:w="1435"/>
        <w:gridCol w:w="1431"/>
      </w:tblGrid>
      <w:tr w:rsidR="00AF3B1B" w:rsidRPr="00AF3B1B" w14:paraId="43E04A8C" w14:textId="77777777" w:rsidTr="00947AE3">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1878" w:type="pct"/>
            <w:vAlign w:val="bottom"/>
            <w:hideMark/>
          </w:tcPr>
          <w:p w14:paraId="7909E83D" w14:textId="77777777" w:rsidR="00AF3B1B" w:rsidRPr="00AF3B1B" w:rsidRDefault="00AF3B1B" w:rsidP="00947AE3">
            <w:pPr>
              <w:spacing w:line="276" w:lineRule="auto"/>
              <w:jc w:val="center"/>
              <w:rPr>
                <w:sz w:val="20"/>
                <w:szCs w:val="20"/>
                <w:lang w:val="ru-RU"/>
              </w:rPr>
            </w:pPr>
          </w:p>
          <w:p w14:paraId="0C1F5A15" w14:textId="77777777" w:rsidR="00AF3B1B" w:rsidRPr="00AF3B1B" w:rsidRDefault="00AF3B1B" w:rsidP="00947AE3">
            <w:pPr>
              <w:spacing w:line="276" w:lineRule="auto"/>
              <w:jc w:val="center"/>
              <w:rPr>
                <w:sz w:val="20"/>
                <w:szCs w:val="20"/>
                <w:lang w:val="ru-RU"/>
              </w:rPr>
            </w:pPr>
          </w:p>
          <w:p w14:paraId="29CF9D17" w14:textId="77777777" w:rsidR="00AF3B1B" w:rsidRPr="00AF3B1B" w:rsidRDefault="00AF3B1B" w:rsidP="00947AE3">
            <w:pPr>
              <w:spacing w:line="276" w:lineRule="auto"/>
              <w:rPr>
                <w:sz w:val="20"/>
                <w:szCs w:val="20"/>
                <w:lang w:val="ru-RU"/>
              </w:rPr>
            </w:pPr>
            <w:r>
              <w:rPr>
                <w:sz w:val="20"/>
                <w:szCs w:val="20"/>
                <w:lang w:val="ru-RU"/>
              </w:rPr>
              <w:t>Регион</w:t>
            </w:r>
          </w:p>
        </w:tc>
        <w:tc>
          <w:tcPr>
            <w:tcW w:w="781" w:type="pct"/>
            <w:vAlign w:val="bottom"/>
          </w:tcPr>
          <w:p w14:paraId="1CCA3D72" w14:textId="77777777" w:rsidR="00AF3B1B" w:rsidRPr="00AF3B1B" w:rsidRDefault="00AF3B1B" w:rsidP="00AF3B1B">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ru-RU"/>
              </w:rPr>
            </w:pPr>
            <w:r>
              <w:rPr>
                <w:sz w:val="20"/>
                <w:szCs w:val="20"/>
                <w:lang w:val="ru-RU"/>
              </w:rPr>
              <w:t>Число стран, предоставивших  данные</w:t>
            </w:r>
          </w:p>
        </w:tc>
        <w:tc>
          <w:tcPr>
            <w:tcW w:w="781" w:type="pct"/>
            <w:vAlign w:val="bottom"/>
            <w:hideMark/>
          </w:tcPr>
          <w:p w14:paraId="15A3F9D6" w14:textId="77777777" w:rsidR="00AF3B1B" w:rsidRPr="00AF3B1B" w:rsidRDefault="00AF3B1B" w:rsidP="00947AE3">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ru-RU"/>
              </w:rPr>
            </w:pPr>
            <w:r>
              <w:rPr>
                <w:sz w:val="20"/>
                <w:szCs w:val="20"/>
                <w:lang w:val="ru-RU"/>
              </w:rPr>
              <w:t>Охват по стране</w:t>
            </w:r>
          </w:p>
        </w:tc>
        <w:tc>
          <w:tcPr>
            <w:tcW w:w="781" w:type="pct"/>
            <w:vAlign w:val="bottom"/>
            <w:hideMark/>
          </w:tcPr>
          <w:p w14:paraId="4EB43BCA" w14:textId="77777777" w:rsidR="00AF3B1B" w:rsidRPr="00AF3B1B" w:rsidRDefault="00AF3B1B" w:rsidP="00947AE3">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ru-RU"/>
              </w:rPr>
            </w:pPr>
            <w:r>
              <w:rPr>
                <w:sz w:val="20"/>
                <w:szCs w:val="20"/>
                <w:lang w:val="ru-RU"/>
              </w:rPr>
              <w:t>Охват населения</w:t>
            </w:r>
          </w:p>
        </w:tc>
        <w:tc>
          <w:tcPr>
            <w:tcW w:w="779" w:type="pct"/>
            <w:vAlign w:val="bottom"/>
            <w:hideMark/>
          </w:tcPr>
          <w:p w14:paraId="7366A54C" w14:textId="77777777" w:rsidR="00AF3B1B" w:rsidRPr="00AF3B1B" w:rsidRDefault="00AF3B1B" w:rsidP="00947AE3">
            <w:pPr>
              <w:spacing w:line="276" w:lineRule="auto"/>
              <w:jc w:val="center"/>
              <w:cnfStyle w:val="100000000000" w:firstRow="1" w:lastRow="0" w:firstColumn="0" w:lastColumn="0" w:oddVBand="0" w:evenVBand="0" w:oddHBand="0" w:evenHBand="0" w:firstRowFirstColumn="0" w:firstRowLastColumn="0" w:lastRowFirstColumn="0" w:lastRowLastColumn="0"/>
              <w:rPr>
                <w:sz w:val="20"/>
                <w:szCs w:val="20"/>
                <w:lang w:val="ru-RU"/>
              </w:rPr>
            </w:pPr>
            <w:r w:rsidRPr="00AF3B1B">
              <w:rPr>
                <w:sz w:val="20"/>
                <w:szCs w:val="20"/>
                <w:lang w:val="ru-RU"/>
              </w:rPr>
              <w:t>Общее количество стран по регионам</w:t>
            </w:r>
          </w:p>
        </w:tc>
      </w:tr>
      <w:tr w:rsidR="00AF3B1B" w:rsidRPr="004A3CCD" w14:paraId="14660137" w14:textId="77777777" w:rsidTr="00947AE3">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878" w:type="pct"/>
            <w:shd w:val="clear" w:color="auto" w:fill="EAF6FC"/>
            <w:hideMark/>
          </w:tcPr>
          <w:p w14:paraId="0E98B31B" w14:textId="77777777" w:rsidR="00AF3B1B" w:rsidRPr="00AF3B1B" w:rsidRDefault="00AF3B1B" w:rsidP="00947AE3">
            <w:pPr>
              <w:rPr>
                <w:b w:val="0"/>
                <w:bCs w:val="0"/>
                <w:color w:val="4478B6"/>
                <w:sz w:val="20"/>
                <w:szCs w:val="20"/>
                <w:lang w:val="ru-RU"/>
              </w:rPr>
            </w:pPr>
            <w:r w:rsidRPr="00AF3B1B">
              <w:rPr>
                <w:color w:val="4478B6"/>
                <w:sz w:val="20"/>
                <w:szCs w:val="20"/>
                <w:lang w:val="ru-RU"/>
              </w:rPr>
              <w:t>страны Африки к югу от Сахары</w:t>
            </w:r>
          </w:p>
        </w:tc>
        <w:tc>
          <w:tcPr>
            <w:tcW w:w="781" w:type="pct"/>
            <w:shd w:val="clear" w:color="auto" w:fill="EAF6FC"/>
          </w:tcPr>
          <w:p w14:paraId="131BC8E9" w14:textId="1EB0D9E3" w:rsidR="00AF3B1B" w:rsidRPr="00576298" w:rsidRDefault="00AF3B1B" w:rsidP="00947AE3">
            <w:pPr>
              <w:jc w:val="right"/>
              <w:cnfStyle w:val="000000100000" w:firstRow="0" w:lastRow="0" w:firstColumn="0" w:lastColumn="0" w:oddVBand="0" w:evenVBand="0" w:oddHBand="1" w:evenHBand="0" w:firstRowFirstColumn="0" w:firstRowLastColumn="0" w:lastRowFirstColumn="0" w:lastRowLastColumn="0"/>
              <w:rPr>
                <w:sz w:val="20"/>
                <w:lang w:val="ru-RU"/>
              </w:rPr>
            </w:pPr>
            <w:r w:rsidRPr="0072451C">
              <w:rPr>
                <w:sz w:val="20"/>
                <w:szCs w:val="20"/>
              </w:rPr>
              <w:t>3</w:t>
            </w:r>
            <w:r w:rsidR="0075466D">
              <w:rPr>
                <w:sz w:val="20"/>
                <w:szCs w:val="20"/>
                <w:lang w:val="ru-RU"/>
              </w:rPr>
              <w:t>7</w:t>
            </w:r>
          </w:p>
        </w:tc>
        <w:tc>
          <w:tcPr>
            <w:tcW w:w="781" w:type="pct"/>
            <w:shd w:val="clear" w:color="auto" w:fill="EAF6FC"/>
            <w:hideMark/>
          </w:tcPr>
          <w:p w14:paraId="2BF74BAB" w14:textId="7BDE3A26" w:rsidR="00AF3B1B" w:rsidRPr="004A3CCD" w:rsidRDefault="0075466D"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ru-RU"/>
              </w:rPr>
              <w:t>77</w:t>
            </w:r>
            <w:r w:rsidR="00AF3B1B" w:rsidRPr="004A3CCD">
              <w:rPr>
                <w:sz w:val="20"/>
                <w:szCs w:val="20"/>
              </w:rPr>
              <w:t>%</w:t>
            </w:r>
          </w:p>
        </w:tc>
        <w:tc>
          <w:tcPr>
            <w:tcW w:w="781" w:type="pct"/>
            <w:shd w:val="clear" w:color="auto" w:fill="EAF6FC"/>
            <w:hideMark/>
          </w:tcPr>
          <w:p w14:paraId="491E9B5D" w14:textId="1769BCAB"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7</w:t>
            </w:r>
            <w:r w:rsidR="0075466D">
              <w:rPr>
                <w:sz w:val="20"/>
                <w:szCs w:val="20"/>
                <w:lang w:val="ru-RU"/>
              </w:rPr>
              <w:t>9</w:t>
            </w:r>
            <w:r w:rsidRPr="004A3CCD">
              <w:rPr>
                <w:sz w:val="20"/>
                <w:szCs w:val="20"/>
              </w:rPr>
              <w:t>%</w:t>
            </w:r>
          </w:p>
        </w:tc>
        <w:tc>
          <w:tcPr>
            <w:tcW w:w="779" w:type="pct"/>
            <w:shd w:val="clear" w:color="auto" w:fill="EAF6FC"/>
            <w:hideMark/>
          </w:tcPr>
          <w:p w14:paraId="363B1A20" w14:textId="77777777"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48</w:t>
            </w:r>
          </w:p>
        </w:tc>
      </w:tr>
      <w:tr w:rsidR="00AF3B1B" w:rsidRPr="004A3CCD" w14:paraId="569C1511" w14:textId="77777777" w:rsidTr="00947AE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hideMark/>
          </w:tcPr>
          <w:p w14:paraId="28494850" w14:textId="77777777" w:rsidR="00AF3B1B" w:rsidRPr="00AF3B1B" w:rsidRDefault="00AF3B1B" w:rsidP="00947AE3">
            <w:pPr>
              <w:rPr>
                <w:b w:val="0"/>
                <w:bCs w:val="0"/>
                <w:color w:val="4478B6"/>
                <w:sz w:val="20"/>
                <w:szCs w:val="20"/>
                <w:lang w:val="ru-RU"/>
              </w:rPr>
            </w:pPr>
            <w:r w:rsidRPr="00AF3B1B">
              <w:rPr>
                <w:color w:val="4478B6"/>
                <w:sz w:val="20"/>
                <w:szCs w:val="20"/>
                <w:lang w:val="ru-RU"/>
              </w:rPr>
              <w:t>Северная Африка и Западная Азия</w:t>
            </w:r>
          </w:p>
        </w:tc>
        <w:tc>
          <w:tcPr>
            <w:tcW w:w="781" w:type="pct"/>
          </w:tcPr>
          <w:p w14:paraId="1E67FAC8" w14:textId="4E77AAB0" w:rsidR="00AF3B1B" w:rsidRPr="00576298" w:rsidRDefault="00AF3B1B" w:rsidP="00947AE3">
            <w:pPr>
              <w:jc w:val="right"/>
              <w:cnfStyle w:val="000000010000" w:firstRow="0" w:lastRow="0" w:firstColumn="0" w:lastColumn="0" w:oddVBand="0" w:evenVBand="0" w:oddHBand="0" w:evenHBand="1" w:firstRowFirstColumn="0" w:firstRowLastColumn="0" w:lastRowFirstColumn="0" w:lastRowLastColumn="0"/>
              <w:rPr>
                <w:sz w:val="20"/>
                <w:lang w:val="ru-RU"/>
              </w:rPr>
            </w:pPr>
            <w:r w:rsidRPr="0072451C">
              <w:rPr>
                <w:sz w:val="20"/>
                <w:szCs w:val="20"/>
              </w:rPr>
              <w:t>1</w:t>
            </w:r>
            <w:r w:rsidR="0075466D">
              <w:rPr>
                <w:sz w:val="20"/>
                <w:szCs w:val="20"/>
                <w:lang w:val="ru-RU"/>
              </w:rPr>
              <w:t>8</w:t>
            </w:r>
          </w:p>
        </w:tc>
        <w:tc>
          <w:tcPr>
            <w:tcW w:w="781" w:type="pct"/>
            <w:hideMark/>
          </w:tcPr>
          <w:p w14:paraId="160C9CB5" w14:textId="5FDBEF1D" w:rsidR="00AF3B1B" w:rsidRPr="004A3CCD" w:rsidRDefault="0075466D"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75</w:t>
            </w:r>
            <w:r w:rsidR="00AF3B1B" w:rsidRPr="004A3CCD">
              <w:rPr>
                <w:sz w:val="20"/>
                <w:szCs w:val="20"/>
              </w:rPr>
              <w:t>%</w:t>
            </w:r>
          </w:p>
        </w:tc>
        <w:tc>
          <w:tcPr>
            <w:tcW w:w="781" w:type="pct"/>
            <w:hideMark/>
          </w:tcPr>
          <w:p w14:paraId="7CE47B41" w14:textId="137108D3" w:rsidR="00AF3B1B" w:rsidRPr="004A3CCD" w:rsidRDefault="0075466D"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71</w:t>
            </w:r>
            <w:r w:rsidR="00AF3B1B" w:rsidRPr="004A3CCD">
              <w:rPr>
                <w:sz w:val="20"/>
                <w:szCs w:val="20"/>
              </w:rPr>
              <w:t>%</w:t>
            </w:r>
          </w:p>
        </w:tc>
        <w:tc>
          <w:tcPr>
            <w:tcW w:w="779" w:type="pct"/>
            <w:hideMark/>
          </w:tcPr>
          <w:p w14:paraId="645972F5" w14:textId="77777777" w:rsidR="00AF3B1B" w:rsidRPr="004A3CCD"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24</w:t>
            </w:r>
          </w:p>
        </w:tc>
      </w:tr>
      <w:tr w:rsidR="00AF3B1B" w:rsidRPr="004A3CCD" w14:paraId="1574BD67" w14:textId="77777777" w:rsidTr="00947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shd w:val="clear" w:color="auto" w:fill="EAF6FC"/>
            <w:hideMark/>
          </w:tcPr>
          <w:p w14:paraId="3CE114E1" w14:textId="77777777" w:rsidR="00AF3B1B" w:rsidRPr="00AF3B1B" w:rsidRDefault="00AF3B1B" w:rsidP="00947AE3">
            <w:pPr>
              <w:rPr>
                <w:b w:val="0"/>
                <w:bCs w:val="0"/>
                <w:color w:val="4478B6"/>
                <w:sz w:val="20"/>
                <w:szCs w:val="20"/>
                <w:lang w:val="ru-RU"/>
              </w:rPr>
            </w:pPr>
            <w:r>
              <w:rPr>
                <w:color w:val="4478B6"/>
                <w:sz w:val="20"/>
                <w:szCs w:val="20"/>
                <w:lang w:val="ru-RU"/>
              </w:rPr>
              <w:t>Центральная и Южная Азия</w:t>
            </w:r>
          </w:p>
        </w:tc>
        <w:tc>
          <w:tcPr>
            <w:tcW w:w="781" w:type="pct"/>
            <w:shd w:val="clear" w:color="auto" w:fill="EAF6FC"/>
          </w:tcPr>
          <w:p w14:paraId="21EABE34" w14:textId="726C3F98" w:rsidR="00AF3B1B" w:rsidRPr="00576298" w:rsidRDefault="0075466D" w:rsidP="00947AE3">
            <w:pPr>
              <w:jc w:val="right"/>
              <w:cnfStyle w:val="000000100000" w:firstRow="0" w:lastRow="0" w:firstColumn="0" w:lastColumn="0" w:oddVBand="0" w:evenVBand="0" w:oddHBand="1" w:evenHBand="0" w:firstRowFirstColumn="0" w:firstRowLastColumn="0" w:lastRowFirstColumn="0" w:lastRowLastColumn="0"/>
              <w:rPr>
                <w:sz w:val="20"/>
                <w:lang w:val="ru-RU"/>
              </w:rPr>
            </w:pPr>
            <w:r>
              <w:rPr>
                <w:sz w:val="20"/>
                <w:szCs w:val="20"/>
                <w:lang w:val="ru-RU"/>
              </w:rPr>
              <w:t>8</w:t>
            </w:r>
          </w:p>
        </w:tc>
        <w:tc>
          <w:tcPr>
            <w:tcW w:w="781" w:type="pct"/>
            <w:shd w:val="clear" w:color="auto" w:fill="EAF6FC"/>
            <w:hideMark/>
          </w:tcPr>
          <w:p w14:paraId="458F88CA" w14:textId="3DD0AC38" w:rsidR="00AF3B1B" w:rsidRPr="004A3CCD" w:rsidRDefault="0075466D"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ru-RU"/>
              </w:rPr>
              <w:t>57</w:t>
            </w:r>
            <w:r w:rsidR="00AF3B1B" w:rsidRPr="004A3CCD">
              <w:rPr>
                <w:sz w:val="20"/>
                <w:szCs w:val="20"/>
              </w:rPr>
              <w:t>%</w:t>
            </w:r>
          </w:p>
        </w:tc>
        <w:tc>
          <w:tcPr>
            <w:tcW w:w="781" w:type="pct"/>
            <w:shd w:val="clear" w:color="auto" w:fill="EAF6FC"/>
            <w:hideMark/>
          </w:tcPr>
          <w:p w14:paraId="2E7F7431" w14:textId="096BBFE2" w:rsidR="00AF3B1B" w:rsidRPr="004A3CCD" w:rsidRDefault="0075466D"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ru-RU"/>
              </w:rPr>
              <w:t>82</w:t>
            </w:r>
            <w:r w:rsidR="00AF3B1B" w:rsidRPr="004A3CCD">
              <w:rPr>
                <w:sz w:val="20"/>
                <w:szCs w:val="20"/>
              </w:rPr>
              <w:t>%</w:t>
            </w:r>
          </w:p>
        </w:tc>
        <w:tc>
          <w:tcPr>
            <w:tcW w:w="779" w:type="pct"/>
            <w:shd w:val="clear" w:color="auto" w:fill="EAF6FC"/>
            <w:hideMark/>
          </w:tcPr>
          <w:p w14:paraId="6A99483A" w14:textId="77777777"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14</w:t>
            </w:r>
          </w:p>
        </w:tc>
      </w:tr>
      <w:tr w:rsidR="00AF3B1B" w:rsidRPr="004A3CCD" w14:paraId="03FBE6A1" w14:textId="77777777" w:rsidTr="00947AE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hideMark/>
          </w:tcPr>
          <w:p w14:paraId="3A92D436" w14:textId="77777777" w:rsidR="00AF3B1B" w:rsidRPr="00AF3B1B" w:rsidRDefault="00AF3B1B" w:rsidP="00947AE3">
            <w:pPr>
              <w:rPr>
                <w:b w:val="0"/>
                <w:bCs w:val="0"/>
                <w:color w:val="4478B6"/>
                <w:sz w:val="20"/>
                <w:szCs w:val="20"/>
                <w:lang w:val="ru-RU"/>
              </w:rPr>
            </w:pPr>
            <w:r>
              <w:rPr>
                <w:color w:val="4478B6"/>
                <w:sz w:val="20"/>
                <w:szCs w:val="20"/>
                <w:lang w:val="ru-RU"/>
              </w:rPr>
              <w:t>Восточная и Юго-Восточная Азия</w:t>
            </w:r>
          </w:p>
        </w:tc>
        <w:tc>
          <w:tcPr>
            <w:tcW w:w="781" w:type="pct"/>
          </w:tcPr>
          <w:p w14:paraId="2DE3F382" w14:textId="05ACE4EC" w:rsidR="00AF3B1B" w:rsidRPr="00576298" w:rsidRDefault="0075466D" w:rsidP="00947AE3">
            <w:pPr>
              <w:jc w:val="right"/>
              <w:cnfStyle w:val="000000010000" w:firstRow="0" w:lastRow="0" w:firstColumn="0" w:lastColumn="0" w:oddVBand="0" w:evenVBand="0" w:oddHBand="0" w:evenHBand="1" w:firstRowFirstColumn="0" w:firstRowLastColumn="0" w:lastRowFirstColumn="0" w:lastRowLastColumn="0"/>
              <w:rPr>
                <w:sz w:val="20"/>
                <w:lang w:val="ru-RU"/>
              </w:rPr>
            </w:pPr>
            <w:r>
              <w:rPr>
                <w:sz w:val="20"/>
                <w:szCs w:val="20"/>
                <w:lang w:val="ru-RU"/>
              </w:rPr>
              <w:t>10</w:t>
            </w:r>
          </w:p>
        </w:tc>
        <w:tc>
          <w:tcPr>
            <w:tcW w:w="781" w:type="pct"/>
            <w:hideMark/>
          </w:tcPr>
          <w:p w14:paraId="1D019E8A" w14:textId="54D6DE77" w:rsidR="00AF3B1B" w:rsidRPr="004A3CCD" w:rsidRDefault="0075466D"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63</w:t>
            </w:r>
            <w:r w:rsidR="00AF3B1B" w:rsidRPr="004A3CCD">
              <w:rPr>
                <w:sz w:val="20"/>
                <w:szCs w:val="20"/>
              </w:rPr>
              <w:t>%</w:t>
            </w:r>
          </w:p>
        </w:tc>
        <w:tc>
          <w:tcPr>
            <w:tcW w:w="781" w:type="pct"/>
            <w:hideMark/>
          </w:tcPr>
          <w:p w14:paraId="622BE594" w14:textId="522165ED" w:rsidR="00AF3B1B" w:rsidRPr="004A3CCD" w:rsidRDefault="0075466D"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93</w:t>
            </w:r>
            <w:r w:rsidR="00AF3B1B" w:rsidRPr="004A3CCD">
              <w:rPr>
                <w:sz w:val="20"/>
                <w:szCs w:val="20"/>
              </w:rPr>
              <w:t>%</w:t>
            </w:r>
          </w:p>
        </w:tc>
        <w:tc>
          <w:tcPr>
            <w:tcW w:w="779" w:type="pct"/>
            <w:hideMark/>
          </w:tcPr>
          <w:p w14:paraId="4913499D" w14:textId="77777777" w:rsidR="00AF3B1B" w:rsidRPr="004A3CCD"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16</w:t>
            </w:r>
          </w:p>
        </w:tc>
      </w:tr>
      <w:tr w:rsidR="00AF3B1B" w:rsidRPr="004A3CCD" w14:paraId="79AE4CDD" w14:textId="77777777" w:rsidTr="00947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shd w:val="clear" w:color="auto" w:fill="EAF6FC"/>
            <w:hideMark/>
          </w:tcPr>
          <w:p w14:paraId="71CB52C0" w14:textId="77777777" w:rsidR="00AF3B1B" w:rsidRPr="00AF3B1B" w:rsidRDefault="00AF3B1B" w:rsidP="00947AE3">
            <w:pPr>
              <w:rPr>
                <w:b w:val="0"/>
                <w:bCs w:val="0"/>
                <w:color w:val="4478B6"/>
                <w:sz w:val="20"/>
                <w:szCs w:val="20"/>
                <w:lang w:val="ru-RU"/>
              </w:rPr>
            </w:pPr>
            <w:r w:rsidRPr="00AF3B1B">
              <w:rPr>
                <w:color w:val="4478B6"/>
                <w:sz w:val="20"/>
                <w:szCs w:val="20"/>
                <w:lang w:val="ru-RU"/>
              </w:rPr>
              <w:t>Латинская Америка и Карибский бассейн</w:t>
            </w:r>
          </w:p>
        </w:tc>
        <w:tc>
          <w:tcPr>
            <w:tcW w:w="781" w:type="pct"/>
            <w:shd w:val="clear" w:color="auto" w:fill="EAF6FC"/>
          </w:tcPr>
          <w:p w14:paraId="20328CA8" w14:textId="6650281C" w:rsidR="00AF3B1B" w:rsidRPr="00576298" w:rsidRDefault="00AF3B1B" w:rsidP="00947AE3">
            <w:pPr>
              <w:jc w:val="right"/>
              <w:cnfStyle w:val="000000100000" w:firstRow="0" w:lastRow="0" w:firstColumn="0" w:lastColumn="0" w:oddVBand="0" w:evenVBand="0" w:oddHBand="1" w:evenHBand="0" w:firstRowFirstColumn="0" w:firstRowLastColumn="0" w:lastRowFirstColumn="0" w:lastRowLastColumn="0"/>
              <w:rPr>
                <w:sz w:val="20"/>
                <w:lang w:val="ru-RU"/>
              </w:rPr>
            </w:pPr>
            <w:r w:rsidRPr="0072451C">
              <w:rPr>
                <w:sz w:val="20"/>
                <w:szCs w:val="20"/>
              </w:rPr>
              <w:t>1</w:t>
            </w:r>
            <w:r w:rsidR="0075466D">
              <w:rPr>
                <w:sz w:val="20"/>
                <w:szCs w:val="20"/>
                <w:lang w:val="ru-RU"/>
              </w:rPr>
              <w:t>7</w:t>
            </w:r>
          </w:p>
        </w:tc>
        <w:tc>
          <w:tcPr>
            <w:tcW w:w="781" w:type="pct"/>
            <w:shd w:val="clear" w:color="auto" w:fill="EAF6FC"/>
            <w:hideMark/>
          </w:tcPr>
          <w:p w14:paraId="4E4ADB14" w14:textId="2C1FB368" w:rsidR="00AF3B1B" w:rsidRPr="0072451C" w:rsidRDefault="0075466D"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ru-RU"/>
              </w:rPr>
              <w:t>52</w:t>
            </w:r>
            <w:r w:rsidR="00AF3B1B" w:rsidRPr="0072451C">
              <w:rPr>
                <w:sz w:val="20"/>
                <w:szCs w:val="20"/>
              </w:rPr>
              <w:t>%</w:t>
            </w:r>
          </w:p>
        </w:tc>
        <w:tc>
          <w:tcPr>
            <w:tcW w:w="781" w:type="pct"/>
            <w:shd w:val="clear" w:color="auto" w:fill="EAF6FC"/>
            <w:hideMark/>
          </w:tcPr>
          <w:p w14:paraId="28C36423" w14:textId="57327293"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8</w:t>
            </w:r>
            <w:r w:rsidR="0075466D">
              <w:rPr>
                <w:sz w:val="20"/>
                <w:szCs w:val="20"/>
                <w:lang w:val="ru-RU"/>
              </w:rPr>
              <w:t>7</w:t>
            </w:r>
            <w:r w:rsidRPr="004A3CCD">
              <w:rPr>
                <w:sz w:val="20"/>
                <w:szCs w:val="20"/>
              </w:rPr>
              <w:t>%</w:t>
            </w:r>
          </w:p>
        </w:tc>
        <w:tc>
          <w:tcPr>
            <w:tcW w:w="779" w:type="pct"/>
            <w:shd w:val="clear" w:color="auto" w:fill="EAF6FC"/>
            <w:hideMark/>
          </w:tcPr>
          <w:p w14:paraId="6AE54C55" w14:textId="77777777"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33</w:t>
            </w:r>
          </w:p>
        </w:tc>
      </w:tr>
      <w:tr w:rsidR="00AF3B1B" w:rsidRPr="004A3CCD" w14:paraId="628E497D" w14:textId="77777777" w:rsidTr="00947AE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hideMark/>
          </w:tcPr>
          <w:p w14:paraId="2EC7C162" w14:textId="77777777" w:rsidR="00AF3B1B" w:rsidRPr="00AF3B1B" w:rsidRDefault="00AF3B1B" w:rsidP="00947AE3">
            <w:pPr>
              <w:rPr>
                <w:b w:val="0"/>
                <w:bCs w:val="0"/>
                <w:color w:val="4478B6"/>
                <w:sz w:val="20"/>
                <w:szCs w:val="20"/>
                <w:lang w:val="ru-RU"/>
              </w:rPr>
            </w:pPr>
            <w:r>
              <w:rPr>
                <w:color w:val="4478B6"/>
                <w:sz w:val="20"/>
                <w:szCs w:val="20"/>
                <w:lang w:val="ru-RU"/>
              </w:rPr>
              <w:t>Океания</w:t>
            </w:r>
          </w:p>
        </w:tc>
        <w:tc>
          <w:tcPr>
            <w:tcW w:w="781" w:type="pct"/>
          </w:tcPr>
          <w:p w14:paraId="40529342" w14:textId="77777777" w:rsidR="00AF3B1B" w:rsidRPr="0072451C"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72451C">
              <w:rPr>
                <w:sz w:val="20"/>
                <w:szCs w:val="20"/>
              </w:rPr>
              <w:t>9</w:t>
            </w:r>
          </w:p>
        </w:tc>
        <w:tc>
          <w:tcPr>
            <w:tcW w:w="781" w:type="pct"/>
            <w:hideMark/>
          </w:tcPr>
          <w:p w14:paraId="3AE82FD5" w14:textId="77777777" w:rsidR="00AF3B1B" w:rsidRPr="004A3CCD"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56%</w:t>
            </w:r>
          </w:p>
        </w:tc>
        <w:tc>
          <w:tcPr>
            <w:tcW w:w="781" w:type="pct"/>
            <w:hideMark/>
          </w:tcPr>
          <w:p w14:paraId="787FC495" w14:textId="45624A6B" w:rsidR="00AF3B1B" w:rsidRPr="004A3CCD"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9</w:t>
            </w:r>
            <w:r w:rsidR="0075466D">
              <w:rPr>
                <w:sz w:val="20"/>
                <w:szCs w:val="20"/>
                <w:lang w:val="ru-RU"/>
              </w:rPr>
              <w:t>7</w:t>
            </w:r>
            <w:r w:rsidRPr="004A3CCD">
              <w:rPr>
                <w:sz w:val="20"/>
                <w:szCs w:val="20"/>
              </w:rPr>
              <w:t>%</w:t>
            </w:r>
          </w:p>
        </w:tc>
        <w:tc>
          <w:tcPr>
            <w:tcW w:w="779" w:type="pct"/>
            <w:hideMark/>
          </w:tcPr>
          <w:p w14:paraId="58A58FE6" w14:textId="77777777" w:rsidR="00AF3B1B" w:rsidRPr="004A3CCD" w:rsidRDefault="00AF3B1B" w:rsidP="00947AE3">
            <w:pPr>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16</w:t>
            </w:r>
          </w:p>
        </w:tc>
      </w:tr>
      <w:tr w:rsidR="00AF3B1B" w:rsidRPr="004A3CCD" w14:paraId="1945D09D" w14:textId="77777777" w:rsidTr="00947A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8" w:type="pct"/>
            <w:shd w:val="clear" w:color="auto" w:fill="EAF6FC"/>
            <w:hideMark/>
          </w:tcPr>
          <w:p w14:paraId="07A61F93" w14:textId="77777777" w:rsidR="00AF3B1B" w:rsidRPr="004A3CCD" w:rsidRDefault="00AF3B1B" w:rsidP="00947AE3">
            <w:pPr>
              <w:rPr>
                <w:b w:val="0"/>
                <w:bCs w:val="0"/>
                <w:color w:val="4478B6"/>
                <w:sz w:val="20"/>
                <w:szCs w:val="20"/>
              </w:rPr>
            </w:pPr>
            <w:proofErr w:type="spellStart"/>
            <w:r w:rsidRPr="00AF3B1B">
              <w:rPr>
                <w:color w:val="4478B6"/>
                <w:sz w:val="20"/>
                <w:szCs w:val="20"/>
              </w:rPr>
              <w:t>Европа</w:t>
            </w:r>
            <w:proofErr w:type="spellEnd"/>
            <w:r w:rsidRPr="00AF3B1B">
              <w:rPr>
                <w:color w:val="4478B6"/>
                <w:sz w:val="20"/>
                <w:szCs w:val="20"/>
              </w:rPr>
              <w:t xml:space="preserve"> и </w:t>
            </w:r>
            <w:proofErr w:type="spellStart"/>
            <w:r w:rsidRPr="00AF3B1B">
              <w:rPr>
                <w:color w:val="4478B6"/>
                <w:sz w:val="20"/>
                <w:szCs w:val="20"/>
              </w:rPr>
              <w:t>Северная</w:t>
            </w:r>
            <w:proofErr w:type="spellEnd"/>
            <w:r w:rsidRPr="00AF3B1B">
              <w:rPr>
                <w:color w:val="4478B6"/>
                <w:sz w:val="20"/>
                <w:szCs w:val="20"/>
              </w:rPr>
              <w:t xml:space="preserve"> </w:t>
            </w:r>
            <w:proofErr w:type="spellStart"/>
            <w:r w:rsidRPr="00AF3B1B">
              <w:rPr>
                <w:color w:val="4478B6"/>
                <w:sz w:val="20"/>
                <w:szCs w:val="20"/>
              </w:rPr>
              <w:t>Америка</w:t>
            </w:r>
            <w:proofErr w:type="spellEnd"/>
          </w:p>
        </w:tc>
        <w:tc>
          <w:tcPr>
            <w:tcW w:w="781" w:type="pct"/>
            <w:shd w:val="clear" w:color="auto" w:fill="EAF6FC"/>
          </w:tcPr>
          <w:p w14:paraId="0B15F1BE" w14:textId="66CDBC9E" w:rsidR="00AF3B1B" w:rsidRPr="00576298" w:rsidRDefault="00AF3B1B" w:rsidP="00947AE3">
            <w:pPr>
              <w:jc w:val="right"/>
              <w:cnfStyle w:val="000000100000" w:firstRow="0" w:lastRow="0" w:firstColumn="0" w:lastColumn="0" w:oddVBand="0" w:evenVBand="0" w:oddHBand="1" w:evenHBand="0" w:firstRowFirstColumn="0" w:firstRowLastColumn="0" w:lastRowFirstColumn="0" w:lastRowLastColumn="0"/>
              <w:rPr>
                <w:sz w:val="20"/>
                <w:lang w:val="ru-RU"/>
              </w:rPr>
            </w:pPr>
            <w:r w:rsidRPr="0072451C">
              <w:rPr>
                <w:sz w:val="20"/>
                <w:szCs w:val="20"/>
              </w:rPr>
              <w:t>3</w:t>
            </w:r>
            <w:r w:rsidR="0075466D">
              <w:rPr>
                <w:sz w:val="20"/>
                <w:szCs w:val="20"/>
                <w:lang w:val="ru-RU"/>
              </w:rPr>
              <w:t>9</w:t>
            </w:r>
          </w:p>
        </w:tc>
        <w:tc>
          <w:tcPr>
            <w:tcW w:w="781" w:type="pct"/>
            <w:shd w:val="clear" w:color="auto" w:fill="EAF6FC"/>
            <w:hideMark/>
          </w:tcPr>
          <w:p w14:paraId="63E7C75C" w14:textId="7DC9D9C1" w:rsidR="00AF3B1B" w:rsidRPr="004A3CCD" w:rsidRDefault="0075466D"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lang w:val="ru-RU"/>
              </w:rPr>
              <w:t>85</w:t>
            </w:r>
            <w:r w:rsidR="00AF3B1B" w:rsidRPr="004A3CCD">
              <w:rPr>
                <w:sz w:val="20"/>
                <w:szCs w:val="20"/>
              </w:rPr>
              <w:t>%</w:t>
            </w:r>
          </w:p>
        </w:tc>
        <w:tc>
          <w:tcPr>
            <w:tcW w:w="781" w:type="pct"/>
            <w:shd w:val="clear" w:color="auto" w:fill="EAF6FC"/>
            <w:hideMark/>
          </w:tcPr>
          <w:p w14:paraId="4DD7FD3F" w14:textId="43B3B195"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6</w:t>
            </w:r>
            <w:r w:rsidR="0075466D">
              <w:rPr>
                <w:sz w:val="20"/>
                <w:szCs w:val="20"/>
                <w:lang w:val="ru-RU"/>
              </w:rPr>
              <w:t>9</w:t>
            </w:r>
            <w:r w:rsidRPr="004A3CCD">
              <w:rPr>
                <w:sz w:val="20"/>
                <w:szCs w:val="20"/>
              </w:rPr>
              <w:t>%</w:t>
            </w:r>
          </w:p>
        </w:tc>
        <w:tc>
          <w:tcPr>
            <w:tcW w:w="779" w:type="pct"/>
            <w:shd w:val="clear" w:color="auto" w:fill="EAF6FC"/>
            <w:hideMark/>
          </w:tcPr>
          <w:p w14:paraId="721B3825" w14:textId="77777777" w:rsidR="00AF3B1B" w:rsidRPr="004A3CCD" w:rsidRDefault="00AF3B1B" w:rsidP="00947AE3">
            <w:pPr>
              <w:jc w:val="right"/>
              <w:cnfStyle w:val="000000100000" w:firstRow="0" w:lastRow="0" w:firstColumn="0" w:lastColumn="0" w:oddVBand="0" w:evenVBand="0" w:oddHBand="1" w:evenHBand="0" w:firstRowFirstColumn="0" w:firstRowLastColumn="0" w:lastRowFirstColumn="0" w:lastRowLastColumn="0"/>
              <w:rPr>
                <w:sz w:val="20"/>
                <w:szCs w:val="20"/>
              </w:rPr>
            </w:pPr>
            <w:r w:rsidRPr="004A3CCD">
              <w:rPr>
                <w:sz w:val="20"/>
                <w:szCs w:val="20"/>
              </w:rPr>
              <w:t>46</w:t>
            </w:r>
          </w:p>
        </w:tc>
      </w:tr>
      <w:tr w:rsidR="00AF3B1B" w:rsidRPr="004A3CCD" w14:paraId="456E38CB" w14:textId="77777777" w:rsidTr="00947AE3">
        <w:trPr>
          <w:cnfStyle w:val="000000010000" w:firstRow="0" w:lastRow="0" w:firstColumn="0" w:lastColumn="0" w:oddVBand="0" w:evenVBand="0" w:oddHBand="0" w:evenHBand="1"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878" w:type="pct"/>
            <w:hideMark/>
          </w:tcPr>
          <w:p w14:paraId="2660E38A" w14:textId="77777777" w:rsidR="00AF3B1B" w:rsidRPr="00AF3B1B" w:rsidRDefault="00AF3B1B" w:rsidP="00947AE3">
            <w:pPr>
              <w:spacing w:after="120"/>
              <w:rPr>
                <w:b w:val="0"/>
                <w:bCs w:val="0"/>
                <w:color w:val="4478B6"/>
                <w:sz w:val="20"/>
                <w:szCs w:val="20"/>
                <w:lang w:val="ru-RU"/>
              </w:rPr>
            </w:pPr>
            <w:r>
              <w:rPr>
                <w:color w:val="4478B6"/>
                <w:sz w:val="20"/>
                <w:szCs w:val="20"/>
                <w:lang w:val="ru-RU"/>
              </w:rPr>
              <w:t>Мир</w:t>
            </w:r>
          </w:p>
        </w:tc>
        <w:tc>
          <w:tcPr>
            <w:tcW w:w="781" w:type="pct"/>
          </w:tcPr>
          <w:p w14:paraId="6E05EA10" w14:textId="5FB06D54" w:rsidR="00AF3B1B" w:rsidRPr="00576298" w:rsidRDefault="00AF3B1B" w:rsidP="00947AE3">
            <w:pPr>
              <w:spacing w:after="120"/>
              <w:jc w:val="right"/>
              <w:cnfStyle w:val="000000010000" w:firstRow="0" w:lastRow="0" w:firstColumn="0" w:lastColumn="0" w:oddVBand="0" w:evenVBand="0" w:oddHBand="0" w:evenHBand="1" w:firstRowFirstColumn="0" w:firstRowLastColumn="0" w:lastRowFirstColumn="0" w:lastRowLastColumn="0"/>
              <w:rPr>
                <w:sz w:val="20"/>
                <w:lang w:val="ru-RU"/>
              </w:rPr>
            </w:pPr>
            <w:r w:rsidRPr="0072451C">
              <w:rPr>
                <w:sz w:val="20"/>
                <w:szCs w:val="20"/>
              </w:rPr>
              <w:t>1</w:t>
            </w:r>
            <w:r w:rsidR="0075466D">
              <w:rPr>
                <w:sz w:val="20"/>
                <w:szCs w:val="20"/>
                <w:lang w:val="ru-RU"/>
              </w:rPr>
              <w:t>38</w:t>
            </w:r>
          </w:p>
        </w:tc>
        <w:tc>
          <w:tcPr>
            <w:tcW w:w="781" w:type="pct"/>
            <w:hideMark/>
          </w:tcPr>
          <w:p w14:paraId="73F16C35" w14:textId="0E5F254E" w:rsidR="00AF3B1B" w:rsidRPr="004A3CCD" w:rsidRDefault="0075466D" w:rsidP="00947AE3">
            <w:pPr>
              <w:spacing w:after="120"/>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70</w:t>
            </w:r>
            <w:r w:rsidR="00AF3B1B" w:rsidRPr="004A3CCD">
              <w:rPr>
                <w:sz w:val="20"/>
                <w:szCs w:val="20"/>
              </w:rPr>
              <w:t>%</w:t>
            </w:r>
          </w:p>
        </w:tc>
        <w:tc>
          <w:tcPr>
            <w:tcW w:w="781" w:type="pct"/>
            <w:hideMark/>
          </w:tcPr>
          <w:p w14:paraId="0FD12BF6" w14:textId="7326E97D" w:rsidR="00AF3B1B" w:rsidRPr="004A3CCD" w:rsidRDefault="0075466D" w:rsidP="00947AE3">
            <w:pPr>
              <w:spacing w:after="120"/>
              <w:jc w:val="right"/>
              <w:cnfStyle w:val="000000010000" w:firstRow="0" w:lastRow="0" w:firstColumn="0" w:lastColumn="0" w:oddVBand="0" w:evenVBand="0" w:oddHBand="0" w:evenHBand="1" w:firstRowFirstColumn="0" w:firstRowLastColumn="0" w:lastRowFirstColumn="0" w:lastRowLastColumn="0"/>
              <w:rPr>
                <w:sz w:val="20"/>
                <w:szCs w:val="20"/>
              </w:rPr>
            </w:pPr>
            <w:r>
              <w:rPr>
                <w:sz w:val="20"/>
                <w:szCs w:val="20"/>
                <w:lang w:val="ru-RU"/>
              </w:rPr>
              <w:t>83</w:t>
            </w:r>
            <w:r w:rsidR="00AF3B1B" w:rsidRPr="004A3CCD">
              <w:rPr>
                <w:sz w:val="20"/>
                <w:szCs w:val="20"/>
              </w:rPr>
              <w:t>%</w:t>
            </w:r>
          </w:p>
        </w:tc>
        <w:tc>
          <w:tcPr>
            <w:tcW w:w="779" w:type="pct"/>
            <w:hideMark/>
          </w:tcPr>
          <w:p w14:paraId="669035D6" w14:textId="77777777" w:rsidR="00AF3B1B" w:rsidRPr="004A3CCD" w:rsidRDefault="00AF3B1B" w:rsidP="00947AE3">
            <w:pPr>
              <w:spacing w:after="120"/>
              <w:jc w:val="right"/>
              <w:cnfStyle w:val="000000010000" w:firstRow="0" w:lastRow="0" w:firstColumn="0" w:lastColumn="0" w:oddVBand="0" w:evenVBand="0" w:oddHBand="0" w:evenHBand="1" w:firstRowFirstColumn="0" w:firstRowLastColumn="0" w:lastRowFirstColumn="0" w:lastRowLastColumn="0"/>
              <w:rPr>
                <w:sz w:val="20"/>
                <w:szCs w:val="20"/>
              </w:rPr>
            </w:pPr>
            <w:r w:rsidRPr="004A3CCD">
              <w:rPr>
                <w:sz w:val="20"/>
                <w:szCs w:val="20"/>
              </w:rPr>
              <w:t>197</w:t>
            </w:r>
          </w:p>
        </w:tc>
      </w:tr>
    </w:tbl>
    <w:p w14:paraId="3085ACB9" w14:textId="77777777" w:rsidR="00AF3B1B" w:rsidRPr="00AF3B1B" w:rsidRDefault="00AF3B1B" w:rsidP="00AF3B1B">
      <w:pPr>
        <w:pStyle w:val="a0"/>
      </w:pPr>
    </w:p>
    <w:p w14:paraId="4ABF22C9" w14:textId="524B9C53" w:rsidR="0075466D" w:rsidRDefault="0075466D" w:rsidP="00845FE2">
      <w:r w:rsidRPr="0075466D">
        <w:t xml:space="preserve">Примечание: </w:t>
      </w:r>
      <w:r>
        <w:t>Таблица о</w:t>
      </w:r>
      <w:r w:rsidRPr="0075466D">
        <w:t>снован</w:t>
      </w:r>
      <w:r>
        <w:t>а</w:t>
      </w:r>
      <w:r w:rsidRPr="0075466D">
        <w:t xml:space="preserve"> на результатах двух раундов </w:t>
      </w:r>
      <w:r w:rsidR="00DA061E">
        <w:t>Запроса</w:t>
      </w:r>
      <w:r w:rsidRPr="0075466D">
        <w:t xml:space="preserve"> вместе взятых. В тех случаях, когда правительства ответили на оба раунда опроса, были использованы данные тринадцатого опроса.</w:t>
      </w:r>
    </w:p>
    <w:p w14:paraId="133FFB0B" w14:textId="6FC0991F" w:rsidR="00845FE2" w:rsidRPr="00C4606E" w:rsidRDefault="00845FE2" w:rsidP="00845FE2">
      <w:pPr>
        <w:rPr>
          <w:b/>
        </w:rPr>
      </w:pPr>
      <w:r w:rsidRPr="00C4606E">
        <w:rPr>
          <w:b/>
        </w:rPr>
        <w:t>Временные ряды:</w:t>
      </w:r>
    </w:p>
    <w:p w14:paraId="30BFC87D" w14:textId="2248603D" w:rsidR="00845FE2" w:rsidRPr="00845FE2" w:rsidRDefault="00BC062C" w:rsidP="00AF3B1B">
      <w:r w:rsidRPr="00BC062C">
        <w:t xml:space="preserve">Временные ряды для этого показателя относятся к периодам 2018-2019 и 2020-2021 годов </w:t>
      </w:r>
      <w:r w:rsidR="00845FE2" w:rsidRPr="00C4606E">
        <w:rPr>
          <w:b/>
        </w:rPr>
        <w:t>Дезагрегация:</w:t>
      </w:r>
    </w:p>
    <w:p w14:paraId="487B40B2" w14:textId="77777777" w:rsidR="00AF3B1B" w:rsidRPr="00AF3B1B" w:rsidRDefault="00AF3B1B" w:rsidP="00AF3B1B">
      <w:r w:rsidRPr="00AF3B1B">
        <w:t xml:space="preserve">Шесть областей политики: </w:t>
      </w:r>
    </w:p>
    <w:p w14:paraId="3B6DCBF9" w14:textId="77777777" w:rsidR="00AF3B1B" w:rsidRPr="00AF3B1B" w:rsidRDefault="00AF3B1B" w:rsidP="00AF3B1B">
      <w:r w:rsidRPr="00AF3B1B">
        <w:t xml:space="preserve">(i) права мигрантов; </w:t>
      </w:r>
    </w:p>
    <w:p w14:paraId="7E36EB17" w14:textId="77777777" w:rsidR="00AF3B1B" w:rsidRPr="00AF3B1B" w:rsidRDefault="00AF3B1B" w:rsidP="00AF3B1B">
      <w:r w:rsidRPr="00AF3B1B">
        <w:t>(</w:t>
      </w:r>
      <w:proofErr w:type="spellStart"/>
      <w:r w:rsidRPr="00AF3B1B">
        <w:t>ii</w:t>
      </w:r>
      <w:proofErr w:type="spellEnd"/>
      <w:r w:rsidRPr="00AF3B1B">
        <w:t xml:space="preserve">) общегосударственная / основанная на фактических данных политика; </w:t>
      </w:r>
    </w:p>
    <w:p w14:paraId="1BE5D72E" w14:textId="77777777" w:rsidR="00AF3B1B" w:rsidRPr="00AF3B1B" w:rsidRDefault="00AF3B1B" w:rsidP="00AF3B1B">
      <w:r w:rsidRPr="00AF3B1B">
        <w:t>(</w:t>
      </w:r>
      <w:proofErr w:type="spellStart"/>
      <w:r w:rsidRPr="00AF3B1B">
        <w:t>iii</w:t>
      </w:r>
      <w:proofErr w:type="spellEnd"/>
      <w:r w:rsidRPr="00AF3B1B">
        <w:t xml:space="preserve">) сотрудничество и партнерство; </w:t>
      </w:r>
    </w:p>
    <w:p w14:paraId="5B7CC312" w14:textId="77777777" w:rsidR="00AF3B1B" w:rsidRPr="00AF3B1B" w:rsidRDefault="00AF3B1B" w:rsidP="00AF3B1B">
      <w:r w:rsidRPr="00AF3B1B">
        <w:t>(</w:t>
      </w:r>
      <w:proofErr w:type="spellStart"/>
      <w:r w:rsidRPr="00AF3B1B">
        <w:t>iv</w:t>
      </w:r>
      <w:proofErr w:type="spellEnd"/>
      <w:r w:rsidRPr="00AF3B1B">
        <w:t xml:space="preserve">) социально-экономическое благополучие; </w:t>
      </w:r>
    </w:p>
    <w:p w14:paraId="5C546EB1" w14:textId="77777777" w:rsidR="00AF3B1B" w:rsidRPr="00AF3B1B" w:rsidRDefault="00AF3B1B" w:rsidP="00AF3B1B">
      <w:r w:rsidRPr="00AF3B1B">
        <w:t xml:space="preserve">(v) оперативность измерения кризисов; и </w:t>
      </w:r>
    </w:p>
    <w:p w14:paraId="2E275E62" w14:textId="77777777" w:rsidR="00AF3B1B" w:rsidRDefault="00AF3B1B" w:rsidP="00AF3B1B">
      <w:r w:rsidRPr="00AF3B1B">
        <w:t>(</w:t>
      </w:r>
      <w:proofErr w:type="spellStart"/>
      <w:r w:rsidRPr="00AF3B1B">
        <w:t>vi</w:t>
      </w:r>
      <w:proofErr w:type="spellEnd"/>
      <w:r w:rsidRPr="00AF3B1B">
        <w:t>) безопасная, упорядоченная и регулярная миграция.</w:t>
      </w:r>
    </w:p>
    <w:p w14:paraId="375CA686" w14:textId="77777777" w:rsidR="003E6C49" w:rsidRDefault="003E6C49" w:rsidP="003E6C49">
      <w:pPr>
        <w:pStyle w:val="a0"/>
      </w:pPr>
    </w:p>
    <w:p w14:paraId="786D431C" w14:textId="77777777" w:rsidR="003E6C49" w:rsidRPr="003E6C49" w:rsidRDefault="003E6C49" w:rsidP="003E6C49">
      <w:pPr>
        <w:pStyle w:val="a0"/>
      </w:pPr>
    </w:p>
    <w:p w14:paraId="12B4809C" w14:textId="77777777" w:rsidR="002E15F9" w:rsidRDefault="00845FE2" w:rsidP="00AF3B1B">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14:paraId="31B6A8D4" w14:textId="77777777" w:rsidR="00AF3B1B" w:rsidRPr="005C74C5" w:rsidRDefault="00AF3B1B" w:rsidP="00AF3B1B">
      <w:pPr>
        <w:rPr>
          <w:b/>
        </w:rPr>
      </w:pPr>
      <w:r w:rsidRPr="005C74C5">
        <w:rPr>
          <w:b/>
        </w:rPr>
        <w:t>Источники расхождений:</w:t>
      </w:r>
    </w:p>
    <w:p w14:paraId="4777A3C8" w14:textId="05EE1847" w:rsidR="00AF3B1B" w:rsidRDefault="00AF3B1B" w:rsidP="00AF3B1B">
      <w:r>
        <w:t>Никаких расхождений не предусматривается, поскольку данные собираются через исследование ООН среди правительств по вопроса</w:t>
      </w:r>
      <w:r w:rsidR="008731B0">
        <w:t>м народонаселения и развития («Запрос</w:t>
      </w:r>
      <w:r>
        <w:t>») напрямую от правительств.</w:t>
      </w:r>
    </w:p>
    <w:p w14:paraId="53D31688" w14:textId="77777777" w:rsidR="00C22DF6" w:rsidRPr="00FE734E" w:rsidRDefault="00845FE2" w:rsidP="00AF3B1B">
      <w:pPr>
        <w:pBdr>
          <w:bottom w:val="single" w:sz="12" w:space="4" w:color="DDDDDD"/>
        </w:pBdr>
        <w:shd w:val="clear" w:color="auto" w:fill="FFFFFF"/>
        <w:spacing w:after="100"/>
        <w:outlineLvl w:val="2"/>
        <w:rPr>
          <w:lang w:eastAsia="en-GB"/>
        </w:rPr>
      </w:pPr>
      <w:r>
        <w:rPr>
          <w:rFonts w:eastAsia="Times New Roman" w:cs="Times New Roman"/>
          <w:b/>
          <w:szCs w:val="24"/>
          <w:lang w:eastAsia="en-GB"/>
        </w:rPr>
        <w:t>7</w:t>
      </w:r>
      <w:r w:rsidR="00040034" w:rsidRPr="00FE734E">
        <w:rPr>
          <w:rFonts w:eastAsia="Times New Roman" w:cs="Times New Roman"/>
          <w:b/>
          <w:szCs w:val="24"/>
          <w:lang w:eastAsia="en-GB"/>
        </w:rPr>
        <w:t xml:space="preserve">. </w:t>
      </w:r>
      <w:r w:rsidR="00040034" w:rsidRPr="00A343D5">
        <w:rPr>
          <w:rFonts w:eastAsia="Times New Roman" w:cs="Times New Roman"/>
          <w:b/>
          <w:szCs w:val="24"/>
          <w:lang w:eastAsia="en-GB"/>
        </w:rPr>
        <w:t>Ссылки</w:t>
      </w:r>
      <w:r w:rsidR="00040034" w:rsidRPr="00FE734E">
        <w:rPr>
          <w:rFonts w:eastAsia="Times New Roman" w:cs="Times New Roman"/>
          <w:b/>
          <w:szCs w:val="24"/>
          <w:lang w:eastAsia="en-GB"/>
        </w:rPr>
        <w:t xml:space="preserve"> </w:t>
      </w:r>
      <w:r w:rsidR="00040034" w:rsidRPr="00A343D5">
        <w:rPr>
          <w:rFonts w:eastAsia="Times New Roman" w:cs="Times New Roman"/>
          <w:b/>
          <w:szCs w:val="24"/>
          <w:lang w:eastAsia="en-GB"/>
        </w:rPr>
        <w:t>и</w:t>
      </w:r>
      <w:r w:rsidR="00040034" w:rsidRPr="00FE734E">
        <w:rPr>
          <w:rFonts w:eastAsia="Times New Roman" w:cs="Times New Roman"/>
          <w:b/>
          <w:szCs w:val="24"/>
          <w:lang w:eastAsia="en-GB"/>
        </w:rPr>
        <w:t xml:space="preserve"> </w:t>
      </w:r>
      <w:r w:rsidR="00040034" w:rsidRPr="00A343D5">
        <w:rPr>
          <w:rFonts w:eastAsia="Times New Roman" w:cs="Times New Roman"/>
          <w:b/>
          <w:szCs w:val="24"/>
          <w:lang w:eastAsia="en-GB"/>
        </w:rPr>
        <w:t>документы</w:t>
      </w:r>
    </w:p>
    <w:p w14:paraId="6414484E" w14:textId="77777777" w:rsidR="00AF3B1B" w:rsidRPr="000249EB" w:rsidRDefault="00AF3B1B" w:rsidP="00AF3B1B">
      <w:pPr>
        <w:rPr>
          <w:b/>
        </w:rPr>
      </w:pPr>
      <w:r w:rsidRPr="000249EB">
        <w:rPr>
          <w:b/>
        </w:rPr>
        <w:t xml:space="preserve">URL: </w:t>
      </w:r>
    </w:p>
    <w:p w14:paraId="7926BD90" w14:textId="77777777" w:rsidR="00AF3B1B" w:rsidRPr="00576298" w:rsidRDefault="00AF3B1B" w:rsidP="00AF3B1B">
      <w:pPr>
        <w:rPr>
          <w:lang w:val="fr-FR"/>
        </w:rPr>
      </w:pPr>
      <w:r w:rsidRPr="00576298">
        <w:rPr>
          <w:u w:val="single"/>
          <w:lang w:val="fr-FR"/>
        </w:rPr>
        <w:t xml:space="preserve">UN DESA </w:t>
      </w:r>
      <w:r w:rsidRPr="00576298">
        <w:rPr>
          <w:lang w:val="fr-FR"/>
        </w:rPr>
        <w:t xml:space="preserve">: </w:t>
      </w:r>
      <w:hyperlink r:id="rId9" w:history="1">
        <w:r w:rsidRPr="00576298">
          <w:rPr>
            <w:rStyle w:val="ad"/>
            <w:lang w:val="fr-FR"/>
          </w:rPr>
          <w:t>http://www.un.org/en/development/desa/population/index.shtml</w:t>
        </w:r>
      </w:hyperlink>
      <w:r w:rsidRPr="00576298">
        <w:rPr>
          <w:lang w:val="fr-FR"/>
        </w:rPr>
        <w:t xml:space="preserve"> </w:t>
      </w:r>
    </w:p>
    <w:p w14:paraId="5E43265C" w14:textId="06D07C27" w:rsidR="00AF3B1B" w:rsidRPr="000D292B" w:rsidRDefault="00AF3B1B" w:rsidP="00AF3B1B">
      <w:pPr>
        <w:rPr>
          <w:lang w:val="fr-FR"/>
        </w:rPr>
      </w:pPr>
      <w:r w:rsidRPr="000D292B">
        <w:rPr>
          <w:u w:val="single"/>
          <w:lang w:val="fr-FR"/>
        </w:rPr>
        <w:t>IOM</w:t>
      </w:r>
      <w:r w:rsidRPr="000D292B">
        <w:rPr>
          <w:lang w:val="fr-FR"/>
        </w:rPr>
        <w:t xml:space="preserve"> : </w:t>
      </w:r>
      <w:r>
        <w:fldChar w:fldCharType="begin"/>
      </w:r>
      <w:r w:rsidRPr="009076AA">
        <w:rPr>
          <w:lang w:val="fr-FR"/>
        </w:rPr>
        <w:instrText>HYPERLINK "https://www.iom.int/"</w:instrText>
      </w:r>
      <w:r>
        <w:fldChar w:fldCharType="separate"/>
      </w:r>
      <w:r w:rsidRPr="00110F71">
        <w:rPr>
          <w:rStyle w:val="ad"/>
          <w:lang w:val="fr-FR"/>
        </w:rPr>
        <w:t>https://www.iom.int/</w:t>
      </w:r>
      <w:r>
        <w:rPr>
          <w:rStyle w:val="ad"/>
          <w:lang w:val="fr-FR"/>
        </w:rPr>
        <w:fldChar w:fldCharType="end"/>
      </w:r>
      <w:r>
        <w:rPr>
          <w:lang w:val="fr-FR"/>
        </w:rPr>
        <w:t xml:space="preserve"> </w:t>
      </w:r>
    </w:p>
    <w:p w14:paraId="51238ABC" w14:textId="77777777" w:rsidR="00AF3B1B" w:rsidRPr="000D292B" w:rsidRDefault="00AF3B1B" w:rsidP="00AF3B1B">
      <w:pPr>
        <w:rPr>
          <w:lang w:val="es-ES"/>
        </w:rPr>
      </w:pPr>
      <w:r w:rsidRPr="000D292B">
        <w:rPr>
          <w:u w:val="single"/>
          <w:lang w:val="es-ES"/>
        </w:rPr>
        <w:t>OECD</w:t>
      </w:r>
      <w:r>
        <w:rPr>
          <w:u w:val="single"/>
          <w:lang w:val="es-ES"/>
        </w:rPr>
        <w:t xml:space="preserve"> </w:t>
      </w:r>
      <w:r w:rsidRPr="000D292B">
        <w:rPr>
          <w:lang w:val="es-ES"/>
        </w:rPr>
        <w:t xml:space="preserve">: </w:t>
      </w:r>
      <w:r w:rsidR="00576298">
        <w:fldChar w:fldCharType="begin"/>
      </w:r>
      <w:r w:rsidR="00576298" w:rsidRPr="00576298">
        <w:rPr>
          <w:lang w:val="en-US"/>
        </w:rPr>
        <w:instrText xml:space="preserve"> HYPERLINK "http://www.oecd.org/migration/" </w:instrText>
      </w:r>
      <w:r w:rsidR="00576298">
        <w:fldChar w:fldCharType="separate"/>
      </w:r>
      <w:r w:rsidRPr="00110F71">
        <w:rPr>
          <w:rStyle w:val="ad"/>
          <w:lang w:val="es-ES"/>
        </w:rPr>
        <w:t>http://www.oecd.org/migration/</w:t>
      </w:r>
      <w:r w:rsidR="00576298">
        <w:rPr>
          <w:rStyle w:val="ad"/>
          <w:lang w:val="es-ES"/>
        </w:rPr>
        <w:fldChar w:fldCharType="end"/>
      </w:r>
    </w:p>
    <w:p w14:paraId="5B8E3D0A" w14:textId="77777777" w:rsidR="00AF3B1B" w:rsidRPr="000D292B" w:rsidRDefault="00AF3B1B" w:rsidP="00AF3B1B">
      <w:pPr>
        <w:rPr>
          <w:rFonts w:eastAsia="Times New Roman" w:cs="Times New Roman"/>
          <w:color w:val="000000" w:themeColor="text1"/>
          <w:sz w:val="21"/>
          <w:szCs w:val="21"/>
          <w:lang w:val="es-ES" w:eastAsia="en-GB"/>
        </w:rPr>
      </w:pPr>
    </w:p>
    <w:p w14:paraId="7AC8944D" w14:textId="77777777" w:rsidR="00AF3B1B" w:rsidRPr="000249EB" w:rsidRDefault="00AF3B1B" w:rsidP="00AF3B1B">
      <w:pPr>
        <w:rPr>
          <w:b/>
          <w:lang w:val="en-US"/>
        </w:rPr>
      </w:pPr>
      <w:r w:rsidRPr="000249EB">
        <w:rPr>
          <w:b/>
        </w:rPr>
        <w:lastRenderedPageBreak/>
        <w:t>Ссылки</w:t>
      </w:r>
      <w:r w:rsidRPr="000249EB">
        <w:rPr>
          <w:b/>
          <w:lang w:val="en-US"/>
        </w:rPr>
        <w:t>:</w:t>
      </w:r>
    </w:p>
    <w:p w14:paraId="7BEE4ED9" w14:textId="353D9A67" w:rsidR="00AF3B1B" w:rsidRPr="000249EB" w:rsidRDefault="00AF3B1B" w:rsidP="000249EB">
      <w:pPr>
        <w:pStyle w:val="ac"/>
        <w:numPr>
          <w:ilvl w:val="0"/>
          <w:numId w:val="17"/>
        </w:numPr>
        <w:rPr>
          <w:sz w:val="20"/>
          <w:szCs w:val="20"/>
          <w:lang w:val="en-US"/>
        </w:rPr>
      </w:pPr>
      <w:r w:rsidRPr="000249EB">
        <w:rPr>
          <w:lang w:val="en-US"/>
        </w:rPr>
        <w:t>Migration Governance Framework (</w:t>
      </w:r>
      <w:proofErr w:type="spellStart"/>
      <w:r w:rsidRPr="000249EB">
        <w:rPr>
          <w:lang w:val="en-US"/>
        </w:rPr>
        <w:t>MiGOF</w:t>
      </w:r>
      <w:proofErr w:type="spellEnd"/>
      <w:r w:rsidRPr="000249EB">
        <w:rPr>
          <w:lang w:val="en-US"/>
        </w:rPr>
        <w:t xml:space="preserve">): </w:t>
      </w:r>
      <w:hyperlink r:id="rId10" w:history="1">
        <w:r w:rsidR="009A502F" w:rsidRPr="000249EB">
          <w:rPr>
            <w:rStyle w:val="ad"/>
            <w:lang w:val="en-US"/>
          </w:rPr>
          <w:t>https://www.iom.int/sites/default/files/about-iom/migof_brochure_a4_en.pdf</w:t>
        </w:r>
      </w:hyperlink>
    </w:p>
    <w:p w14:paraId="0053C4DC" w14:textId="17593C75" w:rsidR="00AF3B1B" w:rsidRPr="000249EB" w:rsidRDefault="00AF3B1B" w:rsidP="000249EB">
      <w:pPr>
        <w:pStyle w:val="ac"/>
        <w:numPr>
          <w:ilvl w:val="0"/>
          <w:numId w:val="17"/>
        </w:numPr>
        <w:rPr>
          <w:sz w:val="20"/>
          <w:szCs w:val="20"/>
          <w:lang w:val="en-US"/>
        </w:rPr>
      </w:pPr>
      <w:r w:rsidRPr="000249EB">
        <w:rPr>
          <w:lang w:val="en-US"/>
        </w:rPr>
        <w:t xml:space="preserve">UN Inquiry among Governments on Population and Development: </w:t>
      </w:r>
      <w:hyperlink r:id="rId11" w:history="1">
        <w:r w:rsidR="009A502F" w:rsidRPr="000249EB">
          <w:rPr>
            <w:rStyle w:val="ad"/>
            <w:lang w:val="en-US"/>
          </w:rPr>
          <w:t>https://esa.un.org/PopPolicy/Inquiry.aspx</w:t>
        </w:r>
      </w:hyperlink>
    </w:p>
    <w:p w14:paraId="28B3E04C" w14:textId="77777777" w:rsidR="0049008B" w:rsidRPr="00AF3B1B" w:rsidRDefault="0049008B" w:rsidP="00A47315">
      <w:pPr>
        <w:rPr>
          <w:lang w:val="en-GB" w:eastAsia="en-GB"/>
        </w:rPr>
      </w:pPr>
    </w:p>
    <w:sectPr w:rsidR="0049008B" w:rsidRPr="00AF3B1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CF0B9" w14:textId="77777777" w:rsidR="007A48D6" w:rsidRDefault="007A48D6" w:rsidP="00F73DBC">
      <w:pPr>
        <w:spacing w:after="0" w:line="240" w:lineRule="auto"/>
      </w:pPr>
      <w:r>
        <w:separator/>
      </w:r>
    </w:p>
  </w:endnote>
  <w:endnote w:type="continuationSeparator" w:id="0">
    <w:p w14:paraId="668EEF48" w14:textId="77777777" w:rsidR="007A48D6" w:rsidRDefault="007A48D6" w:rsidP="00F73DBC">
      <w:pPr>
        <w:spacing w:after="0" w:line="240" w:lineRule="auto"/>
      </w:pPr>
      <w:r>
        <w:continuationSeparator/>
      </w:r>
    </w:p>
  </w:endnote>
  <w:endnote w:type="continuationNotice" w:id="1">
    <w:p w14:paraId="573CB18B" w14:textId="77777777" w:rsidR="007A48D6" w:rsidRDefault="007A4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CC5A2" w14:textId="77777777" w:rsidR="007A48D6" w:rsidRDefault="007A48D6" w:rsidP="00F73DBC">
      <w:pPr>
        <w:spacing w:after="0" w:line="240" w:lineRule="auto"/>
      </w:pPr>
      <w:r>
        <w:separator/>
      </w:r>
    </w:p>
  </w:footnote>
  <w:footnote w:type="continuationSeparator" w:id="0">
    <w:p w14:paraId="782FE96C" w14:textId="77777777" w:rsidR="007A48D6" w:rsidRDefault="007A48D6" w:rsidP="00F73DBC">
      <w:pPr>
        <w:spacing w:after="0" w:line="240" w:lineRule="auto"/>
      </w:pPr>
      <w:r>
        <w:continuationSeparator/>
      </w:r>
    </w:p>
  </w:footnote>
  <w:footnote w:type="continuationNotice" w:id="1">
    <w:p w14:paraId="5DF2B765" w14:textId="77777777" w:rsidR="007A48D6" w:rsidRDefault="007A48D6">
      <w:pPr>
        <w:spacing w:after="0" w:line="240" w:lineRule="auto"/>
      </w:pPr>
    </w:p>
  </w:footnote>
  <w:footnote w:id="2">
    <w:p w14:paraId="73E76B8B" w14:textId="77777777" w:rsidR="006C10F0" w:rsidRPr="001D08FA" w:rsidRDefault="006C10F0" w:rsidP="006C10F0">
      <w:pPr>
        <w:pStyle w:val="a5"/>
        <w:rPr>
          <w:rFonts w:cs="Times New Roman"/>
          <w:lang w:val="en-US"/>
        </w:rPr>
      </w:pPr>
      <w:r w:rsidRPr="001D08FA">
        <w:rPr>
          <w:rStyle w:val="a7"/>
          <w:rFonts w:cs="Times New Roman"/>
        </w:rPr>
        <w:footnoteRef/>
      </w:r>
      <w:r w:rsidRPr="001D08FA">
        <w:rPr>
          <w:rFonts w:cs="Times New Roman"/>
          <w:lang w:val="en-US"/>
        </w:rPr>
        <w:t xml:space="preserve"> </w:t>
      </w:r>
      <w:proofErr w:type="gramStart"/>
      <w:r w:rsidRPr="001D08FA">
        <w:rPr>
          <w:rFonts w:cs="Times New Roman"/>
          <w:lang w:val="en-US"/>
        </w:rPr>
        <w:t>IOM (2014).</w:t>
      </w:r>
      <w:proofErr w:type="gramEnd"/>
      <w:r w:rsidRPr="001D08FA">
        <w:rPr>
          <w:rFonts w:cs="Times New Roman"/>
          <w:lang w:val="en-US"/>
        </w:rPr>
        <w:t xml:space="preserve"> </w:t>
      </w:r>
      <w:proofErr w:type="gramStart"/>
      <w:r w:rsidRPr="001D08FA">
        <w:rPr>
          <w:rFonts w:cs="Times New Roman"/>
          <w:i/>
          <w:iCs/>
          <w:sz w:val="21"/>
          <w:szCs w:val="21"/>
          <w:lang w:val="en-US"/>
        </w:rPr>
        <w:t>Glossary on Migration</w:t>
      </w:r>
      <w:r w:rsidRPr="001D08FA">
        <w:rPr>
          <w:rFonts w:cs="Times New Roman"/>
          <w:sz w:val="21"/>
          <w:szCs w:val="21"/>
          <w:lang w:val="en-US"/>
        </w:rPr>
        <w:t>.</w:t>
      </w:r>
      <w:proofErr w:type="gramEnd"/>
      <w:r w:rsidRPr="001D08FA">
        <w:rPr>
          <w:rFonts w:cs="Times New Roman"/>
          <w:sz w:val="21"/>
          <w:szCs w:val="21"/>
          <w:lang w:val="en-US"/>
        </w:rPr>
        <w:t xml:space="preserve"> </w:t>
      </w:r>
      <w:r w:rsidRPr="001D08FA">
        <w:rPr>
          <w:rFonts w:cs="Times New Roman"/>
          <w:lang w:val="en-US"/>
        </w:rPr>
        <w:t xml:space="preserve">Available at: http://publications.iom.int/system/files/pdf/iml_1_en.pdf. </w:t>
      </w:r>
    </w:p>
  </w:footnote>
  <w:footnote w:id="3">
    <w:p w14:paraId="1015BA38" w14:textId="77777777" w:rsidR="00D80BC2" w:rsidRPr="00371A77" w:rsidRDefault="00D80BC2" w:rsidP="00D80BC2">
      <w:pPr>
        <w:pStyle w:val="a5"/>
        <w:rPr>
          <w:rFonts w:cs="Times New Roman"/>
          <w:lang w:val="en-US"/>
        </w:rPr>
      </w:pPr>
      <w:r w:rsidRPr="00371A77">
        <w:rPr>
          <w:rStyle w:val="a7"/>
          <w:rFonts w:cs="Times New Roman"/>
        </w:rPr>
        <w:footnoteRef/>
      </w:r>
      <w:r w:rsidRPr="00371A77">
        <w:rPr>
          <w:rFonts w:cs="Times New Roman"/>
          <w:lang w:val="en-US"/>
        </w:rPr>
        <w:t xml:space="preserve"> </w:t>
      </w:r>
      <w:proofErr w:type="gramStart"/>
      <w:r w:rsidRPr="00371A77">
        <w:rPr>
          <w:rFonts w:cs="Times New Roman"/>
          <w:lang w:val="en-US"/>
        </w:rPr>
        <w:t>For additional information on the MGI see: https://gmdac.iom.int/migration-governance-indicators.</w:t>
      </w:r>
      <w:proofErr w:type="gramEnd"/>
      <w:r w:rsidRPr="00371A77">
        <w:rPr>
          <w:rFonts w:cs="Times New Roman"/>
          <w:lang w:val="en-US"/>
        </w:rPr>
        <w:t xml:space="preserve">  </w:t>
      </w:r>
    </w:p>
  </w:footnote>
  <w:footnote w:id="4">
    <w:p w14:paraId="2C95C099" w14:textId="77777777" w:rsidR="00D80BC2" w:rsidRPr="008F6B04" w:rsidRDefault="00D80BC2" w:rsidP="00D80BC2">
      <w:pPr>
        <w:pStyle w:val="a5"/>
        <w:rPr>
          <w:lang w:val="en-US"/>
        </w:rPr>
      </w:pPr>
      <w:r w:rsidRPr="001D08FA">
        <w:rPr>
          <w:rStyle w:val="a7"/>
          <w:rFonts w:cs="Times New Roman"/>
        </w:rPr>
        <w:footnoteRef/>
      </w:r>
      <w:r w:rsidRPr="001D08FA">
        <w:rPr>
          <w:rFonts w:cs="Times New Roman"/>
          <w:lang w:val="en-US"/>
        </w:rPr>
        <w:t xml:space="preserve"> </w:t>
      </w:r>
      <w:proofErr w:type="gramStart"/>
      <w:r w:rsidRPr="001D08FA">
        <w:rPr>
          <w:rFonts w:cs="Times New Roman"/>
          <w:lang w:val="en-US"/>
        </w:rPr>
        <w:t>For additional information on the MGI see: https://gmdac.iom.int/migration-governance-indicators.</w:t>
      </w:r>
      <w:proofErr w:type="gramEnd"/>
      <w:r w:rsidRPr="008F6B0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E0D4" w14:textId="77777777" w:rsidR="00FE53A5" w:rsidRDefault="00FE53A5" w:rsidP="009508D1">
    <w:pPr>
      <w:pStyle w:val="af"/>
      <w:jc w:val="right"/>
      <w:rPr>
        <w:i/>
      </w:rPr>
    </w:pPr>
    <w:r w:rsidRPr="009508D1">
      <w:rPr>
        <w:i/>
      </w:rPr>
      <w:t>Неофициальный перевод</w:t>
    </w:r>
    <w:r>
      <w:rPr>
        <w:i/>
      </w:rPr>
      <w:t xml:space="preserve"> </w:t>
    </w:r>
  </w:p>
  <w:p w14:paraId="035DF1AC" w14:textId="43F66E52" w:rsidR="00FE53A5" w:rsidRPr="009508D1" w:rsidRDefault="00FE53A5" w:rsidP="009508D1">
    <w:pPr>
      <w:pStyle w:val="af"/>
      <w:jc w:val="right"/>
    </w:pPr>
    <w:r>
      <w:t xml:space="preserve">Последнее обновление: </w:t>
    </w:r>
    <w:r w:rsidR="00576298">
      <w:t xml:space="preserve">август </w:t>
    </w:r>
    <w:r>
      <w:t>202</w:t>
    </w:r>
    <w:r w:rsidR="003416B1">
      <w:t>3</w:t>
    </w:r>
  </w:p>
  <w:p w14:paraId="460CFFFE"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B11E98"/>
    <w:multiLevelType w:val="hybridMultilevel"/>
    <w:tmpl w:val="06F64C0C"/>
    <w:lvl w:ilvl="0" w:tplc="BB1490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D630B"/>
    <w:multiLevelType w:val="hybridMultilevel"/>
    <w:tmpl w:val="CEE23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461800"/>
    <w:multiLevelType w:val="hybridMultilevel"/>
    <w:tmpl w:val="DF2428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5"/>
  </w:num>
  <w:num w:numId="5">
    <w:abstractNumId w:val="13"/>
  </w:num>
  <w:num w:numId="6">
    <w:abstractNumId w:val="7"/>
  </w:num>
  <w:num w:numId="7">
    <w:abstractNumId w:val="11"/>
  </w:num>
  <w:num w:numId="8">
    <w:abstractNumId w:val="9"/>
  </w:num>
  <w:num w:numId="9">
    <w:abstractNumId w:val="1"/>
  </w:num>
  <w:num w:numId="10">
    <w:abstractNumId w:val="10"/>
  </w:num>
  <w:num w:numId="11">
    <w:abstractNumId w:val="12"/>
  </w:num>
  <w:num w:numId="12">
    <w:abstractNumId w:val="3"/>
  </w:num>
  <w:num w:numId="13">
    <w:abstractNumId w:val="14"/>
  </w:num>
  <w:num w:numId="14">
    <w:abstractNumId w:val="0"/>
  </w:num>
  <w:num w:numId="15">
    <w:abstractNumId w:val="16"/>
  </w:num>
  <w:num w:numId="16">
    <w:abstractNumId w:val="6"/>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23338"/>
    <w:rsid w:val="000249EB"/>
    <w:rsid w:val="00040034"/>
    <w:rsid w:val="00053D20"/>
    <w:rsid w:val="00062184"/>
    <w:rsid w:val="00066024"/>
    <w:rsid w:val="00066B8B"/>
    <w:rsid w:val="00070AFF"/>
    <w:rsid w:val="00080FD3"/>
    <w:rsid w:val="00083DC3"/>
    <w:rsid w:val="0008593B"/>
    <w:rsid w:val="000A210D"/>
    <w:rsid w:val="000A229E"/>
    <w:rsid w:val="000A47E6"/>
    <w:rsid w:val="000C224E"/>
    <w:rsid w:val="000C3890"/>
    <w:rsid w:val="000D3453"/>
    <w:rsid w:val="000E666A"/>
    <w:rsid w:val="00104284"/>
    <w:rsid w:val="00110FE3"/>
    <w:rsid w:val="0011581A"/>
    <w:rsid w:val="00116248"/>
    <w:rsid w:val="00120E95"/>
    <w:rsid w:val="00122608"/>
    <w:rsid w:val="00133E22"/>
    <w:rsid w:val="001373EA"/>
    <w:rsid w:val="00146B30"/>
    <w:rsid w:val="00146FDC"/>
    <w:rsid w:val="001470A2"/>
    <w:rsid w:val="001505DD"/>
    <w:rsid w:val="001513C5"/>
    <w:rsid w:val="00151C00"/>
    <w:rsid w:val="0015685B"/>
    <w:rsid w:val="001577EB"/>
    <w:rsid w:val="00162B33"/>
    <w:rsid w:val="00165896"/>
    <w:rsid w:val="001661D2"/>
    <w:rsid w:val="0016743D"/>
    <w:rsid w:val="001731B3"/>
    <w:rsid w:val="00176A95"/>
    <w:rsid w:val="00197E93"/>
    <w:rsid w:val="001A0336"/>
    <w:rsid w:val="001A163A"/>
    <w:rsid w:val="001A7C75"/>
    <w:rsid w:val="001B0DDA"/>
    <w:rsid w:val="001C2F13"/>
    <w:rsid w:val="001D45B0"/>
    <w:rsid w:val="001D47B7"/>
    <w:rsid w:val="001E2FC9"/>
    <w:rsid w:val="001F2B04"/>
    <w:rsid w:val="00220DFC"/>
    <w:rsid w:val="00235C73"/>
    <w:rsid w:val="002451DF"/>
    <w:rsid w:val="00251603"/>
    <w:rsid w:val="00253365"/>
    <w:rsid w:val="002540B1"/>
    <w:rsid w:val="00263E57"/>
    <w:rsid w:val="002712B1"/>
    <w:rsid w:val="00290B8E"/>
    <w:rsid w:val="002B2508"/>
    <w:rsid w:val="002D669D"/>
    <w:rsid w:val="002E07D4"/>
    <w:rsid w:val="002E122C"/>
    <w:rsid w:val="002E15F9"/>
    <w:rsid w:val="002E2DAB"/>
    <w:rsid w:val="002F63E5"/>
    <w:rsid w:val="00303D71"/>
    <w:rsid w:val="003143BC"/>
    <w:rsid w:val="003223F6"/>
    <w:rsid w:val="003416B1"/>
    <w:rsid w:val="00342801"/>
    <w:rsid w:val="00347912"/>
    <w:rsid w:val="00351952"/>
    <w:rsid w:val="003563A7"/>
    <w:rsid w:val="003569AD"/>
    <w:rsid w:val="00372DA0"/>
    <w:rsid w:val="00372FFE"/>
    <w:rsid w:val="003746BC"/>
    <w:rsid w:val="00376FE6"/>
    <w:rsid w:val="0038347F"/>
    <w:rsid w:val="00393B97"/>
    <w:rsid w:val="00397764"/>
    <w:rsid w:val="003A389C"/>
    <w:rsid w:val="003B2CF2"/>
    <w:rsid w:val="003B340F"/>
    <w:rsid w:val="003C5AC5"/>
    <w:rsid w:val="003D1CC0"/>
    <w:rsid w:val="003E03CC"/>
    <w:rsid w:val="003E6C49"/>
    <w:rsid w:val="0040505F"/>
    <w:rsid w:val="004066A3"/>
    <w:rsid w:val="00407E4E"/>
    <w:rsid w:val="00413F58"/>
    <w:rsid w:val="004143B4"/>
    <w:rsid w:val="00420F62"/>
    <w:rsid w:val="00422DE3"/>
    <w:rsid w:val="0042734C"/>
    <w:rsid w:val="00436030"/>
    <w:rsid w:val="00446A24"/>
    <w:rsid w:val="00453CF8"/>
    <w:rsid w:val="00461079"/>
    <w:rsid w:val="00465587"/>
    <w:rsid w:val="0046792A"/>
    <w:rsid w:val="00480D4F"/>
    <w:rsid w:val="0049008B"/>
    <w:rsid w:val="004A20F3"/>
    <w:rsid w:val="004B638C"/>
    <w:rsid w:val="004B6CEC"/>
    <w:rsid w:val="004B6FA0"/>
    <w:rsid w:val="004C10DC"/>
    <w:rsid w:val="004C35F0"/>
    <w:rsid w:val="004D283B"/>
    <w:rsid w:val="004D737D"/>
    <w:rsid w:val="004E087E"/>
    <w:rsid w:val="00503093"/>
    <w:rsid w:val="00504CD2"/>
    <w:rsid w:val="005057DC"/>
    <w:rsid w:val="005126D2"/>
    <w:rsid w:val="005134DC"/>
    <w:rsid w:val="00514C74"/>
    <w:rsid w:val="005220B0"/>
    <w:rsid w:val="0052335E"/>
    <w:rsid w:val="00543050"/>
    <w:rsid w:val="00546FB3"/>
    <w:rsid w:val="00547F84"/>
    <w:rsid w:val="00562B74"/>
    <w:rsid w:val="00576298"/>
    <w:rsid w:val="00577C9B"/>
    <w:rsid w:val="0059042F"/>
    <w:rsid w:val="005974D1"/>
    <w:rsid w:val="005A0EA5"/>
    <w:rsid w:val="005A5288"/>
    <w:rsid w:val="005B7516"/>
    <w:rsid w:val="005C123D"/>
    <w:rsid w:val="005C4ECC"/>
    <w:rsid w:val="005C74C5"/>
    <w:rsid w:val="005E2ABC"/>
    <w:rsid w:val="005E47BD"/>
    <w:rsid w:val="005F0D8A"/>
    <w:rsid w:val="005F5D78"/>
    <w:rsid w:val="00607915"/>
    <w:rsid w:val="006120E1"/>
    <w:rsid w:val="00623607"/>
    <w:rsid w:val="006308D5"/>
    <w:rsid w:val="00642663"/>
    <w:rsid w:val="00647C5F"/>
    <w:rsid w:val="0065217F"/>
    <w:rsid w:val="00654380"/>
    <w:rsid w:val="006677B0"/>
    <w:rsid w:val="00670C21"/>
    <w:rsid w:val="006763D1"/>
    <w:rsid w:val="00676DE5"/>
    <w:rsid w:val="00694160"/>
    <w:rsid w:val="00696D77"/>
    <w:rsid w:val="006A538F"/>
    <w:rsid w:val="006B260E"/>
    <w:rsid w:val="006B3939"/>
    <w:rsid w:val="006C014C"/>
    <w:rsid w:val="006C0984"/>
    <w:rsid w:val="006C10F0"/>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5466D"/>
    <w:rsid w:val="00766689"/>
    <w:rsid w:val="007764B4"/>
    <w:rsid w:val="00780F08"/>
    <w:rsid w:val="0078233F"/>
    <w:rsid w:val="0078726E"/>
    <w:rsid w:val="0079089B"/>
    <w:rsid w:val="00791F1F"/>
    <w:rsid w:val="007A48D6"/>
    <w:rsid w:val="007A7B6C"/>
    <w:rsid w:val="007B0CFD"/>
    <w:rsid w:val="007B0D42"/>
    <w:rsid w:val="007C27E0"/>
    <w:rsid w:val="007C6471"/>
    <w:rsid w:val="007C6FBC"/>
    <w:rsid w:val="007D1185"/>
    <w:rsid w:val="007D49DE"/>
    <w:rsid w:val="007D4F45"/>
    <w:rsid w:val="007D5E35"/>
    <w:rsid w:val="007E6317"/>
    <w:rsid w:val="0080135E"/>
    <w:rsid w:val="00807A22"/>
    <w:rsid w:val="0082082A"/>
    <w:rsid w:val="00824571"/>
    <w:rsid w:val="00833BFF"/>
    <w:rsid w:val="00845FE2"/>
    <w:rsid w:val="008501F4"/>
    <w:rsid w:val="0085248F"/>
    <w:rsid w:val="00853C09"/>
    <w:rsid w:val="008616D9"/>
    <w:rsid w:val="00861FD7"/>
    <w:rsid w:val="00865164"/>
    <w:rsid w:val="008731B0"/>
    <w:rsid w:val="00881E28"/>
    <w:rsid w:val="0089043A"/>
    <w:rsid w:val="00896D91"/>
    <w:rsid w:val="008A3A19"/>
    <w:rsid w:val="008A5047"/>
    <w:rsid w:val="008A7431"/>
    <w:rsid w:val="008B47E0"/>
    <w:rsid w:val="008C7B00"/>
    <w:rsid w:val="008D4BF9"/>
    <w:rsid w:val="008E440E"/>
    <w:rsid w:val="008F5301"/>
    <w:rsid w:val="00900860"/>
    <w:rsid w:val="009027F2"/>
    <w:rsid w:val="009076AA"/>
    <w:rsid w:val="00925282"/>
    <w:rsid w:val="00926365"/>
    <w:rsid w:val="009273B4"/>
    <w:rsid w:val="0093367B"/>
    <w:rsid w:val="00934C36"/>
    <w:rsid w:val="00935B97"/>
    <w:rsid w:val="0094218F"/>
    <w:rsid w:val="009460AE"/>
    <w:rsid w:val="0094718C"/>
    <w:rsid w:val="00947FA7"/>
    <w:rsid w:val="009508D1"/>
    <w:rsid w:val="009558D8"/>
    <w:rsid w:val="00957A62"/>
    <w:rsid w:val="00964BE9"/>
    <w:rsid w:val="00980F79"/>
    <w:rsid w:val="00983CEB"/>
    <w:rsid w:val="009843DD"/>
    <w:rsid w:val="00990634"/>
    <w:rsid w:val="009917DD"/>
    <w:rsid w:val="00995788"/>
    <w:rsid w:val="009A1284"/>
    <w:rsid w:val="009A502F"/>
    <w:rsid w:val="009B0284"/>
    <w:rsid w:val="009B3820"/>
    <w:rsid w:val="009B6CB3"/>
    <w:rsid w:val="009B78A2"/>
    <w:rsid w:val="009D078D"/>
    <w:rsid w:val="009D31AD"/>
    <w:rsid w:val="009E18DB"/>
    <w:rsid w:val="009E3522"/>
    <w:rsid w:val="009E707C"/>
    <w:rsid w:val="009F0769"/>
    <w:rsid w:val="009F4A17"/>
    <w:rsid w:val="00A06695"/>
    <w:rsid w:val="00A1299E"/>
    <w:rsid w:val="00A3418B"/>
    <w:rsid w:val="00A343D5"/>
    <w:rsid w:val="00A41B68"/>
    <w:rsid w:val="00A44394"/>
    <w:rsid w:val="00A47315"/>
    <w:rsid w:val="00A55D22"/>
    <w:rsid w:val="00A56B34"/>
    <w:rsid w:val="00A618FC"/>
    <w:rsid w:val="00A7053F"/>
    <w:rsid w:val="00A71EC6"/>
    <w:rsid w:val="00A73CA7"/>
    <w:rsid w:val="00A82A69"/>
    <w:rsid w:val="00A8435E"/>
    <w:rsid w:val="00A8462E"/>
    <w:rsid w:val="00A91FDE"/>
    <w:rsid w:val="00AC112C"/>
    <w:rsid w:val="00AD2026"/>
    <w:rsid w:val="00AF3B1B"/>
    <w:rsid w:val="00B0378B"/>
    <w:rsid w:val="00B147A7"/>
    <w:rsid w:val="00B179C9"/>
    <w:rsid w:val="00B17F13"/>
    <w:rsid w:val="00B23DDC"/>
    <w:rsid w:val="00B27F6B"/>
    <w:rsid w:val="00B30158"/>
    <w:rsid w:val="00B51994"/>
    <w:rsid w:val="00B51BC3"/>
    <w:rsid w:val="00B62ECD"/>
    <w:rsid w:val="00B72F77"/>
    <w:rsid w:val="00B76BF1"/>
    <w:rsid w:val="00BA05C5"/>
    <w:rsid w:val="00BA49DB"/>
    <w:rsid w:val="00BB707C"/>
    <w:rsid w:val="00BC062C"/>
    <w:rsid w:val="00BC622F"/>
    <w:rsid w:val="00BD28B9"/>
    <w:rsid w:val="00BD29EC"/>
    <w:rsid w:val="00BD2BB0"/>
    <w:rsid w:val="00BE4D76"/>
    <w:rsid w:val="00BE70C8"/>
    <w:rsid w:val="00BF42F4"/>
    <w:rsid w:val="00C000B0"/>
    <w:rsid w:val="00C013D8"/>
    <w:rsid w:val="00C1236A"/>
    <w:rsid w:val="00C14967"/>
    <w:rsid w:val="00C22DF6"/>
    <w:rsid w:val="00C25229"/>
    <w:rsid w:val="00C34D1D"/>
    <w:rsid w:val="00C4606E"/>
    <w:rsid w:val="00C638CE"/>
    <w:rsid w:val="00C645C4"/>
    <w:rsid w:val="00C66AB0"/>
    <w:rsid w:val="00C74767"/>
    <w:rsid w:val="00C772FD"/>
    <w:rsid w:val="00C83435"/>
    <w:rsid w:val="00C8596F"/>
    <w:rsid w:val="00C9037A"/>
    <w:rsid w:val="00C909FE"/>
    <w:rsid w:val="00C95868"/>
    <w:rsid w:val="00C95D84"/>
    <w:rsid w:val="00C9679B"/>
    <w:rsid w:val="00C96C28"/>
    <w:rsid w:val="00CA1CB1"/>
    <w:rsid w:val="00CC1B0F"/>
    <w:rsid w:val="00CD6C39"/>
    <w:rsid w:val="00CE0762"/>
    <w:rsid w:val="00CF1BCB"/>
    <w:rsid w:val="00CF1C87"/>
    <w:rsid w:val="00CF2434"/>
    <w:rsid w:val="00CF7625"/>
    <w:rsid w:val="00D006C1"/>
    <w:rsid w:val="00D00BA8"/>
    <w:rsid w:val="00D00F28"/>
    <w:rsid w:val="00D05466"/>
    <w:rsid w:val="00D1082C"/>
    <w:rsid w:val="00D15CDC"/>
    <w:rsid w:val="00D27196"/>
    <w:rsid w:val="00D273C6"/>
    <w:rsid w:val="00D31F63"/>
    <w:rsid w:val="00D40E85"/>
    <w:rsid w:val="00D50F75"/>
    <w:rsid w:val="00D51C14"/>
    <w:rsid w:val="00D54600"/>
    <w:rsid w:val="00D604B3"/>
    <w:rsid w:val="00D62DD3"/>
    <w:rsid w:val="00D636C1"/>
    <w:rsid w:val="00D644B9"/>
    <w:rsid w:val="00D64852"/>
    <w:rsid w:val="00D65C2C"/>
    <w:rsid w:val="00D65EF2"/>
    <w:rsid w:val="00D71A86"/>
    <w:rsid w:val="00D80BC2"/>
    <w:rsid w:val="00D829AC"/>
    <w:rsid w:val="00D91D5D"/>
    <w:rsid w:val="00D93D54"/>
    <w:rsid w:val="00DA061E"/>
    <w:rsid w:val="00DB3A18"/>
    <w:rsid w:val="00DB5552"/>
    <w:rsid w:val="00DC7ED5"/>
    <w:rsid w:val="00DD4453"/>
    <w:rsid w:val="00DD45F3"/>
    <w:rsid w:val="00DE0C01"/>
    <w:rsid w:val="00DE2202"/>
    <w:rsid w:val="00DE5549"/>
    <w:rsid w:val="00DF5ADD"/>
    <w:rsid w:val="00E1711B"/>
    <w:rsid w:val="00E206E6"/>
    <w:rsid w:val="00E21B43"/>
    <w:rsid w:val="00E22DA5"/>
    <w:rsid w:val="00E25CFC"/>
    <w:rsid w:val="00E27922"/>
    <w:rsid w:val="00E33CA8"/>
    <w:rsid w:val="00E36AFE"/>
    <w:rsid w:val="00E377B5"/>
    <w:rsid w:val="00E55C4C"/>
    <w:rsid w:val="00E7596B"/>
    <w:rsid w:val="00E834AD"/>
    <w:rsid w:val="00E83733"/>
    <w:rsid w:val="00E90BD4"/>
    <w:rsid w:val="00E91B38"/>
    <w:rsid w:val="00EA60C7"/>
    <w:rsid w:val="00EB1910"/>
    <w:rsid w:val="00EB389E"/>
    <w:rsid w:val="00EB4CBB"/>
    <w:rsid w:val="00EC3F04"/>
    <w:rsid w:val="00EC6F78"/>
    <w:rsid w:val="00ED599F"/>
    <w:rsid w:val="00EE3914"/>
    <w:rsid w:val="00EE3BB4"/>
    <w:rsid w:val="00EE3C6C"/>
    <w:rsid w:val="00EF3886"/>
    <w:rsid w:val="00EF47D7"/>
    <w:rsid w:val="00F03521"/>
    <w:rsid w:val="00F0465B"/>
    <w:rsid w:val="00F15F45"/>
    <w:rsid w:val="00F17015"/>
    <w:rsid w:val="00F30F68"/>
    <w:rsid w:val="00F352EA"/>
    <w:rsid w:val="00F46260"/>
    <w:rsid w:val="00F532A2"/>
    <w:rsid w:val="00F56853"/>
    <w:rsid w:val="00F61539"/>
    <w:rsid w:val="00F6371F"/>
    <w:rsid w:val="00F66E7B"/>
    <w:rsid w:val="00F73DBC"/>
    <w:rsid w:val="00F84FF1"/>
    <w:rsid w:val="00F918E7"/>
    <w:rsid w:val="00F940D0"/>
    <w:rsid w:val="00FD23B9"/>
    <w:rsid w:val="00FE35CF"/>
    <w:rsid w:val="00FE53A5"/>
    <w:rsid w:val="00FE734E"/>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7ED5"/>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1Light">
    <w:name w:val="Grid Table 1 Light"/>
    <w:basedOn w:val="a2"/>
    <w:uiPriority w:val="46"/>
    <w:rsid w:val="009E18DB"/>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9E18DB"/>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7ED5"/>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1Light">
    <w:name w:val="Grid Table 1 Light"/>
    <w:basedOn w:val="a2"/>
    <w:uiPriority w:val="46"/>
    <w:rsid w:val="009E18DB"/>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9E18DB"/>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a.un.org/PopPolicy/Inquiry.aspx" TargetMode="External"/><Relationship Id="rId5" Type="http://schemas.openxmlformats.org/officeDocument/2006/relationships/settings" Target="settings.xml"/><Relationship Id="rId10" Type="http://schemas.openxmlformats.org/officeDocument/2006/relationships/hyperlink" Target="https://www.iom.int/sites/default/files/about-iom/migof_brochure_a4_en.pdf" TargetMode="External"/><Relationship Id="rId4" Type="http://schemas.microsoft.com/office/2007/relationships/stylesWithEffects" Target="stylesWithEffects.xml"/><Relationship Id="rId9" Type="http://schemas.openxmlformats.org/officeDocument/2006/relationships/hyperlink" Target="http://www.un.org/en/development/desa/population/index.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D8B7-3A85-41FA-9204-FB3C83A9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3810</Words>
  <Characters>21721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55</cp:revision>
  <dcterms:created xsi:type="dcterms:W3CDTF">2021-08-17T11:30:00Z</dcterms:created>
  <dcterms:modified xsi:type="dcterms:W3CDTF">2023-08-24T11:17:00Z</dcterms:modified>
</cp:coreProperties>
</file>