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8365F" w:rsidRPr="00F8365F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F836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F836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F836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F8365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627057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</w:t>
      </w:r>
      <w:r w:rsidR="00627057">
        <w:t>Мобилизовать дополнительные финансовые ресурсы из самых разных источников для развивающихся стран.</w:t>
      </w:r>
    </w:p>
    <w:p w:rsidR="003143BC" w:rsidRPr="00BD29EC" w:rsidRDefault="003143BC" w:rsidP="00F836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627057" w:rsidRDefault="003143BC" w:rsidP="00F8365F">
      <w:pPr>
        <w:spacing w:after="0"/>
      </w:pPr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627057">
        <w:t>3</w:t>
      </w:r>
      <w:r w:rsidR="002064C4">
        <w:t>.</w:t>
      </w:r>
      <w:r w:rsidR="00627057">
        <w:t>1</w:t>
      </w:r>
      <w:r w:rsidR="00C95AB2">
        <w:t>.</w:t>
      </w:r>
      <w:r w:rsidR="00780F08" w:rsidRPr="00BD29EC">
        <w:t xml:space="preserve"> </w:t>
      </w:r>
      <w:r w:rsidR="00627057">
        <w:t xml:space="preserve">Мобилизация дополнительных финансовых ресурсов из самых разных </w:t>
      </w:r>
      <w:r w:rsidR="00627057" w:rsidRPr="00627057">
        <w:t>источников для развивающихся стран.</w:t>
      </w:r>
    </w:p>
    <w:p w:rsidR="003143BC" w:rsidRDefault="003143BC" w:rsidP="00F836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F8365F" w:rsidRP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a</w:t>
      </w:r>
      <w:r w:rsidRPr="00F8365F">
        <w:t>: Валовые поступления развивающихся стран в виде официальных грантов на устойчивое разви</w:t>
      </w:r>
      <w:r>
        <w:t xml:space="preserve">тие (в </w:t>
      </w:r>
      <w:proofErr w:type="gramStart"/>
      <w:r>
        <w:t>миллионах долларов</w:t>
      </w:r>
      <w:proofErr w:type="gramEnd"/>
      <w:r>
        <w:t xml:space="preserve"> США)</w:t>
      </w:r>
    </w:p>
    <w:p w:rsidR="00F8365F" w:rsidRP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b</w:t>
      </w:r>
      <w:r w:rsidRPr="00F8365F">
        <w:t xml:space="preserve">: Валовые поступления развивающихся стран в виде официальных льготных кредитов на устойчивое развитие (в </w:t>
      </w:r>
      <w:proofErr w:type="gramStart"/>
      <w:r w:rsidRPr="00F8365F">
        <w:t>миллионах долларов</w:t>
      </w:r>
      <w:proofErr w:type="gramEnd"/>
      <w:r w:rsidRPr="00F8365F">
        <w:t xml:space="preserve"> США</w:t>
      </w:r>
      <w:r>
        <w:t>)</w:t>
      </w:r>
    </w:p>
    <w:p w:rsid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c</w:t>
      </w:r>
      <w:r w:rsidRPr="00F8365F">
        <w:t xml:space="preserve">: Валовые поступления развивающихся стран в виде официальных </w:t>
      </w:r>
      <w:proofErr w:type="spellStart"/>
      <w:r w:rsidRPr="00F8365F">
        <w:t>нельготных</w:t>
      </w:r>
      <w:proofErr w:type="spellEnd"/>
      <w:r w:rsidRPr="00F8365F">
        <w:t xml:space="preserve"> кредитов на устойчивое разви</w:t>
      </w:r>
      <w:r>
        <w:t>тие (в миллионах долларов США)</w:t>
      </w:r>
    </w:p>
    <w:p w:rsidR="00F8365F" w:rsidRP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d</w:t>
      </w:r>
      <w:r w:rsidRPr="00F8365F">
        <w:t xml:space="preserve"> Приток прямых иностранных инвестиций (П</w:t>
      </w:r>
      <w:r>
        <w:t>ИИ) (в миллионах долларов США)</w:t>
      </w:r>
    </w:p>
    <w:p w:rsidR="00F8365F" w:rsidRP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e</w:t>
      </w:r>
      <w:r w:rsidRPr="00F8365F">
        <w:t>: Валовые поступления развивающихся стран от мобилизованного частного финансирования (</w:t>
      </w:r>
      <w:r w:rsidR="00FD0726">
        <w:t>МЧФ</w:t>
      </w:r>
      <w:r w:rsidRPr="00F8365F">
        <w:t>) – на экспериментальной ос</w:t>
      </w:r>
      <w:r>
        <w:t xml:space="preserve">нове (в </w:t>
      </w:r>
      <w:proofErr w:type="gramStart"/>
      <w:r>
        <w:t>миллионах долларов</w:t>
      </w:r>
      <w:proofErr w:type="gramEnd"/>
      <w:r>
        <w:t xml:space="preserve"> США)</w:t>
      </w:r>
    </w:p>
    <w:p w:rsidR="003A325C" w:rsidRPr="00F8365F" w:rsidRDefault="00F8365F" w:rsidP="00F8365F">
      <w:pPr>
        <w:spacing w:after="0"/>
      </w:pPr>
      <w:r w:rsidRPr="00F8365F">
        <w:t>17.3.1</w:t>
      </w:r>
      <w:r w:rsidRPr="00F8365F">
        <w:rPr>
          <w:lang w:val="en-US"/>
        </w:rPr>
        <w:t>f</w:t>
      </w:r>
      <w:r w:rsidRPr="00F8365F">
        <w:t xml:space="preserve">: Валовые поступления развивающихся стран от частных грантов (в </w:t>
      </w:r>
      <w:proofErr w:type="gramStart"/>
      <w:r w:rsidRPr="00F8365F">
        <w:t>миллионах долларов</w:t>
      </w:r>
      <w:proofErr w:type="gramEnd"/>
      <w:r w:rsidRPr="00F8365F">
        <w:t xml:space="preserve"> США)</w:t>
      </w:r>
    </w:p>
    <w:p w:rsidR="00004BE3" w:rsidRDefault="00C8596F" w:rsidP="00F836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627057" w:rsidRPr="00627057" w:rsidRDefault="00F8365F" w:rsidP="00F8365F">
      <w:pPr>
        <w:spacing w:after="0"/>
        <w:rPr>
          <w:rFonts w:eastAsia="Times New Roman" w:cs="Times New Roman"/>
          <w:szCs w:val="21"/>
          <w:lang w:eastAsia="en-GB"/>
        </w:rPr>
      </w:pPr>
      <w:r>
        <w:t>15 мая 2023</w:t>
      </w:r>
    </w:p>
    <w:p w:rsidR="00C8596F" w:rsidRDefault="00C8596F" w:rsidP="00F836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627057" w:rsidRPr="00627057" w:rsidRDefault="00627057" w:rsidP="00F8365F">
      <w:pPr>
        <w:spacing w:after="0"/>
        <w:rPr>
          <w:rFonts w:eastAsia="Times New Roman" w:cs="Times New Roman"/>
          <w:szCs w:val="21"/>
          <w:lang w:eastAsia="en-GB"/>
        </w:rPr>
      </w:pPr>
      <w:r w:rsidRPr="00232169">
        <w:t xml:space="preserve">10.b.1, 17.2.1, 17.3.2, 17.4.1, </w:t>
      </w:r>
      <w:r>
        <w:t xml:space="preserve">17.5.1 </w:t>
      </w:r>
      <w:r w:rsidRPr="00232169">
        <w:t>17.9.1</w:t>
      </w:r>
      <w:r>
        <w:t xml:space="preserve"> (и другие)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627057" w:rsidRDefault="00627057" w:rsidP="00627057">
      <w:pPr>
        <w:rPr>
          <w:bdr w:val="nil"/>
          <w:lang w:eastAsia="ru-RU"/>
        </w:rPr>
      </w:pPr>
      <w:r w:rsidRPr="00627057">
        <w:rPr>
          <w:bdr w:val="nil"/>
          <w:lang w:eastAsia="ru-RU"/>
        </w:rPr>
        <w:t>ОЭСР и ЮНКТАД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627057" w:rsidRPr="00627057" w:rsidRDefault="00627057" w:rsidP="00627057">
      <w:pPr>
        <w:rPr>
          <w:bdr w:val="nil"/>
          <w:lang w:eastAsia="ru-RU"/>
        </w:rPr>
      </w:pPr>
      <w:r w:rsidRPr="00627057">
        <w:rPr>
          <w:bdr w:val="nil"/>
          <w:lang w:eastAsia="ru-RU"/>
        </w:rPr>
        <w:t>Директорат ОЭСР по сотрудничеству в целях развития</w:t>
      </w:r>
    </w:p>
    <w:p w:rsidR="00627057" w:rsidRDefault="00627057" w:rsidP="00627057">
      <w:pPr>
        <w:rPr>
          <w:bdr w:val="nil"/>
          <w:lang w:eastAsia="ru-RU"/>
        </w:rPr>
      </w:pPr>
      <w:r>
        <w:rPr>
          <w:bdr w:val="nil"/>
          <w:lang w:eastAsia="ru-RU"/>
        </w:rPr>
        <w:t>Отделение</w:t>
      </w:r>
      <w:r w:rsidRPr="00627057">
        <w:rPr>
          <w:bdr w:val="nil"/>
          <w:lang w:eastAsia="ru-RU"/>
        </w:rPr>
        <w:t xml:space="preserve"> ЮНКТАД по статистике развития и информации</w:t>
      </w:r>
    </w:p>
    <w:p w:rsidR="00957A62" w:rsidRPr="00BD29EC" w:rsidRDefault="00957A62" w:rsidP="00627057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30204B" w:rsidRPr="0030204B" w:rsidRDefault="0030204B" w:rsidP="0030204B">
      <w:r w:rsidRPr="0030204B">
        <w:t xml:space="preserve">Годовой валовой доход развивающихся стран: a. Официальные гранты на устойчивое развитие, b. Официальные льготные кредиты на устойчивое развитие, c. Официальные </w:t>
      </w:r>
      <w:proofErr w:type="spellStart"/>
      <w:r w:rsidRPr="0030204B">
        <w:t>нельготные</w:t>
      </w:r>
      <w:proofErr w:type="spellEnd"/>
      <w:r w:rsidRPr="0030204B">
        <w:t xml:space="preserve"> кредиты на устойчивое развитие, d. Прямые иностранные инвестиции, т.е. </w:t>
      </w:r>
      <w:r w:rsidRPr="0030204B">
        <w:lastRenderedPageBreak/>
        <w:t>Мобилизованное частное финансирование (М</w:t>
      </w:r>
      <w:r>
        <w:t>Ч</w:t>
      </w:r>
      <w:r w:rsidRPr="0030204B">
        <w:t>Ф) на экспериментальной основе, и f. Частные гранты.</w:t>
      </w:r>
    </w:p>
    <w:p w:rsidR="0030204B" w:rsidRPr="0030204B" w:rsidRDefault="00085000" w:rsidP="00085000">
      <w:pPr>
        <w:spacing w:after="120"/>
      </w:pPr>
      <w:proofErr w:type="gramStart"/>
      <w:r>
        <w:rPr>
          <w:lang w:val="en-US"/>
        </w:rPr>
        <w:t>a</w:t>
      </w:r>
      <w:proofErr w:type="gramEnd"/>
      <w:r w:rsidR="0030204B" w:rsidRPr="0030204B">
        <w:t>. Официальные гранты на устойчивое развитие</w:t>
      </w:r>
    </w:p>
    <w:p w:rsidR="0030204B" w:rsidRPr="0030204B" w:rsidRDefault="0030204B" w:rsidP="0030204B">
      <w:r w:rsidRPr="0030204B">
        <w:t>Гранты представляют собой переводы наличными или в натуральной форме, по которым получатель не несет юридической задолженности.</w:t>
      </w:r>
    </w:p>
    <w:p w:rsidR="0030204B" w:rsidRPr="0030204B" w:rsidRDefault="00085000" w:rsidP="00085000">
      <w:pPr>
        <w:spacing w:after="120"/>
      </w:pPr>
      <w:proofErr w:type="gramStart"/>
      <w:r>
        <w:rPr>
          <w:lang w:val="en-US"/>
        </w:rPr>
        <w:t>b</w:t>
      </w:r>
      <w:proofErr w:type="gramEnd"/>
      <w:r w:rsidR="0030204B" w:rsidRPr="0030204B">
        <w:t>. Официальные льготные кредиты на устойчивое развитие</w:t>
      </w:r>
    </w:p>
    <w:p w:rsidR="0030204B" w:rsidRPr="0030204B" w:rsidRDefault="0030204B" w:rsidP="00DF68EE">
      <w:pPr>
        <w:spacing w:after="120"/>
      </w:pPr>
      <w:r w:rsidRPr="0030204B">
        <w:t>Ссуды - это переводы наличными или в натуральной форме, по которым получатель берет на себя юридическую задолженность. Льготная передача — это передача чего-то ценного. Для целей данного показателя кредит будет считаться льготным, если он включает элемент гранта не менее 35%, когда платежи по его обслуживанию дисконтированы по ставке 5% в год. Этот тест разработан на Основ</w:t>
      </w:r>
      <w:r w:rsidR="00FD0726">
        <w:t>е</w:t>
      </w:r>
      <w:r w:rsidRPr="0030204B">
        <w:t xml:space="preserve"> устойчивости долга Всемирного банка и МВФ для стран с низким уровнем дохода, а также был принят Целевой группой TOSSD.</w:t>
      </w:r>
    </w:p>
    <w:p w:rsidR="0030204B" w:rsidRDefault="0030204B" w:rsidP="0030204B">
      <w:proofErr w:type="gramStart"/>
      <w:r>
        <w:t>См</w:t>
      </w:r>
      <w:proofErr w:type="gramEnd"/>
      <w:r>
        <w:t>.</w:t>
      </w:r>
      <w:r w:rsidRPr="0030204B">
        <w:t>:</w:t>
      </w:r>
    </w:p>
    <w:p w:rsidR="0030204B" w:rsidRPr="0030204B" w:rsidRDefault="00AF55B6" w:rsidP="00DF68EE">
      <w:pPr>
        <w:pStyle w:val="ab"/>
        <w:numPr>
          <w:ilvl w:val="0"/>
          <w:numId w:val="7"/>
        </w:numPr>
      </w:pPr>
      <w:hyperlink r:id="rId9" w:history="1">
        <w:r w:rsidR="0030204B" w:rsidRPr="00910143">
          <w:rPr>
            <w:rStyle w:val="ac"/>
          </w:rPr>
          <w:t>https</w:t>
        </w:r>
        <w:r w:rsidR="0030204B" w:rsidRPr="0030204B">
          <w:rPr>
            <w:rStyle w:val="ac"/>
          </w:rPr>
          <w:t>://</w:t>
        </w:r>
        <w:r w:rsidR="0030204B" w:rsidRPr="00910143">
          <w:rPr>
            <w:rStyle w:val="ac"/>
          </w:rPr>
          <w:t>www</w:t>
        </w:r>
        <w:r w:rsidR="0030204B" w:rsidRPr="0030204B">
          <w:rPr>
            <w:rStyle w:val="ac"/>
          </w:rPr>
          <w:t>.</w:t>
        </w:r>
        <w:r w:rsidR="0030204B" w:rsidRPr="00910143">
          <w:rPr>
            <w:rStyle w:val="ac"/>
          </w:rPr>
          <w:t>imf</w:t>
        </w:r>
        <w:r w:rsidR="0030204B" w:rsidRPr="0030204B">
          <w:rPr>
            <w:rStyle w:val="ac"/>
          </w:rPr>
          <w:t>.</w:t>
        </w:r>
        <w:r w:rsidR="0030204B" w:rsidRPr="00910143">
          <w:rPr>
            <w:rStyle w:val="ac"/>
          </w:rPr>
          <w:t>org</w:t>
        </w:r>
        <w:r w:rsidR="0030204B" w:rsidRPr="0030204B">
          <w:rPr>
            <w:rStyle w:val="ac"/>
          </w:rPr>
          <w:t>/</w:t>
        </w:r>
        <w:r w:rsidR="0030204B" w:rsidRPr="00910143">
          <w:rPr>
            <w:rStyle w:val="ac"/>
          </w:rPr>
          <w:t>en</w:t>
        </w:r>
        <w:r w:rsidR="0030204B" w:rsidRPr="0030204B">
          <w:rPr>
            <w:rStyle w:val="ac"/>
          </w:rPr>
          <w:t>/</w:t>
        </w:r>
        <w:r w:rsidR="0030204B" w:rsidRPr="00910143">
          <w:rPr>
            <w:rStyle w:val="ac"/>
          </w:rPr>
          <w:t>Publications</w:t>
        </w:r>
        <w:r w:rsidR="0030204B" w:rsidRPr="0030204B">
          <w:rPr>
            <w:rStyle w:val="ac"/>
          </w:rPr>
          <w:t>/</w:t>
        </w:r>
        <w:r w:rsidR="0030204B" w:rsidRPr="00910143">
          <w:rPr>
            <w:rStyle w:val="ac"/>
          </w:rPr>
          <w:t>Policy</w:t>
        </w:r>
        <w:r w:rsidR="0030204B" w:rsidRPr="0030204B">
          <w:rPr>
            <w:rStyle w:val="ac"/>
          </w:rPr>
          <w:t>-</w:t>
        </w:r>
        <w:r w:rsidR="0030204B" w:rsidRPr="00910143">
          <w:rPr>
            <w:rStyle w:val="ac"/>
          </w:rPr>
          <w:t>Papers</w:t>
        </w:r>
        <w:r w:rsidR="0030204B" w:rsidRPr="0030204B">
          <w:rPr>
            <w:rStyle w:val="ac"/>
          </w:rPr>
          <w:t>/</w:t>
        </w:r>
        <w:r w:rsidR="0030204B" w:rsidRPr="00910143">
          <w:rPr>
            <w:rStyle w:val="ac"/>
          </w:rPr>
          <w:t>Issues</w:t>
        </w:r>
        <w:r w:rsidR="0030204B" w:rsidRPr="0030204B">
          <w:rPr>
            <w:rStyle w:val="ac"/>
          </w:rPr>
          <w:t>/2018/02/14/</w:t>
        </w:r>
        <w:r w:rsidR="0030204B" w:rsidRPr="00910143">
          <w:rPr>
            <w:rStyle w:val="ac"/>
          </w:rPr>
          <w:t>pp</w:t>
        </w:r>
        <w:r w:rsidR="0030204B" w:rsidRPr="0030204B">
          <w:rPr>
            <w:rStyle w:val="ac"/>
          </w:rPr>
          <w:t>122617</w:t>
        </w:r>
        <w:r w:rsidR="0030204B" w:rsidRPr="00910143">
          <w:rPr>
            <w:rStyle w:val="ac"/>
          </w:rPr>
          <w:t>guidance</w:t>
        </w:r>
        <w:r w:rsidR="0030204B" w:rsidRPr="0030204B">
          <w:rPr>
            <w:rStyle w:val="ac"/>
          </w:rPr>
          <w:t>-</w:t>
        </w:r>
        <w:r w:rsidR="0030204B" w:rsidRPr="00910143">
          <w:rPr>
            <w:rStyle w:val="ac"/>
          </w:rPr>
          <w:t>note</w:t>
        </w:r>
        <w:r w:rsidR="0030204B" w:rsidRPr="0030204B">
          <w:rPr>
            <w:rStyle w:val="ac"/>
          </w:rPr>
          <w:t>-</w:t>
        </w:r>
        <w:r w:rsidR="0030204B" w:rsidRPr="00910143">
          <w:rPr>
            <w:rStyle w:val="ac"/>
          </w:rPr>
          <w:t>on</w:t>
        </w:r>
        <w:r w:rsidR="0030204B" w:rsidRPr="0030204B">
          <w:rPr>
            <w:rStyle w:val="ac"/>
          </w:rPr>
          <w:t>-</w:t>
        </w:r>
        <w:r w:rsidR="0030204B" w:rsidRPr="00910143">
          <w:rPr>
            <w:rStyle w:val="ac"/>
          </w:rPr>
          <w:t>lic</w:t>
        </w:r>
        <w:r w:rsidR="0030204B" w:rsidRPr="0030204B">
          <w:rPr>
            <w:rStyle w:val="ac"/>
          </w:rPr>
          <w:t>-</w:t>
        </w:r>
        <w:r w:rsidR="0030204B" w:rsidRPr="00910143">
          <w:rPr>
            <w:rStyle w:val="ac"/>
          </w:rPr>
          <w:t>dsf</w:t>
        </w:r>
      </w:hyperlink>
    </w:p>
    <w:p w:rsidR="0030204B" w:rsidRDefault="00AF55B6" w:rsidP="00DF68EE">
      <w:pPr>
        <w:pStyle w:val="ab"/>
        <w:numPr>
          <w:ilvl w:val="0"/>
          <w:numId w:val="7"/>
        </w:numPr>
        <w:rPr>
          <w:rStyle w:val="ac"/>
        </w:rPr>
      </w:pPr>
      <w:hyperlink r:id="rId10" w:history="1">
        <w:r w:rsidR="0030204B" w:rsidRPr="00F035EA">
          <w:rPr>
            <w:rStyle w:val="ac"/>
          </w:rPr>
          <w:t>https</w:t>
        </w:r>
        <w:r w:rsidR="0030204B" w:rsidRPr="0030204B">
          <w:rPr>
            <w:rStyle w:val="ac"/>
          </w:rPr>
          <w:t>://</w:t>
        </w:r>
        <w:r w:rsidR="0030204B" w:rsidRPr="00F035EA">
          <w:rPr>
            <w:rStyle w:val="ac"/>
          </w:rPr>
          <w:t>www</w:t>
        </w:r>
        <w:r w:rsidR="0030204B" w:rsidRPr="0030204B">
          <w:rPr>
            <w:rStyle w:val="ac"/>
          </w:rPr>
          <w:t>.</w:t>
        </w:r>
        <w:r w:rsidR="0030204B" w:rsidRPr="00F035EA">
          <w:rPr>
            <w:rStyle w:val="ac"/>
          </w:rPr>
          <w:t>tossd</w:t>
        </w:r>
        <w:r w:rsidR="0030204B" w:rsidRPr="0030204B">
          <w:rPr>
            <w:rStyle w:val="ac"/>
          </w:rPr>
          <w:t>.</w:t>
        </w:r>
        <w:r w:rsidR="0030204B" w:rsidRPr="00F035EA">
          <w:rPr>
            <w:rStyle w:val="ac"/>
          </w:rPr>
          <w:t>org</w:t>
        </w:r>
        <w:r w:rsidR="0030204B" w:rsidRPr="0030204B">
          <w:rPr>
            <w:rStyle w:val="ac"/>
          </w:rPr>
          <w:t>/</w:t>
        </w:r>
        <w:r w:rsidR="0030204B" w:rsidRPr="00F035EA">
          <w:rPr>
            <w:rStyle w:val="ac"/>
          </w:rPr>
          <w:t>docs</w:t>
        </w:r>
        <w:r w:rsidR="0030204B" w:rsidRPr="0030204B">
          <w:rPr>
            <w:rStyle w:val="ac"/>
          </w:rPr>
          <w:t>/</w:t>
        </w:r>
        <w:r w:rsidR="0030204B" w:rsidRPr="00F035EA">
          <w:rPr>
            <w:rStyle w:val="ac"/>
          </w:rPr>
          <w:t>reporting</w:t>
        </w:r>
        <w:r w:rsidR="0030204B" w:rsidRPr="0030204B">
          <w:rPr>
            <w:rStyle w:val="ac"/>
          </w:rPr>
          <w:t>-</w:t>
        </w:r>
        <w:r w:rsidR="0030204B" w:rsidRPr="00F035EA">
          <w:rPr>
            <w:rStyle w:val="ac"/>
          </w:rPr>
          <w:t>instructions</w:t>
        </w:r>
        <w:r w:rsidR="0030204B" w:rsidRPr="0030204B">
          <w:rPr>
            <w:rStyle w:val="ac"/>
          </w:rPr>
          <w:t>.</w:t>
        </w:r>
        <w:r w:rsidR="0030204B" w:rsidRPr="00F035EA">
          <w:rPr>
            <w:rStyle w:val="ac"/>
          </w:rPr>
          <w:t>pdf</w:t>
        </w:r>
      </w:hyperlink>
    </w:p>
    <w:p w:rsidR="0030204B" w:rsidRDefault="00DF68EE" w:rsidP="0030204B">
      <w:r>
        <w:t>с</w:t>
      </w:r>
      <w:r w:rsidR="0030204B">
        <w:t xml:space="preserve">. Официальные </w:t>
      </w:r>
      <w:proofErr w:type="spellStart"/>
      <w:r w:rsidR="0030204B">
        <w:t>нельготные</w:t>
      </w:r>
      <w:proofErr w:type="spellEnd"/>
      <w:r w:rsidR="0030204B">
        <w:t xml:space="preserve"> кредиты на устойчивое развитие</w:t>
      </w:r>
    </w:p>
    <w:p w:rsidR="0030204B" w:rsidRDefault="0030204B" w:rsidP="0030204B">
      <w:r>
        <w:t>Это ссуды (см. выше), которые имеют безвозмездный элемент менее 35%, когда платежи по ним дисконтированы по ставке 5% в год.</w:t>
      </w:r>
    </w:p>
    <w:p w:rsidR="0030204B" w:rsidRDefault="00DF68EE" w:rsidP="00DF68EE">
      <w:pPr>
        <w:spacing w:after="120"/>
      </w:pPr>
      <w:proofErr w:type="gramStart"/>
      <w:r>
        <w:rPr>
          <w:lang w:val="en-US"/>
        </w:rPr>
        <w:t>d</w:t>
      </w:r>
      <w:proofErr w:type="gramEnd"/>
      <w:r w:rsidR="0030204B">
        <w:t xml:space="preserve">. Прямые </w:t>
      </w:r>
      <w:r w:rsidR="00BA6989" w:rsidRPr="00BA6989">
        <w:t>иностранные</w:t>
      </w:r>
      <w:r w:rsidR="0030204B">
        <w:t xml:space="preserve"> инвестиции</w:t>
      </w:r>
    </w:p>
    <w:p w:rsidR="00BC4993" w:rsidRDefault="00BA6989" w:rsidP="00BC4993">
      <w:r w:rsidRPr="00BA6989">
        <w:t xml:space="preserve">Прямые иностранные инвестиции (ПИИ) - это категория инвестиций, которая отражает цель установления долгосрочного интереса предприятия-резидента в одной экономике (прямого инвестора) к предприятию (предприятию с прямыми инвестициями), которое является резидентом в экономике, отличной от экономики прямого инвестора. Постоянный интерес подразумевает наличие долгосрочных отношений между прямым инвестором и предприятием прямых инвестиций и значительную степень влияния на управление предприятием. Прямое или косвенное владение 10% или более права голоса предприятия-резидента в одной экономике инвестором-резидентом в другой экономике рассматривается как свидетельство таких отношений. Для Базового определения ОЭСР прямых иностранных инвестиций </w:t>
      </w:r>
      <w:r w:rsidR="00DF68EE" w:rsidRPr="00DF68EE">
        <w:t>–</w:t>
      </w:r>
      <w:r w:rsidRPr="00BA6989">
        <w:t xml:space="preserve"> 4-е издание и работы ЮНКТАД по статистике прямых иностранных инвестиций.</w:t>
      </w:r>
    </w:p>
    <w:p w:rsidR="00BC4993" w:rsidRDefault="00BC4993" w:rsidP="00BC4993">
      <w:proofErr w:type="gramStart"/>
      <w:r>
        <w:t>См</w:t>
      </w:r>
      <w:proofErr w:type="gramEnd"/>
      <w:r>
        <w:t>.:</w:t>
      </w:r>
    </w:p>
    <w:p w:rsidR="00BC4993" w:rsidRDefault="00AF55B6" w:rsidP="00DF68EE">
      <w:pPr>
        <w:pStyle w:val="ab"/>
        <w:numPr>
          <w:ilvl w:val="0"/>
          <w:numId w:val="8"/>
        </w:numPr>
      </w:pPr>
      <w:hyperlink r:id="rId11" w:history="1">
        <w:r w:rsidR="00BC4993" w:rsidRPr="00910143">
          <w:rPr>
            <w:rStyle w:val="ac"/>
          </w:rPr>
          <w:t>https://www.oecd.org/investment/fdibenchmarkdefinition.htm</w:t>
        </w:r>
      </w:hyperlink>
    </w:p>
    <w:p w:rsidR="00DF68EE" w:rsidRPr="00FD0726" w:rsidRDefault="00AF55B6" w:rsidP="00AE3533">
      <w:pPr>
        <w:pStyle w:val="ab"/>
        <w:numPr>
          <w:ilvl w:val="0"/>
          <w:numId w:val="8"/>
        </w:numPr>
        <w:rPr>
          <w:color w:val="0000FF" w:themeColor="hyperlink"/>
          <w:u w:val="single"/>
        </w:rPr>
      </w:pPr>
      <w:hyperlink r:id="rId12" w:history="1">
        <w:r w:rsidR="00BC4993" w:rsidRPr="00910143">
          <w:rPr>
            <w:rStyle w:val="ac"/>
          </w:rPr>
          <w:t>https://unctad.org/topic/investment/investment-statistics-and-trends</w:t>
        </w:r>
      </w:hyperlink>
    </w:p>
    <w:p w:rsidR="00AE3533" w:rsidRDefault="00DF68EE" w:rsidP="00DF68EE">
      <w:pPr>
        <w:spacing w:after="120"/>
      </w:pPr>
      <w:proofErr w:type="gramStart"/>
      <w:r>
        <w:rPr>
          <w:lang w:val="en-US"/>
        </w:rPr>
        <w:t>e</w:t>
      </w:r>
      <w:proofErr w:type="gramEnd"/>
      <w:r w:rsidR="00AE3533">
        <w:t>. Мобилизация частного финансирования (МЧФ) на экспериментальной основе</w:t>
      </w:r>
    </w:p>
    <w:p w:rsidR="00AE3533" w:rsidRDefault="00AE3533" w:rsidP="00AE3533">
      <w:r>
        <w:t xml:space="preserve">Мобилизованное частное финансирование (МЧФ) состоит из потоков частных ресурсов для деятельности в развивающихся странах, которые были мобилизованы в результате </w:t>
      </w:r>
      <w:r>
        <w:lastRenderedPageBreak/>
        <w:t xml:space="preserve">вмешательства многосторонних банков развития (МБР), двусторонних институтов финансирования развития или других двусторонних агентств, т.е. там, где может быть продемонстрирована прямая причинно-следственная связь между официальным вмешательством и частными ресурсами. Используется метод ОЭСР для подсчета </w:t>
      </w:r>
      <w:r w:rsidR="00793F8F" w:rsidRPr="00793F8F">
        <w:t>МЧФ</w:t>
      </w:r>
      <w:r>
        <w:t xml:space="preserve">; см. </w:t>
      </w:r>
      <w:hyperlink r:id="rId13" w:history="1">
        <w:r w:rsidR="00DF68EE" w:rsidRPr="00B73A3C">
          <w:rPr>
            <w:rStyle w:val="ac"/>
          </w:rPr>
          <w:t>https://www.oecd.org/dac/financing-sustainable-development/development-finance-standards/mobilisation.htm</w:t>
        </w:r>
      </w:hyperlink>
      <w:r>
        <w:t xml:space="preserve">. </w:t>
      </w:r>
      <w:r w:rsidR="00793F8F" w:rsidRPr="00793F8F">
        <w:t>МЧФ</w:t>
      </w:r>
      <w:r>
        <w:t xml:space="preserve"> является </w:t>
      </w:r>
      <w:r w:rsidR="00DF68EE">
        <w:t>«</w:t>
      </w:r>
      <w:r>
        <w:t>пунктом меморандума</w:t>
      </w:r>
      <w:r w:rsidR="00DF68EE">
        <w:t>»</w:t>
      </w:r>
      <w:r w:rsidR="00FD0726">
        <w:t>, поскольку это</w:t>
      </w:r>
      <w:r>
        <w:t xml:space="preserve">, вероятно, будет </w:t>
      </w:r>
      <w:proofErr w:type="gramStart"/>
      <w:r>
        <w:t>включать</w:t>
      </w:r>
      <w:proofErr w:type="gramEnd"/>
      <w:r>
        <w:t xml:space="preserve"> и перекрывать некоторые виды финансирования, которые также будут указаны в </w:t>
      </w:r>
      <w:proofErr w:type="spellStart"/>
      <w:r>
        <w:t>субиндикаторе</w:t>
      </w:r>
      <w:proofErr w:type="spellEnd"/>
      <w:r>
        <w:t xml:space="preserve"> ПИИ. Данные МЧФ обычно собираются на основе обязательств, а не с точки зрения поступлений из развивающихся стран. Этот показатель исключает частные потоки, мобилизованные в самих странах-получателях, поскольку они не представляют собой дополнительных ресурсов. Показатель включен на экспериментальной основе, и рекомендуется, чтобы он был пересмотрен в ходе обзора показателей ЦУР 2025 года.</w:t>
      </w:r>
      <w:r w:rsidR="00793F8F">
        <w:t xml:space="preserve"> </w:t>
      </w:r>
    </w:p>
    <w:p w:rsidR="00AE3533" w:rsidRDefault="00AE3533" w:rsidP="00DF68EE">
      <w:pPr>
        <w:spacing w:after="120"/>
      </w:pPr>
      <w:r>
        <w:t xml:space="preserve">f. Частные гранты </w:t>
      </w:r>
    </w:p>
    <w:p w:rsidR="005738EC" w:rsidRDefault="00AE3533" w:rsidP="005738EC">
      <w:pPr>
        <w:spacing w:after="0"/>
      </w:pPr>
      <w:r>
        <w:t>Частные гранты здесь понимаются как гранты на цели развития от частных учреждений за пределами страны-получателя, исключая коммерческие потоки и личные транзакции, такие как денежные переводы. В основном они включают гранты от благотворительных фондов и других неправительственных организаций.</w:t>
      </w:r>
    </w:p>
    <w:p w:rsidR="005738EC" w:rsidRDefault="005738EC" w:rsidP="005738EC">
      <w:pPr>
        <w:spacing w:after="0"/>
      </w:pPr>
    </w:p>
    <w:p w:rsidR="00AE3533" w:rsidRDefault="00AE3533" w:rsidP="005738EC">
      <w:pPr>
        <w:spacing w:after="0"/>
      </w:pPr>
      <w:r>
        <w:t>Критерии устойчивого развития</w:t>
      </w:r>
    </w:p>
    <w:p w:rsidR="005738EC" w:rsidRDefault="005738EC" w:rsidP="005738EC">
      <w:pPr>
        <w:spacing w:after="0"/>
      </w:pPr>
    </w:p>
    <w:p w:rsidR="00AE3533" w:rsidRDefault="00AE3533" w:rsidP="00CB2BD1">
      <w:pPr>
        <w:spacing w:after="120"/>
      </w:pPr>
      <w:r>
        <w:t>На основе обсуждений группы и работы Целевой группы TOSSD будет использоваться следующий каскадный подход для определения потоков, которые можно рассматривать как поддерживающие устойчивое развитие:</w:t>
      </w:r>
    </w:p>
    <w:p w:rsidR="00AE3533" w:rsidRDefault="00AE3533" w:rsidP="00AE3533">
      <w:r>
        <w:t xml:space="preserve">1. Потоки в рамках предложенных </w:t>
      </w:r>
      <w:r w:rsidR="00BD5350">
        <w:t>показателей</w:t>
      </w:r>
      <w:r>
        <w:t xml:space="preserve"> и </w:t>
      </w:r>
      <w:proofErr w:type="spellStart"/>
      <w:r>
        <w:t>под</w:t>
      </w:r>
      <w:r w:rsidR="00BD5350">
        <w:t>показателей</w:t>
      </w:r>
      <w:proofErr w:type="spellEnd"/>
      <w:r>
        <w:t xml:space="preserve">, подробно описанных ниже и определенных индивидуально, например, конкретная деятельность в системах отчетности поставщиков, должны быть включены, если они непосредственно поддерживают либо (i) по крайней </w:t>
      </w:r>
      <w:proofErr w:type="gramStart"/>
      <w:r>
        <w:t>мере</w:t>
      </w:r>
      <w:proofErr w:type="gramEnd"/>
      <w:r>
        <w:t xml:space="preserve"> одну из задач ЦУР, либо (</w:t>
      </w:r>
      <w:proofErr w:type="spellStart"/>
      <w:r>
        <w:t>ii</w:t>
      </w:r>
      <w:proofErr w:type="spellEnd"/>
      <w:r>
        <w:t>) цель в плане развития страны-получателя, если она направлена ​​на поддержку или достижение устойчивого развития, за следующими исключениями:</w:t>
      </w:r>
    </w:p>
    <w:p w:rsidR="00AE3533" w:rsidRDefault="00CB2BD1" w:rsidP="00AE3533">
      <w:proofErr w:type="gramStart"/>
      <w:r>
        <w:rPr>
          <w:lang w:val="en-US"/>
        </w:rPr>
        <w:t>a</w:t>
      </w:r>
      <w:proofErr w:type="gramEnd"/>
      <w:r w:rsidR="00AE3533">
        <w:t>. Потоки для действий, при которых ожидается существенное вредное воздействие на одну или несколько других целей.</w:t>
      </w:r>
    </w:p>
    <w:p w:rsidR="00AE3533" w:rsidRDefault="00CB2BD1" w:rsidP="00AE3533">
      <w:proofErr w:type="gramStart"/>
      <w:r>
        <w:rPr>
          <w:lang w:val="en-US"/>
        </w:rPr>
        <w:t>b</w:t>
      </w:r>
      <w:proofErr w:type="gramEnd"/>
      <w:r w:rsidR="00AE3533">
        <w:t>. Потоки, в которых страна-получатель после обсуждения с ответственным учреждением и/или страной, предоставившей отчетность, возражает против того, чтобы их характеризовали как поддерживающие ее устойчивое развитие.</w:t>
      </w:r>
    </w:p>
    <w:p w:rsidR="00AE3533" w:rsidRDefault="00AE3533" w:rsidP="00AE3533">
      <w:r>
        <w:t xml:space="preserve">2. Потоки или части потоков в рамках предложенных </w:t>
      </w:r>
      <w:r w:rsidR="00BD5350">
        <w:t>показателей</w:t>
      </w:r>
      <w:r>
        <w:t xml:space="preserve"> и </w:t>
      </w:r>
      <w:proofErr w:type="spellStart"/>
      <w:r>
        <w:t>подпоказателей</w:t>
      </w:r>
      <w:proofErr w:type="spellEnd"/>
      <w:r>
        <w:t>, детализированные ниже, по которым данные доступны только на агрегированном уровне по странам, также считаются поддерживающими устойчивое развитие, с учетом тех же</w:t>
      </w:r>
      <w:r w:rsidR="00CB2BD1">
        <w:t xml:space="preserve"> исключений, что и в пункте 1.</w:t>
      </w:r>
      <w:r w:rsidR="00CB2BD1">
        <w:rPr>
          <w:lang w:val="en-US"/>
        </w:rPr>
        <w:t>a</w:t>
      </w:r>
      <w:r>
        <w:t xml:space="preserve"> и 1.</w:t>
      </w:r>
      <w:r w:rsidR="00CB2BD1">
        <w:rPr>
          <w:lang w:val="en-US"/>
        </w:rPr>
        <w:t>b</w:t>
      </w:r>
      <w:r>
        <w:t>.</w:t>
      </w:r>
    </w:p>
    <w:p w:rsidR="0030204B" w:rsidRPr="00AE3533" w:rsidRDefault="00AE3533" w:rsidP="0030204B">
      <w:r>
        <w:lastRenderedPageBreak/>
        <w:t xml:space="preserve">Обратите внимание, что некоторые </w:t>
      </w:r>
      <w:proofErr w:type="spellStart"/>
      <w:r>
        <w:t>подпоказатели</w:t>
      </w:r>
      <w:proofErr w:type="spellEnd"/>
      <w:r>
        <w:t xml:space="preserve"> могут содержать смесь данных о потоках по конкретным видам деятельности и на совокупном уровне и, следовательно, требуют оценки по 1 и 2 соответственно. Также обратите внимание, что предлагаются дополнительные конкретные исключения, как подробно описано ниже, которые в некоторых случаях могут рассматриваться как усиливающие направленность предлагаемых показателей на устойчивое развитие развивающихся стран.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BD5350" w:rsidP="00BD5350">
      <w:r w:rsidRPr="00BD5350">
        <w:t>Доллар США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BD5350" w:rsidRPr="00BD5350" w:rsidRDefault="00BD5350" w:rsidP="00BD5350">
      <w:r w:rsidRPr="00BD5350">
        <w:t xml:space="preserve">Классификации TOSSD доступны по адресу: </w:t>
      </w:r>
      <w:hyperlink r:id="rId14" w:history="1">
        <w:r w:rsidR="004F5D51" w:rsidRPr="00B73A3C">
          <w:rPr>
            <w:rStyle w:val="ac"/>
          </w:rPr>
          <w:t>www.tossd.org/methodology</w:t>
        </w:r>
      </w:hyperlink>
      <w:r w:rsidR="004F5D51" w:rsidRPr="004F5D51">
        <w:t xml:space="preserve"> </w:t>
      </w:r>
      <w:r w:rsidRPr="00BD5350">
        <w:t>(см. «Списки кодов TOSSD»).</w:t>
      </w:r>
    </w:p>
    <w:p w:rsidR="000A229E" w:rsidRPr="00BD29EC" w:rsidRDefault="00BD5350" w:rsidP="00BD5350">
      <w:r w:rsidRPr="00BD5350">
        <w:t>Условия сотрудничества Юг-Юг, определенные в исходной концептуальной основе.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BD5350" w:rsidRPr="00BD29EC" w:rsidRDefault="00BD5350" w:rsidP="00BD5350">
      <w:r w:rsidRPr="00BD5350">
        <w:t xml:space="preserve">Существующие базы данных, созданные в ОЭСР и ЮНКТАД, будут служить источником данных. В ОЭСР это включает данные, собранные с помощью отчетов TOSSD, а также традиционных отчетов </w:t>
      </w:r>
      <w:r>
        <w:t>ОЭСР</w:t>
      </w:r>
      <w:r w:rsidRPr="00BD5350">
        <w:t>-</w:t>
      </w:r>
      <w:r>
        <w:t>КСР</w:t>
      </w:r>
      <w:r w:rsidRPr="00BD5350">
        <w:t>-</w:t>
      </w:r>
      <w:proofErr w:type="gramStart"/>
      <w:r w:rsidRPr="00BD5350">
        <w:t>CRS</w:t>
      </w:r>
      <w:proofErr w:type="gramEnd"/>
      <w:r w:rsidRPr="00BD5350">
        <w:t xml:space="preserve"> с некоторыми корректировками данных в соответствии с требованиями настоящего предложения. В ЮНКТАД это включает в себя существующие данные о прямых иностранных инвестициях и экспериментальные исследования по отчетности о сотрудничестве Юг-Юг.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357CA" w:rsidRPr="00BD5350" w:rsidRDefault="00BD5350" w:rsidP="00BD5350">
      <w:r w:rsidRPr="00BD5350">
        <w:t>ОЭСР: Представление данных странами в соответствии с согласованным</w:t>
      </w:r>
      <w:r w:rsidR="006357CA">
        <w:t xml:space="preserve"> содержанием и форматами. </w:t>
      </w:r>
      <w:proofErr w:type="gramStart"/>
      <w:r w:rsidR="006357CA">
        <w:t>См</w:t>
      </w:r>
      <w:proofErr w:type="gramEnd"/>
      <w:r w:rsidR="006357CA">
        <w:t>.:</w:t>
      </w:r>
    </w:p>
    <w:p w:rsidR="00BD5350" w:rsidRPr="00BD5350" w:rsidRDefault="00BD5350" w:rsidP="004F5D51">
      <w:pPr>
        <w:pStyle w:val="ab"/>
        <w:numPr>
          <w:ilvl w:val="0"/>
          <w:numId w:val="9"/>
        </w:numPr>
      </w:pPr>
      <w:r w:rsidRPr="00BD5350">
        <w:t xml:space="preserve">Инструкции по отчетности TOSSD, списки кодов и формы данных доступны по адресу: </w:t>
      </w:r>
      <w:hyperlink r:id="rId15" w:history="1">
        <w:r w:rsidR="004F5D51" w:rsidRPr="00B73A3C">
          <w:rPr>
            <w:rStyle w:val="ac"/>
          </w:rPr>
          <w:t>https://www.tossd.org/methodology</w:t>
        </w:r>
      </w:hyperlink>
      <w:r w:rsidRPr="00BD5350">
        <w:t>.</w:t>
      </w:r>
    </w:p>
    <w:p w:rsidR="00BD5350" w:rsidRPr="00BD5350" w:rsidRDefault="00BD5350" w:rsidP="004F5D51">
      <w:pPr>
        <w:pStyle w:val="ab"/>
        <w:numPr>
          <w:ilvl w:val="0"/>
          <w:numId w:val="9"/>
        </w:numPr>
      </w:pPr>
      <w:r w:rsidRPr="00BD5350">
        <w:t xml:space="preserve">Унифицированные директивы по статистической отчетности для Системы отчетности кредиторов (CRS) и ежегодного вопросника </w:t>
      </w:r>
      <w:r w:rsidR="00D446BF">
        <w:t>КСР</w:t>
      </w:r>
      <w:r w:rsidRPr="00BD5350">
        <w:t xml:space="preserve">, Рабочая группа </w:t>
      </w:r>
      <w:r w:rsidR="00D446BF">
        <w:t>КСР</w:t>
      </w:r>
      <w:r w:rsidRPr="00BD5350">
        <w:t xml:space="preserve"> по статистике финансирования развития, 20 апреля 2021 г., доступно по ссылке: </w:t>
      </w:r>
      <w:hyperlink r:id="rId16" w:history="1">
        <w:r w:rsidR="004F5D51" w:rsidRPr="00B73A3C">
          <w:rPr>
            <w:rStyle w:val="ac"/>
          </w:rPr>
          <w:t>https://one.oecd.org/document/DCD/DAC/STAT(2020)44/FINAL/en/pdf</w:t>
        </w:r>
      </w:hyperlink>
    </w:p>
    <w:p w:rsidR="00BD5350" w:rsidRPr="00BD5350" w:rsidRDefault="00BD5350" w:rsidP="00BD5350">
      <w:r w:rsidRPr="00BD5350">
        <w:t>ЮНКТАД:</w:t>
      </w:r>
    </w:p>
    <w:p w:rsidR="00BD5350" w:rsidRPr="00BD5350" w:rsidRDefault="00BD5350" w:rsidP="004F5D51">
      <w:pPr>
        <w:pStyle w:val="ab"/>
        <w:numPr>
          <w:ilvl w:val="0"/>
          <w:numId w:val="10"/>
        </w:numPr>
      </w:pPr>
      <w:r w:rsidRPr="00BD5350">
        <w:t>Предоставление данных странами в соответствии с форматом отчетности о сотрудничестве Юг-Юг, которое будет опробовано и полностью разработано. См. приложение: Итоговый документ подгруппы по сотрудничеству Юг-Юг, сентябрь 2021 г. (ссылка будет предоставлена позже)</w:t>
      </w:r>
    </w:p>
    <w:p w:rsidR="00BD5350" w:rsidRPr="00BD29EC" w:rsidRDefault="00BD5350" w:rsidP="004F5D51">
      <w:pPr>
        <w:pStyle w:val="ab"/>
        <w:numPr>
          <w:ilvl w:val="0"/>
          <w:numId w:val="10"/>
        </w:numPr>
      </w:pPr>
      <w:r w:rsidRPr="00BD5350">
        <w:t xml:space="preserve">Учебное пособие ЮНКТАД по статистике ПИИ и операций ТНК – Том I «Потоки и запасы ПИИ», ЮНКТАД, 2009 г., доступно по адресу: </w:t>
      </w:r>
      <w:hyperlink r:id="rId17" w:history="1">
        <w:r w:rsidR="004F5D51" w:rsidRPr="00B73A3C">
          <w:rPr>
            <w:rStyle w:val="ac"/>
          </w:rPr>
          <w:t>https://unctad.org/system/files/official-document/diaeia20091_en.pdf</w:t>
        </w:r>
      </w:hyperlink>
      <w:r w:rsidRPr="00BD5350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D2A25" w:rsidRPr="00BD29EC" w:rsidRDefault="00CD2A25" w:rsidP="00CD2A25">
      <w:r w:rsidRPr="00CD2A25">
        <w:t xml:space="preserve">Сбор данных TOSSD и </w:t>
      </w:r>
      <w:r>
        <w:t>ОЭСР-КСР</w:t>
      </w:r>
      <w:r w:rsidRPr="00CD2A25">
        <w:t>-</w:t>
      </w:r>
      <w:proofErr w:type="gramStart"/>
      <w:r w:rsidRPr="00CD2A25">
        <w:t>CRS</w:t>
      </w:r>
      <w:proofErr w:type="gramEnd"/>
      <w:r w:rsidRPr="00CD2A25">
        <w:t xml:space="preserve"> по </w:t>
      </w:r>
      <w:r>
        <w:t>ГОДУ</w:t>
      </w:r>
      <w:r w:rsidRPr="00CD2A25">
        <w:t xml:space="preserve"> N начинается в апреле года N+1 и завершается к декабрю года N+1.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24566" w:rsidRPr="00BD29EC" w:rsidRDefault="00724566" w:rsidP="00724566">
      <w:r w:rsidRPr="00724566">
        <w:t xml:space="preserve">Данные TOSSD и </w:t>
      </w:r>
      <w:r>
        <w:t>ОЭСР-КСР</w:t>
      </w:r>
      <w:r w:rsidRPr="00CD2A25">
        <w:t>-</w:t>
      </w:r>
      <w:proofErr w:type="gramStart"/>
      <w:r w:rsidRPr="00CD2A25">
        <w:t>CRS</w:t>
      </w:r>
      <w:proofErr w:type="gramEnd"/>
      <w:r w:rsidRPr="00CD2A25">
        <w:t xml:space="preserve"> </w:t>
      </w:r>
      <w:r>
        <w:t xml:space="preserve"> </w:t>
      </w:r>
      <w:r w:rsidRPr="00724566">
        <w:t xml:space="preserve">за </w:t>
      </w:r>
      <w:r>
        <w:t>ГОД</w:t>
      </w:r>
      <w:r w:rsidRPr="00724566">
        <w:t xml:space="preserve"> N публикуются в декабре года N+1.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24AB1" w:rsidRPr="00A71EC6" w:rsidRDefault="00524AB1" w:rsidP="00524AB1">
      <w:r w:rsidRPr="00524AB1">
        <w:t>Национальные агентства по сотрудничеству в целях развития, национальные министерства, национальные статистические управления, учреждения по финансированию развития, многосторонние учреждения, благотворительные фонды и центральные банки.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24AB1" w:rsidRPr="00BD29EC" w:rsidRDefault="00524AB1" w:rsidP="00524AB1">
      <w:r w:rsidRPr="00524AB1">
        <w:t>Национальные агентства по сотрудничеству в целях развития, национальные министерства, национальные статистические управления, многосторонние учреждения и центральные банки</w:t>
      </w:r>
      <w:r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524AB1" w:rsidP="00524AB1">
      <w:r w:rsidRPr="00524AB1">
        <w:t>Соглашение о членстве стран с ОЭСР, ЮНКТАД и Организацией Объединенных Наций.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524AB1" w:rsidP="00524AB1">
      <w:r>
        <w:t xml:space="preserve">Показатель </w:t>
      </w:r>
      <w:r w:rsidRPr="00524AB1">
        <w:t xml:space="preserve"> измеряет дополнительные финансовые ресурсы для развивающихся стран из различных источников. Он полностью соответствует </w:t>
      </w:r>
      <w:proofErr w:type="spellStart"/>
      <w:r w:rsidRPr="00524AB1">
        <w:t>Аддис-Абебской</w:t>
      </w:r>
      <w:proofErr w:type="spellEnd"/>
      <w:r w:rsidRPr="00524AB1">
        <w:t xml:space="preserve"> программе действий, выделяя потоки разной природы и </w:t>
      </w:r>
      <w:proofErr w:type="spellStart"/>
      <w:r w:rsidRPr="00524AB1">
        <w:t>концессионности</w:t>
      </w:r>
      <w:proofErr w:type="spellEnd"/>
      <w:r w:rsidRPr="00524AB1">
        <w:t>, которые по-разному влияют на развитие, тем самым обеспечивая прозрачность. Это соответствует точке зрения получателя, и все данные представляют собой новые потоки финансирования в развивающиеся страны. Он основан на существующей работе, в частности на стандартных наборах данных ОЭСР и ЮНКТАД, а также на работе Целевой группы TOSSD по измерению общей официальной поддержки устойчивого развития (TOSSD). Он опирается на первоначальную концептуальную основу сотрудничества Юг-Юг, позволяющую представлять отчетность странам, практикующим сотрудничество Юг-Юг.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524AB1" w:rsidRPr="00524AB1" w:rsidRDefault="00524AB1" w:rsidP="00524AB1">
      <w:r w:rsidRPr="00524AB1">
        <w:t xml:space="preserve">Показатель является выполнимым, </w:t>
      </w:r>
      <w:r w:rsidR="00BD707D" w:rsidRPr="00524AB1">
        <w:t>п</w:t>
      </w:r>
      <w:r w:rsidR="00BD707D">
        <w:t>риемлемым</w:t>
      </w:r>
      <w:r w:rsidRPr="00524AB1">
        <w:t xml:space="preserve"> и релевантным. </w:t>
      </w:r>
    </w:p>
    <w:p w:rsidR="00524AB1" w:rsidRPr="00851CC5" w:rsidRDefault="00524AB1" w:rsidP="00851CC5">
      <w:pPr>
        <w:spacing w:after="120"/>
      </w:pPr>
      <w:r w:rsidRPr="00524AB1">
        <w:t xml:space="preserve">Некоторые поставщики будут отчитываться по </w:t>
      </w:r>
      <w:proofErr w:type="spellStart"/>
      <w:r w:rsidRPr="00524AB1">
        <w:t>суб</w:t>
      </w:r>
      <w:r>
        <w:t>показателям</w:t>
      </w:r>
      <w:proofErr w:type="spellEnd"/>
      <w:r w:rsidRPr="00524AB1">
        <w:t xml:space="preserve"> 17.3.1.a, 17.3.1.b и 17.3.1.c перед ОЭСР, в то время как некоторые поставщики будут отчитываться по этим </w:t>
      </w:r>
      <w:proofErr w:type="spellStart"/>
      <w:r w:rsidRPr="00524AB1">
        <w:t>суб</w:t>
      </w:r>
      <w:r>
        <w:t>показателям</w:t>
      </w:r>
      <w:proofErr w:type="spellEnd"/>
      <w:r w:rsidRPr="00524AB1">
        <w:t xml:space="preserve"> перед ЮНКТАД в соответствии с согласованными концептуальными рамками сотрудничества Юг-Юг, разработанными подг</w:t>
      </w:r>
      <w:r w:rsidR="00851CC5">
        <w:t>руппой по сотрудничеству Юг-Юг.</w:t>
      </w:r>
    </w:p>
    <w:p w:rsidR="00524AB1" w:rsidRDefault="00BD707D" w:rsidP="00524AB1">
      <w:proofErr w:type="spellStart"/>
      <w:r>
        <w:lastRenderedPageBreak/>
        <w:t>Под</w:t>
      </w:r>
      <w:r w:rsidR="00524AB1">
        <w:t>показатель</w:t>
      </w:r>
      <w:proofErr w:type="spellEnd"/>
      <w:r w:rsidR="00524AB1" w:rsidRPr="00524AB1">
        <w:t xml:space="preserve"> 17.3.1.d (ПИИ) представляется ЮНКТАД получателями в соответствии с действующими процедурами отчетности.</w:t>
      </w:r>
    </w:p>
    <w:p w:rsidR="00524AB1" w:rsidRDefault="00524AB1" w:rsidP="00524AB1">
      <w:r>
        <w:t>Некоторые многосторонние и двусторонние поставщик</w:t>
      </w:r>
      <w:r w:rsidR="00BD707D">
        <w:t xml:space="preserve">и отчитываются перед ОЭСР по </w:t>
      </w:r>
      <w:proofErr w:type="spellStart"/>
      <w:r w:rsidR="00BD707D">
        <w:t>под</w:t>
      </w:r>
      <w:r>
        <w:t>показателю</w:t>
      </w:r>
      <w:proofErr w:type="spellEnd"/>
      <w:r>
        <w:t xml:space="preserve"> 17.3.1.e о привлечении частного финансирования. Мобилизованное частное финансирование не является частью концептуальных рамок сотрудничества Юг-Юг. Некоторые поставщики, участвующие в этой форме финансирования развития, могут обратиться в ЮНКТАД по поводу экспериментального тестирования и дальнейшей разработки этого показателя для более широкого и глобального применения. </w:t>
      </w:r>
    </w:p>
    <w:p w:rsidR="00524AB1" w:rsidRDefault="00524AB1" w:rsidP="00524AB1">
      <w:r>
        <w:t>Некоторые страны представят ОЭСР отчет по пункту 17.3.1.f. Частные гранты не являются частью концептуальных рамок сотрудничества Юг-Юг. Некоторые поставщики могут сообщать о частных грантах ЮНКТАД на добровольной основе в рамках экспериментального мероприятия.</w:t>
      </w:r>
    </w:p>
    <w:p w:rsidR="00524AB1" w:rsidRDefault="00524AB1" w:rsidP="00524AB1">
      <w:r>
        <w:t>ЮНКТАД и ОЭСР в качестве соучредителей обязались обеспечить отсутствие дублирования в глобальной отчетности по этому показателю в тех случаях, когда страны или многосторонние организации предоставляют свою информацию обеим организациям.</w:t>
      </w:r>
    </w:p>
    <w:p w:rsidR="00524AB1" w:rsidRPr="00BD29EC" w:rsidRDefault="00524AB1" w:rsidP="00524AB1">
      <w:r w:rsidRPr="00524AB1">
        <w:t>Показатель не включает облегчение долгового бремени, расходы доноров на беженцев, административные расходы, не выделяемые на конкретные мероприятия в области развития, или расходы на поддержание мира и безопасности, отличные от тех, которые учитываются в качестве официальной помощи в целях развития (</w:t>
      </w:r>
      <w:proofErr w:type="gramStart"/>
      <w:r w:rsidRPr="00524AB1">
        <w:t>ОПР</w:t>
      </w:r>
      <w:proofErr w:type="gramEnd"/>
      <w:r w:rsidRPr="00524AB1">
        <w:t>). Кроме того, он не включает частные безвозмездные займы; портфельные инвестиции; экспортные кредиты, будь то официальные, с официальной поддержкой или частные; краткосрочные потоки с первоначальным сроком погашения 1 год или менее; или любые другие потоки, которые не</w:t>
      </w:r>
      <w:r w:rsidR="00C819BE">
        <w:t xml:space="preserve"> входят в сферу </w:t>
      </w:r>
      <w:proofErr w:type="gramStart"/>
      <w:r w:rsidR="00C819BE">
        <w:t>предлагаемых</w:t>
      </w:r>
      <w:proofErr w:type="gramEnd"/>
      <w:r w:rsidR="00C819BE">
        <w:t xml:space="preserve"> </w:t>
      </w:r>
      <w:proofErr w:type="spellStart"/>
      <w:r w:rsidR="00C819BE">
        <w:t>под</w:t>
      </w:r>
      <w:r>
        <w:t>показателей</w:t>
      </w:r>
      <w:proofErr w:type="spellEnd"/>
      <w:r w:rsidRPr="00524AB1">
        <w:t xml:space="preserve">.  Эти исключения акцентируют внимание показателя на передаче новых ресурсов развивающимся странам в целях устойчивого развития, </w:t>
      </w:r>
      <w:proofErr w:type="gramStart"/>
      <w:r w:rsidRPr="00524AB1">
        <w:t>исключая</w:t>
      </w:r>
      <w:proofErr w:type="gramEnd"/>
      <w:r w:rsidRPr="00524AB1">
        <w:t xml:space="preserve"> </w:t>
      </w:r>
      <w:proofErr w:type="gramStart"/>
      <w:r w:rsidRPr="00524AB1">
        <w:t>при</w:t>
      </w:r>
      <w:proofErr w:type="gramEnd"/>
      <w:r w:rsidRPr="00524AB1">
        <w:t xml:space="preserve"> этом потоки, приводящие к возникновению задолженности по коммерческим соображениям. Несмотря на широкую поддержку всех исключений в ходе обсуждений в Рабочей группе и открытых консультаций, и хотя было относительно мало возражений против конкретных исключений, некоторые страны, тем не менее, считают, что все исключения должны быть пересмотрены в контексте обзора 2025 года.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470ED" w:rsidRPr="00793F8F" w:rsidRDefault="00E470ED" w:rsidP="00E470ED">
      <w:r w:rsidRPr="00E470ED">
        <w:t xml:space="preserve">В то время как </w:t>
      </w:r>
      <w:proofErr w:type="spellStart"/>
      <w:r w:rsidRPr="00E470ED">
        <w:t>подпоказатели</w:t>
      </w:r>
      <w:proofErr w:type="spellEnd"/>
      <w:r w:rsidRPr="00E470ED">
        <w:t xml:space="preserve"> </w:t>
      </w:r>
      <w:r w:rsidR="00C819BE">
        <w:t>отражают</w:t>
      </w:r>
      <w:r w:rsidRPr="00E470ED">
        <w:t xml:space="preserve"> точк</w:t>
      </w:r>
      <w:r w:rsidR="00C819BE">
        <w:t>у</w:t>
      </w:r>
      <w:r w:rsidRPr="00E470ED">
        <w:t xml:space="preserve"> зрения получателя, данные по всем предлагаемым </w:t>
      </w:r>
      <w:proofErr w:type="spellStart"/>
      <w:r w:rsidRPr="00E470ED">
        <w:t>подпоказателям</w:t>
      </w:r>
      <w:proofErr w:type="spellEnd"/>
      <w:r w:rsidRPr="00E470ED">
        <w:t>, за исключением прямых иностранных инвестиций, подлежат отчетности поставщиками и впоследствии агрегируются по получателям. Прямые иностранные инвестиции указаны по сообщениям получателей.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E470ED" w:rsidRDefault="00E470ED" w:rsidP="00E470ED">
      <w:r w:rsidRPr="00E470ED">
        <w:t xml:space="preserve">В ОЭСР и ЮНКТАД внедрены обширные процедуры проверки и обеспечения качества, которые дорабатываются. Потоки, в которых страна-получатель после обсуждения с депозитарным агентством и/или страной, предоставившей отчетность, возражает против того, чтобы их характеризовали как поддерживающие ее устойчивое развитие, могут быть </w:t>
      </w:r>
      <w:r w:rsidRPr="00E470ED">
        <w:lastRenderedPageBreak/>
        <w:t xml:space="preserve">исключены. </w:t>
      </w:r>
      <w:proofErr w:type="spellStart"/>
      <w:r w:rsidR="00C819BE">
        <w:t>Агенствам</w:t>
      </w:r>
      <w:proofErr w:type="spellEnd"/>
      <w:r w:rsidRPr="00E470ED">
        <w:t>-</w:t>
      </w:r>
      <w:r>
        <w:t>кураторам</w:t>
      </w:r>
      <w:r w:rsidRPr="00E470ED">
        <w:t xml:space="preserve"> предлагается создать механизмы проверки на основе критериев устойчивого развития, применяемых для этого показателя, которые должным образом поддержат интересы стран-получателей.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793F8F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B351A1" w:rsidRPr="00793F8F" w:rsidRDefault="00B351A1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BD29EC" w:rsidRDefault="00E470ED" w:rsidP="00E470ED">
      <w:r>
        <w:t>Не применимо</w:t>
      </w:r>
      <w:r w:rsidRPr="00BD29EC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E470ED" w:rsidP="00E470ED">
      <w:r w:rsidRPr="00E470ED">
        <w:t>Суммирование стоимости долларов США по странам определенного региона, если применимо.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470ED" w:rsidRPr="00E470ED" w:rsidRDefault="00E470ED" w:rsidP="00B351A1">
      <w:pPr>
        <w:spacing w:after="120"/>
      </w:pPr>
      <w:proofErr w:type="gramStart"/>
      <w:r>
        <w:t>См</w:t>
      </w:r>
      <w:proofErr w:type="gramEnd"/>
      <w:r>
        <w:t>.:</w:t>
      </w:r>
    </w:p>
    <w:p w:rsidR="00E470ED" w:rsidRPr="00E470ED" w:rsidRDefault="00E470ED" w:rsidP="00B351A1">
      <w:pPr>
        <w:pStyle w:val="ab"/>
        <w:numPr>
          <w:ilvl w:val="0"/>
          <w:numId w:val="11"/>
        </w:numPr>
      </w:pPr>
      <w:r w:rsidRPr="00E470ED">
        <w:t xml:space="preserve">Методология TOSSD, включая инструкции по отчетности, списки кодов и форму для сбора данных: </w:t>
      </w:r>
      <w:hyperlink r:id="rId18" w:history="1">
        <w:r w:rsidR="00B351A1" w:rsidRPr="00B73A3C">
          <w:rPr>
            <w:rStyle w:val="ac"/>
          </w:rPr>
          <w:t>https://www.tossd.org/methodology</w:t>
        </w:r>
      </w:hyperlink>
    </w:p>
    <w:p w:rsidR="00E470ED" w:rsidRPr="00E470ED" w:rsidRDefault="00E470ED" w:rsidP="00B351A1">
      <w:pPr>
        <w:pStyle w:val="ab"/>
        <w:numPr>
          <w:ilvl w:val="0"/>
          <w:numId w:val="11"/>
        </w:numPr>
      </w:pPr>
      <w:r w:rsidRPr="00E470ED">
        <w:t xml:space="preserve">Директивы по сводной статистической отчетности для Системы отчетности кредиторов (CRS) и ежегодного вопросника </w:t>
      </w:r>
      <w:r>
        <w:t>КСР</w:t>
      </w:r>
      <w:r w:rsidRPr="00E470ED">
        <w:t xml:space="preserve">, Рабочая группа КСР по статистике финансирования развития, 20 апреля 2021 г., доступно по адресу </w:t>
      </w:r>
      <w:hyperlink r:id="rId19" w:history="1">
        <w:r w:rsidRPr="00910143">
          <w:rPr>
            <w:rStyle w:val="ac"/>
          </w:rPr>
          <w:t>https://one.oecd.org/document/DCD/DAC/STAT(2020)44/FINAL/en/pdf</w:t>
        </w:r>
      </w:hyperlink>
    </w:p>
    <w:p w:rsidR="00E470ED" w:rsidRPr="00E470ED" w:rsidRDefault="00E470ED" w:rsidP="00B351A1">
      <w:pPr>
        <w:pStyle w:val="ab"/>
        <w:numPr>
          <w:ilvl w:val="0"/>
          <w:numId w:val="11"/>
        </w:numPr>
      </w:pPr>
      <w:r w:rsidRPr="00E470ED">
        <w:t>Итоговый документ подгруппы по сотрудничеству Юг-Юг, сентябрь 2021 г. (прилагается, ссылка будет предоставлена позже)</w:t>
      </w:r>
      <w:r>
        <w:t xml:space="preserve"> </w:t>
      </w:r>
    </w:p>
    <w:p w:rsidR="00E470ED" w:rsidRPr="00BD29EC" w:rsidRDefault="00E470ED" w:rsidP="00B351A1">
      <w:pPr>
        <w:pStyle w:val="ab"/>
        <w:numPr>
          <w:ilvl w:val="0"/>
          <w:numId w:val="11"/>
        </w:numPr>
      </w:pPr>
      <w:r w:rsidRPr="00E470ED">
        <w:t xml:space="preserve">Учебное пособие ЮНКТАД по статистике ПИИ и операций ТНК – Том I Потоки и запасы ПИИ, ЮНКТАД, 2009 г., доступно по адресу: </w:t>
      </w:r>
      <w:hyperlink r:id="rId20" w:history="1">
        <w:r w:rsidR="00B351A1" w:rsidRPr="00B73A3C">
          <w:rPr>
            <w:rStyle w:val="ac"/>
          </w:rPr>
          <w:t>https://unctad.org/system/files/official-document/diaeia20091_en.pdf</w:t>
        </w:r>
      </w:hyperlink>
      <w:r w:rsidR="00B351A1" w:rsidRPr="00B351A1">
        <w:t>.</w:t>
      </w:r>
    </w:p>
    <w:p w:rsidR="00E470E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E470ED" w:rsidRPr="00F8365F" w:rsidRDefault="00E470ED" w:rsidP="00B351A1">
      <w:pPr>
        <w:spacing w:after="120"/>
        <w:rPr>
          <w:lang w:val="en-US"/>
        </w:rPr>
      </w:pPr>
      <w:r w:rsidRPr="00E470ED">
        <w:t xml:space="preserve">Система обеспечения качества статистики ЮНКТАД (SQAF), см. </w:t>
      </w:r>
      <w:hyperlink r:id="rId21" w:history="1">
        <w:r w:rsidRPr="00F8365F">
          <w:rPr>
            <w:rStyle w:val="ac"/>
            <w:lang w:val="en-US"/>
          </w:rPr>
          <w:t>https://unctad.org/webflyer/statistics-quality-assurance-framework</w:t>
        </w:r>
      </w:hyperlink>
    </w:p>
    <w:p w:rsidR="00E470ED" w:rsidRPr="00F8365F" w:rsidRDefault="00AF55B6" w:rsidP="00B351A1">
      <w:pPr>
        <w:spacing w:after="120"/>
        <w:rPr>
          <w:lang w:val="en-US"/>
        </w:rPr>
      </w:pPr>
      <w:hyperlink r:id="rId22" w:history="1">
        <w:r w:rsidR="00E470ED" w:rsidRPr="00F8365F">
          <w:rPr>
            <w:rStyle w:val="ac"/>
            <w:lang w:val="en-US"/>
          </w:rPr>
          <w:t>United Nations Quality Assurance Framework</w:t>
        </w:r>
      </w:hyperlink>
      <w:r w:rsidR="00E470ED" w:rsidRPr="00F8365F">
        <w:rPr>
          <w:lang w:val="en-US"/>
        </w:rPr>
        <w:t xml:space="preserve">; </w:t>
      </w:r>
    </w:p>
    <w:p w:rsidR="002E15F9" w:rsidRDefault="00AF55B6" w:rsidP="00E470ED">
      <w:pPr>
        <w:rPr>
          <w:rStyle w:val="ac"/>
          <w:lang w:val="en-US"/>
        </w:rPr>
      </w:pPr>
      <w:hyperlink r:id="rId23" w:history="1">
        <w:r w:rsidR="00E470ED" w:rsidRPr="00F8365F">
          <w:rPr>
            <w:rStyle w:val="ac"/>
            <w:lang w:val="en-US"/>
          </w:rPr>
          <w:t>Quality Framework for OECD Statistical Activities</w:t>
        </w:r>
      </w:hyperlink>
    </w:p>
    <w:p w:rsidR="00B351A1" w:rsidRPr="00B351A1" w:rsidRDefault="00B351A1" w:rsidP="00E470ED">
      <w:pPr>
        <w:rPr>
          <w:rFonts w:eastAsia="Times New Roman" w:cs="Times New Roman"/>
          <w:lang w:val="en-US" w:eastAsia="en-GB"/>
        </w:rPr>
      </w:pPr>
    </w:p>
    <w:p w:rsidR="00E470E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E470ED" w:rsidRDefault="00E470ED" w:rsidP="00E470ED">
      <w:pPr>
        <w:rPr>
          <w:rFonts w:eastAsia="Times New Roman" w:cs="Times New Roman"/>
          <w:b/>
          <w:lang w:eastAsia="en-GB"/>
        </w:rPr>
      </w:pPr>
      <w:r w:rsidRPr="00E470ED">
        <w:t>Применяются лучшие практики.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E470ED" w:rsidRPr="00BD29EC" w:rsidRDefault="00E470ED" w:rsidP="00E470ED">
      <w:r w:rsidRPr="00E470ED">
        <w:t>Применяются лучшие практики.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F10F0A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E470ED" w:rsidRPr="00E470ED" w:rsidRDefault="00E470ED" w:rsidP="008F0D37">
      <w:pPr>
        <w:spacing w:after="120"/>
      </w:pPr>
      <w:r w:rsidRPr="00E470ED">
        <w:t xml:space="preserve">Существующие базы данных, созданные в ОЭСР и ЮНКТАД, будут служить источником данных. В ОЭСР это включает данные, собранные с помощью отчетов TOSSD, а также традиционных отчетов </w:t>
      </w:r>
      <w:r>
        <w:t>ОЭСР-КСР</w:t>
      </w:r>
      <w:r w:rsidRPr="00E470ED">
        <w:t>-</w:t>
      </w:r>
      <w:proofErr w:type="gramStart"/>
      <w:r w:rsidRPr="00E470ED">
        <w:t>CRS</w:t>
      </w:r>
      <w:proofErr w:type="gramEnd"/>
      <w:r w:rsidRPr="00E470ED">
        <w:t xml:space="preserve">, при условии, что данные будут скорректированы в соответствии с требованиями этого предложения. Проводятся или планируются пилотные учения. При сборе пилотных данных ОЭСР смогла предоставить данные, применимые к </w:t>
      </w:r>
      <w:proofErr w:type="spellStart"/>
      <w:r w:rsidRPr="00E470ED">
        <w:t>подпоказателям</w:t>
      </w:r>
      <w:proofErr w:type="spellEnd"/>
      <w:r w:rsidRPr="00E470ED">
        <w:t xml:space="preserve"> a, b, c, e и f, для 140 стран, охватывающих все страны-получатели во всех регионах. В существующих базах данных ЮНКТАД содержатся данные о прямых иностранных инвестициях. Несколько стран, практикующих сотрудничество Юг-Юг, согласились на проведение экспериментальных исследований, а ЮНКТАД </w:t>
      </w:r>
      <w:proofErr w:type="gramStart"/>
      <w:r w:rsidRPr="00E470ED">
        <w:t>намерена</w:t>
      </w:r>
      <w:proofErr w:type="gramEnd"/>
      <w:r w:rsidRPr="00E470ED">
        <w:t xml:space="preserve"> оказывать поддержку другим в их отчетности.</w:t>
      </w:r>
    </w:p>
    <w:p w:rsidR="00E470ED" w:rsidRDefault="00E470ED" w:rsidP="00A24FE8">
      <w:pPr>
        <w:spacing w:after="120"/>
      </w:pPr>
      <w:r w:rsidRPr="00E470ED">
        <w:t>Мобилизованное частное финансирование должно охватывать и дезагрегироваться по потокам, происходящим из (i) стран с высоким уровнем дохода, (</w:t>
      </w:r>
      <w:proofErr w:type="spellStart"/>
      <w:r w:rsidRPr="00E470ED">
        <w:t>ii</w:t>
      </w:r>
      <w:proofErr w:type="spellEnd"/>
      <w:r w:rsidRPr="00E470ED">
        <w:t>) стран с низким и средним уровнем дохода и (</w:t>
      </w:r>
      <w:proofErr w:type="spellStart"/>
      <w:r w:rsidRPr="00E470ED">
        <w:t>iii</w:t>
      </w:r>
      <w:proofErr w:type="spellEnd"/>
      <w:r w:rsidRPr="00E470ED">
        <w:t>) нескольких/неизвестных стран, но должно исключать потоки, о которых известно, что они мобилизованы в странах-получателях.</w:t>
      </w:r>
    </w:p>
    <w:p w:rsidR="008F0D37" w:rsidRDefault="008F0D37" w:rsidP="00E470ED">
      <w:r w:rsidRPr="008F0D37">
        <w:t>Следующие стран</w:t>
      </w:r>
      <w:r w:rsidR="00AF55B6">
        <w:t>ы представили свои данные по под</w:t>
      </w:r>
      <w:bookmarkStart w:id="5" w:name="_GoBack"/>
      <w:bookmarkEnd w:id="5"/>
      <w:r w:rsidRPr="008F0D37">
        <w:t>показателям 17.3.1a, 17.3.1b, 17.3.1c, 17.3.1e и 17.3.1f: Австралия, Австрия, Бельгия, Канада, Хорватия, Кипр, Дания</w:t>
      </w:r>
      <w:r>
        <w:t xml:space="preserve">, Эстония, Финляндия, Франция. </w:t>
      </w:r>
      <w:r w:rsidRPr="008F0D37">
        <w:t>Греция, Венгрия, Исландия, Ирландия, Италия, Япония, Корея, Латвия, Лихтенштейн, Литва, Мальта, Монако, Новая Зеландия, Норвегия, Польша, Португалия, Румыния, Словацкая Республика, Словения, Испания, Швеция, Швейцария, Великобритания, и Соединенные Штаты. Обратите внимание, что все страны предоставляют поддержку в виде официальных грантов на устойчивое развитие, но лишь немногие предоставляют поддержку во всех упомянутых категориях. Кроме того, данные включают многосторонних поставщиков. Были оценены пробелы в данных, связанные с поставщиками, отчитывающимися в DAC ОЭСР (Система отчетности кредиторов), но не в TOSSD (т.е. для Чешской Республики, Европейского банка реконструкции и развития, Германии, льготных трастовых фондов МВФ, Люксембурга, Нидерландов и Всемирный банк).</w:t>
      </w:r>
    </w:p>
    <w:p w:rsidR="002E15F9" w:rsidRPr="00BD29EC" w:rsidRDefault="002E15F9" w:rsidP="00E470ED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A24FE8" w:rsidRDefault="00A24FE8" w:rsidP="0075371E">
      <w:pPr>
        <w:pStyle w:val="MText"/>
        <w:rPr>
          <w:color w:val="auto"/>
          <w:sz w:val="24"/>
          <w:szCs w:val="24"/>
          <w:lang w:val="ru-RU"/>
        </w:rPr>
      </w:pP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 xml:space="preserve">Межведомственная и экспертная группа по показателям достижения целей в области устойчивого развития: Рабочая группа по измерению поддержки развития, окончательный проект предложения по показателю для </w:t>
      </w:r>
      <w:r>
        <w:rPr>
          <w:color w:val="auto"/>
          <w:sz w:val="24"/>
          <w:szCs w:val="24"/>
          <w:lang w:val="ru-RU"/>
        </w:rPr>
        <w:t>задачи 17.3 ЦУР и ее отчетность</w:t>
      </w:r>
      <w:r w:rsidR="00E470ED" w:rsidRPr="00093A03">
        <w:rPr>
          <w:color w:val="auto"/>
          <w:sz w:val="24"/>
          <w:szCs w:val="24"/>
          <w:lang w:val="ru-RU"/>
        </w:rPr>
        <w:t xml:space="preserve">, (4 </w:t>
      </w:r>
      <w:r>
        <w:rPr>
          <w:color w:val="auto"/>
          <w:sz w:val="24"/>
          <w:szCs w:val="24"/>
          <w:lang w:val="ru-RU"/>
        </w:rPr>
        <w:t xml:space="preserve">Октября </w:t>
      </w:r>
      <w:r w:rsidR="00E470ED" w:rsidRPr="00093A03">
        <w:rPr>
          <w:color w:val="auto"/>
          <w:sz w:val="24"/>
          <w:szCs w:val="24"/>
          <w:lang w:val="ru-RU"/>
        </w:rPr>
        <w:t>2021).</w:t>
      </w:r>
    </w:p>
    <w:p w:rsidR="00093A03" w:rsidRPr="00F8365F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F8365F">
        <w:rPr>
          <w:color w:val="auto"/>
          <w:sz w:val="24"/>
          <w:szCs w:val="24"/>
          <w:lang w:val="ru-RU"/>
        </w:rPr>
        <w:t>Итоговый документ подгруппы по сотрудничеству Юг-Юг, сентябрь 2021 г.</w:t>
      </w:r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rStyle w:val="ac"/>
          <w:color w:val="auto"/>
          <w:sz w:val="24"/>
          <w:szCs w:val="24"/>
          <w:u w:val="none"/>
          <w:lang w:val="ru-RU"/>
        </w:rPr>
      </w:pPr>
      <w:r w:rsidRPr="00093A03">
        <w:rPr>
          <w:color w:val="auto"/>
          <w:sz w:val="24"/>
          <w:szCs w:val="24"/>
          <w:lang w:val="ru-RU"/>
        </w:rPr>
        <w:t xml:space="preserve">Методология </w:t>
      </w:r>
      <w:r w:rsidRPr="00093A03">
        <w:rPr>
          <w:color w:val="auto"/>
          <w:sz w:val="24"/>
          <w:szCs w:val="24"/>
        </w:rPr>
        <w:t>TOSSD</w:t>
      </w:r>
      <w:r w:rsidRPr="00093A03">
        <w:rPr>
          <w:color w:val="auto"/>
          <w:sz w:val="24"/>
          <w:szCs w:val="24"/>
          <w:lang w:val="ru-RU"/>
        </w:rPr>
        <w:t>, включая инструкции по отчетности, сп</w:t>
      </w:r>
      <w:r>
        <w:rPr>
          <w:color w:val="auto"/>
          <w:sz w:val="24"/>
          <w:szCs w:val="24"/>
          <w:lang w:val="ru-RU"/>
        </w:rPr>
        <w:t>иски кодов и форму сбора данных</w:t>
      </w:r>
      <w:r w:rsidR="00E470ED" w:rsidRPr="00093A03">
        <w:rPr>
          <w:color w:val="auto"/>
          <w:sz w:val="24"/>
          <w:szCs w:val="24"/>
          <w:lang w:val="ru-RU"/>
        </w:rPr>
        <w:t xml:space="preserve">: </w:t>
      </w:r>
      <w:hyperlink r:id="rId24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www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tossd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methodology</w:t>
        </w:r>
      </w:hyperlink>
      <w:r w:rsidR="00E470ED" w:rsidRPr="00093A03">
        <w:rPr>
          <w:color w:val="auto"/>
          <w:sz w:val="24"/>
          <w:szCs w:val="24"/>
          <w:lang w:val="ru-RU"/>
        </w:rPr>
        <w:t xml:space="preserve"> </w:t>
      </w:r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>Директивы по объединенной статистической отчетности для Системы отчетности кредиторов (</w:t>
      </w:r>
      <w:r w:rsidRPr="00093A03">
        <w:rPr>
          <w:color w:val="auto"/>
          <w:sz w:val="24"/>
          <w:szCs w:val="24"/>
        </w:rPr>
        <w:t>CRS</w:t>
      </w:r>
      <w:r w:rsidRPr="00093A03">
        <w:rPr>
          <w:color w:val="auto"/>
          <w:sz w:val="24"/>
          <w:szCs w:val="24"/>
          <w:lang w:val="ru-RU"/>
        </w:rPr>
        <w:t xml:space="preserve">) и ежегодного вопросника </w:t>
      </w:r>
      <w:r w:rsidRPr="00093A03">
        <w:rPr>
          <w:color w:val="auto"/>
          <w:sz w:val="24"/>
          <w:szCs w:val="24"/>
        </w:rPr>
        <w:t>DAC</w:t>
      </w:r>
      <w:r w:rsidRPr="00093A03">
        <w:rPr>
          <w:color w:val="auto"/>
          <w:sz w:val="24"/>
          <w:szCs w:val="24"/>
          <w:lang w:val="ru-RU"/>
        </w:rPr>
        <w:t xml:space="preserve">, Рабочая группа </w:t>
      </w:r>
      <w:r>
        <w:rPr>
          <w:color w:val="auto"/>
          <w:sz w:val="24"/>
          <w:szCs w:val="24"/>
          <w:lang w:val="ru-RU"/>
        </w:rPr>
        <w:t>КСР</w:t>
      </w:r>
      <w:r w:rsidRPr="00093A03">
        <w:rPr>
          <w:color w:val="auto"/>
          <w:sz w:val="24"/>
          <w:szCs w:val="24"/>
          <w:lang w:val="ru-RU"/>
        </w:rPr>
        <w:t xml:space="preserve"> по </w:t>
      </w:r>
      <w:r w:rsidRPr="00093A03">
        <w:rPr>
          <w:color w:val="auto"/>
          <w:sz w:val="24"/>
          <w:szCs w:val="24"/>
          <w:lang w:val="ru-RU"/>
        </w:rPr>
        <w:lastRenderedPageBreak/>
        <w:t xml:space="preserve">статистике финансирования развития, 20 апреля 2021 г., доступно по адресу </w:t>
      </w:r>
      <w:hyperlink r:id="rId25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one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oecd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document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DCD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DAC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STAT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(2020)44/</w:t>
        </w:r>
        <w:r w:rsidR="00E470ED" w:rsidRPr="00E470ED">
          <w:rPr>
            <w:rStyle w:val="ac"/>
            <w:color w:val="auto"/>
            <w:sz w:val="24"/>
            <w:szCs w:val="24"/>
          </w:rPr>
          <w:t>FINAL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en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pdf</w:t>
        </w:r>
      </w:hyperlink>
      <w:r w:rsidR="00E470ED" w:rsidRPr="00093A03">
        <w:rPr>
          <w:color w:val="auto"/>
          <w:sz w:val="24"/>
          <w:szCs w:val="24"/>
          <w:lang w:val="ru-RU"/>
        </w:rPr>
        <w:t xml:space="preserve"> </w:t>
      </w:r>
    </w:p>
    <w:p w:rsidR="00E470ED" w:rsidRPr="00E470ED" w:rsidRDefault="00093A03" w:rsidP="00E470ED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Ссылки на данные:</w:t>
      </w:r>
    </w:p>
    <w:p w:rsidR="00E470ED" w:rsidRPr="00093A03" w:rsidRDefault="00093A03" w:rsidP="00093A03">
      <w:pPr>
        <w:pStyle w:val="MText"/>
        <w:numPr>
          <w:ilvl w:val="1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 xml:space="preserve">Инструмент визуализации </w:t>
      </w:r>
      <w:r w:rsidRPr="00093A03">
        <w:rPr>
          <w:color w:val="auto"/>
          <w:sz w:val="24"/>
          <w:szCs w:val="24"/>
        </w:rPr>
        <w:t>TOSSD</w:t>
      </w:r>
      <w:r w:rsidR="00E470ED" w:rsidRPr="00093A03">
        <w:rPr>
          <w:color w:val="auto"/>
          <w:sz w:val="24"/>
          <w:szCs w:val="24"/>
          <w:lang w:val="ru-RU"/>
        </w:rPr>
        <w:t xml:space="preserve"> - </w:t>
      </w:r>
      <w:hyperlink r:id="rId26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tossd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online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</w:hyperlink>
    </w:p>
    <w:p w:rsidR="00E470ED" w:rsidRPr="00093A03" w:rsidRDefault="00093A03" w:rsidP="00093A03">
      <w:pPr>
        <w:pStyle w:val="MText"/>
        <w:numPr>
          <w:ilvl w:val="1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>Данные по финансированию развития – ОЭСР</w:t>
      </w:r>
      <w:r w:rsidR="00E470ED" w:rsidRPr="00093A03">
        <w:rPr>
          <w:color w:val="auto"/>
          <w:sz w:val="24"/>
          <w:szCs w:val="24"/>
          <w:lang w:val="ru-RU"/>
        </w:rPr>
        <w:t xml:space="preserve"> - </w:t>
      </w:r>
      <w:hyperlink r:id="rId27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www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oecd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dac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financing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sustainable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development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development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finance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data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</w:hyperlink>
    </w:p>
    <w:p w:rsidR="00E470ED" w:rsidRPr="00093A03" w:rsidRDefault="00093A03" w:rsidP="00093A03">
      <w:pPr>
        <w:pStyle w:val="MText"/>
        <w:numPr>
          <w:ilvl w:val="1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>Инвестиционная статистика и тенденции (</w:t>
      </w:r>
      <w:r w:rsidRPr="00093A03">
        <w:rPr>
          <w:color w:val="auto"/>
          <w:sz w:val="24"/>
          <w:szCs w:val="24"/>
        </w:rPr>
        <w:t>UNCTAD</w:t>
      </w:r>
      <w:r w:rsidR="00E470ED" w:rsidRPr="00093A03">
        <w:rPr>
          <w:color w:val="auto"/>
          <w:sz w:val="24"/>
          <w:szCs w:val="24"/>
          <w:lang w:val="ru-RU"/>
        </w:rPr>
        <w:t>):</w:t>
      </w:r>
    </w:p>
    <w:p w:rsidR="00E470ED" w:rsidRPr="00E470ED" w:rsidRDefault="00E470ED" w:rsidP="00E470ED">
      <w:pPr>
        <w:pStyle w:val="MText"/>
        <w:numPr>
          <w:ilvl w:val="2"/>
          <w:numId w:val="6"/>
        </w:numPr>
        <w:shd w:val="clear" w:color="auto" w:fill="auto"/>
        <w:jc w:val="left"/>
        <w:rPr>
          <w:color w:val="auto"/>
          <w:sz w:val="24"/>
          <w:szCs w:val="24"/>
        </w:rPr>
      </w:pPr>
      <w:r w:rsidRPr="00E470ED">
        <w:rPr>
          <w:color w:val="auto"/>
          <w:sz w:val="24"/>
          <w:szCs w:val="24"/>
        </w:rPr>
        <w:t>https://unctadstat.unctad.org/</w:t>
      </w:r>
    </w:p>
    <w:p w:rsidR="00E470ED" w:rsidRPr="00093A03" w:rsidRDefault="00AF55B6" w:rsidP="00093A03">
      <w:pPr>
        <w:pStyle w:val="MText"/>
        <w:numPr>
          <w:ilvl w:val="2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hyperlink r:id="rId28" w:history="1">
        <w:r w:rsidR="00E470ED" w:rsidRPr="00E470ED">
          <w:rPr>
            <w:rStyle w:val="ac"/>
            <w:color w:val="auto"/>
            <w:sz w:val="24"/>
            <w:szCs w:val="24"/>
          </w:rPr>
          <w:t>Beyond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 xml:space="preserve"> 20/20 </w:t>
        </w:r>
        <w:r w:rsidR="00E470ED" w:rsidRPr="00E470ED">
          <w:rPr>
            <w:rStyle w:val="ac"/>
            <w:color w:val="auto"/>
            <w:sz w:val="24"/>
            <w:szCs w:val="24"/>
          </w:rPr>
          <w:t>WDS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 xml:space="preserve"> - </w:t>
        </w:r>
        <w:r w:rsidR="00093A03" w:rsidRPr="00093A03">
          <w:rPr>
            <w:rStyle w:val="ac"/>
            <w:color w:val="auto"/>
            <w:sz w:val="24"/>
            <w:szCs w:val="24"/>
            <w:lang w:val="ru-RU"/>
          </w:rPr>
          <w:t xml:space="preserve">— Представление в виде таблицы — Прямые иностранные инвестиции: входящие и исходящие потоки и объемы, годовые 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(</w:t>
        </w:r>
        <w:r w:rsidR="00E470ED" w:rsidRPr="00E470ED">
          <w:rPr>
            <w:rStyle w:val="ac"/>
            <w:color w:val="auto"/>
            <w:sz w:val="24"/>
            <w:szCs w:val="24"/>
          </w:rPr>
          <w:t>unctad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)</w:t>
        </w:r>
      </w:hyperlink>
      <w:r w:rsidR="00E470ED" w:rsidRPr="00093A03">
        <w:rPr>
          <w:color w:val="auto"/>
          <w:sz w:val="24"/>
          <w:szCs w:val="24"/>
          <w:lang w:val="ru-RU"/>
        </w:rPr>
        <w:t xml:space="preserve"> - </w:t>
      </w:r>
      <w:hyperlink r:id="rId29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unctadstat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unctad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wds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TableViewer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tableView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aspx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?</w:t>
        </w:r>
        <w:r w:rsidR="00E470ED" w:rsidRPr="00E470ED">
          <w:rPr>
            <w:rStyle w:val="ac"/>
            <w:color w:val="auto"/>
            <w:sz w:val="24"/>
            <w:szCs w:val="24"/>
          </w:rPr>
          <w:t>ReportId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=96740</w:t>
        </w:r>
      </w:hyperlink>
    </w:p>
    <w:p w:rsidR="00E470ED" w:rsidRPr="00093A03" w:rsidRDefault="00093A03" w:rsidP="00093A03">
      <w:pPr>
        <w:pStyle w:val="MText"/>
        <w:numPr>
          <w:ilvl w:val="2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>Доклад о мировых инвестициях | ЮНКТАД</w:t>
      </w:r>
      <w:r w:rsidR="00E470ED" w:rsidRPr="00093A03">
        <w:rPr>
          <w:color w:val="auto"/>
          <w:sz w:val="24"/>
          <w:szCs w:val="24"/>
          <w:lang w:val="ru-RU"/>
        </w:rPr>
        <w:t xml:space="preserve"> - </w:t>
      </w:r>
      <w:hyperlink r:id="rId30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unctad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topic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investment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world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investment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report</w:t>
        </w:r>
      </w:hyperlink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</w:rPr>
      </w:pPr>
      <w:r w:rsidRPr="00093A03">
        <w:rPr>
          <w:color w:val="auto"/>
          <w:sz w:val="24"/>
          <w:szCs w:val="24"/>
          <w:lang w:val="ru-RU"/>
        </w:rPr>
        <w:t xml:space="preserve">Суммы, мобилизованные из частного сектора на цели развития (метод ОЭСР для подсчета </w:t>
      </w:r>
      <w:r>
        <w:rPr>
          <w:color w:val="auto"/>
          <w:sz w:val="24"/>
          <w:szCs w:val="24"/>
          <w:lang w:val="ru-RU"/>
        </w:rPr>
        <w:t>МЧФ)</w:t>
      </w:r>
      <w:r w:rsidR="00E470ED" w:rsidRPr="00093A03">
        <w:rPr>
          <w:color w:val="auto"/>
          <w:sz w:val="24"/>
          <w:szCs w:val="24"/>
          <w:lang w:val="ru-RU"/>
        </w:rPr>
        <w:t xml:space="preserve">, </w:t>
      </w:r>
      <w:r>
        <w:rPr>
          <w:color w:val="auto"/>
          <w:sz w:val="24"/>
          <w:szCs w:val="24"/>
          <w:lang w:val="ru-RU"/>
        </w:rPr>
        <w:t>см.</w:t>
      </w:r>
      <w:r w:rsidR="00E470ED" w:rsidRPr="00093A03">
        <w:rPr>
          <w:color w:val="auto"/>
          <w:sz w:val="24"/>
          <w:szCs w:val="24"/>
          <w:lang w:val="ru-RU"/>
        </w:rPr>
        <w:t xml:space="preserve"> </w:t>
      </w:r>
      <w:hyperlink r:id="rId31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www</w:t>
        </w:r>
        <w:r w:rsidR="00E470ED" w:rsidRPr="00093A03">
          <w:rPr>
            <w:rStyle w:val="ac"/>
            <w:color w:val="auto"/>
            <w:sz w:val="24"/>
            <w:szCs w:val="24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oecd</w:t>
        </w:r>
        <w:r w:rsidR="00E470ED" w:rsidRPr="00093A03">
          <w:rPr>
            <w:rStyle w:val="ac"/>
            <w:color w:val="auto"/>
            <w:sz w:val="24"/>
            <w:szCs w:val="24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dac</w:t>
        </w:r>
        <w:r w:rsidR="00E470ED" w:rsidRPr="00093A03">
          <w:rPr>
            <w:rStyle w:val="ac"/>
            <w:color w:val="auto"/>
            <w:sz w:val="24"/>
            <w:szCs w:val="24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financing</w:t>
        </w:r>
        <w:r w:rsidR="00E470ED" w:rsidRPr="00093A03">
          <w:rPr>
            <w:rStyle w:val="ac"/>
            <w:color w:val="auto"/>
            <w:sz w:val="24"/>
            <w:szCs w:val="24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sustainable</w:t>
        </w:r>
        <w:r w:rsidR="00E470ED" w:rsidRPr="00093A03">
          <w:rPr>
            <w:rStyle w:val="ac"/>
            <w:color w:val="auto"/>
            <w:sz w:val="24"/>
            <w:szCs w:val="24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development</w:t>
        </w:r>
        <w:r w:rsidR="00E470ED" w:rsidRPr="00093A03">
          <w:rPr>
            <w:rStyle w:val="ac"/>
            <w:color w:val="auto"/>
            <w:sz w:val="24"/>
            <w:szCs w:val="24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development</w:t>
        </w:r>
        <w:r w:rsidR="00E470ED" w:rsidRPr="00093A03">
          <w:rPr>
            <w:rStyle w:val="ac"/>
            <w:color w:val="auto"/>
            <w:sz w:val="24"/>
            <w:szCs w:val="24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finance</w:t>
        </w:r>
        <w:r w:rsidR="00E470ED" w:rsidRPr="00093A03">
          <w:rPr>
            <w:rStyle w:val="ac"/>
            <w:color w:val="auto"/>
            <w:sz w:val="24"/>
            <w:szCs w:val="24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standards</w:t>
        </w:r>
        <w:r w:rsidR="00E470ED" w:rsidRPr="00093A03">
          <w:rPr>
            <w:rStyle w:val="ac"/>
            <w:color w:val="auto"/>
            <w:sz w:val="24"/>
            <w:szCs w:val="24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mobilisation</w:t>
        </w:r>
        <w:r w:rsidR="00E470ED" w:rsidRPr="00093A03">
          <w:rPr>
            <w:rStyle w:val="ac"/>
            <w:color w:val="auto"/>
            <w:sz w:val="24"/>
            <w:szCs w:val="24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htm</w:t>
        </w:r>
      </w:hyperlink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>РУКОВОДЯЩАЯ ЗАПИСКА ПО СТРУКТУРЕ УСТОЙЧИВОСТИ ДОЛГА БАНК-ФОНД ДЛЯ СТРАН С НИЗКИМ ДОХОДОМ, МВФ, февраль 2018 г., доступно по адресу</w:t>
      </w:r>
      <w:r w:rsidR="00E470ED" w:rsidRPr="00093A03">
        <w:rPr>
          <w:color w:val="auto"/>
          <w:sz w:val="24"/>
          <w:szCs w:val="24"/>
          <w:lang w:val="ru-RU"/>
        </w:rPr>
        <w:t xml:space="preserve">: </w:t>
      </w:r>
    </w:p>
    <w:p w:rsidR="00E470ED" w:rsidRPr="00F8365F" w:rsidRDefault="00AF55B6" w:rsidP="00E470ED">
      <w:pPr>
        <w:pStyle w:val="MText"/>
        <w:shd w:val="clear" w:color="auto" w:fill="auto"/>
        <w:ind w:left="720"/>
        <w:rPr>
          <w:color w:val="auto"/>
          <w:sz w:val="24"/>
          <w:szCs w:val="24"/>
          <w:lang w:val="ru-RU"/>
        </w:rPr>
      </w:pPr>
      <w:hyperlink r:id="rId32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www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imf</w:t>
        </w:r>
        <w:proofErr w:type="spellEnd"/>
        <w:r w:rsidR="00E470ED" w:rsidRPr="00F8365F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en</w:t>
        </w:r>
        <w:proofErr w:type="spellEnd"/>
        <w:r w:rsidR="00E470ED" w:rsidRPr="00F8365F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Publications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Policy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Papers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Issues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/2018/02/14/</w:t>
        </w:r>
        <w:r w:rsidR="00E470ED" w:rsidRPr="00E470ED">
          <w:rPr>
            <w:rStyle w:val="ac"/>
            <w:color w:val="auto"/>
            <w:sz w:val="24"/>
            <w:szCs w:val="24"/>
          </w:rPr>
          <w:t>pp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122617</w:t>
        </w:r>
        <w:r w:rsidR="00E470ED" w:rsidRPr="00E470ED">
          <w:rPr>
            <w:rStyle w:val="ac"/>
            <w:color w:val="auto"/>
            <w:sz w:val="24"/>
            <w:szCs w:val="24"/>
          </w:rPr>
          <w:t>guidance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note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on</w:t>
        </w:r>
        <w:r w:rsidR="00E470ED" w:rsidRPr="00F8365F">
          <w:rPr>
            <w:rStyle w:val="ac"/>
            <w:color w:val="auto"/>
            <w:sz w:val="24"/>
            <w:szCs w:val="24"/>
            <w:lang w:val="ru-RU"/>
          </w:rPr>
          <w:t>-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lic</w:t>
        </w:r>
        <w:proofErr w:type="spellEnd"/>
        <w:r w:rsidR="00E470ED" w:rsidRPr="00F8365F">
          <w:rPr>
            <w:rStyle w:val="ac"/>
            <w:color w:val="auto"/>
            <w:sz w:val="24"/>
            <w:szCs w:val="24"/>
            <w:lang w:val="ru-RU"/>
          </w:rPr>
          <w:t>-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dsf</w:t>
        </w:r>
        <w:proofErr w:type="spellEnd"/>
      </w:hyperlink>
    </w:p>
    <w:p w:rsidR="00E470ED" w:rsidRPr="00093A03" w:rsidRDefault="00093A03" w:rsidP="00E470ED">
      <w:pPr>
        <w:pStyle w:val="MText"/>
        <w:numPr>
          <w:ilvl w:val="0"/>
          <w:numId w:val="6"/>
        </w:numPr>
        <w:shd w:val="clear" w:color="auto" w:fill="auto"/>
        <w:jc w:val="left"/>
        <w:rPr>
          <w:rStyle w:val="ac"/>
          <w:color w:val="auto"/>
          <w:sz w:val="24"/>
          <w:szCs w:val="24"/>
          <w:u w:val="none"/>
          <w:lang w:val="ru-RU"/>
        </w:rPr>
      </w:pPr>
      <w:r w:rsidRPr="00093A03">
        <w:rPr>
          <w:color w:val="auto"/>
          <w:sz w:val="24"/>
          <w:szCs w:val="24"/>
          <w:lang w:val="ru-RU"/>
        </w:rPr>
        <w:t xml:space="preserve">Эталонное определение прямых иностранных инвестиций ОЭСР – 4-е издание, доступно по адресу </w:t>
      </w:r>
      <w:hyperlink r:id="rId33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r w:rsidR="00E470ED" w:rsidRPr="00E470ED">
          <w:rPr>
            <w:rStyle w:val="ac"/>
            <w:color w:val="auto"/>
            <w:sz w:val="24"/>
            <w:szCs w:val="24"/>
          </w:rPr>
          <w:t>www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oecd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investment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fdibenchmarkdefinition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htm</w:t>
        </w:r>
        <w:proofErr w:type="spellEnd"/>
      </w:hyperlink>
    </w:p>
    <w:p w:rsidR="00E470ED" w:rsidRPr="00093A03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  <w:lang w:val="ru-RU"/>
        </w:rPr>
      </w:pPr>
      <w:r w:rsidRPr="00093A03">
        <w:rPr>
          <w:color w:val="auto"/>
          <w:sz w:val="24"/>
          <w:szCs w:val="24"/>
          <w:lang w:val="ru-RU"/>
        </w:rPr>
        <w:t xml:space="preserve">Учебное пособие ЮНКТАД по статистике ПИИ и операций ТНК – Том </w:t>
      </w:r>
      <w:r w:rsidRPr="00093A03">
        <w:rPr>
          <w:color w:val="auto"/>
          <w:sz w:val="24"/>
          <w:szCs w:val="24"/>
        </w:rPr>
        <w:t>I</w:t>
      </w:r>
      <w:r w:rsidRPr="00093A03">
        <w:rPr>
          <w:color w:val="auto"/>
          <w:sz w:val="24"/>
          <w:szCs w:val="24"/>
          <w:lang w:val="ru-RU"/>
        </w:rPr>
        <w:t xml:space="preserve"> Потоки и запасы ПИИ, ЮНКТАД, 2009 г., доступно по адресу</w:t>
      </w:r>
      <w:r w:rsidR="00E470ED" w:rsidRPr="00093A03">
        <w:rPr>
          <w:color w:val="auto"/>
          <w:sz w:val="24"/>
          <w:szCs w:val="24"/>
          <w:lang w:val="ru-RU"/>
        </w:rPr>
        <w:t xml:space="preserve">: </w:t>
      </w:r>
      <w:hyperlink r:id="rId34" w:history="1">
        <w:r w:rsidR="00E470ED" w:rsidRPr="00E470ED">
          <w:rPr>
            <w:rStyle w:val="ac"/>
            <w:color w:val="auto"/>
            <w:sz w:val="24"/>
            <w:szCs w:val="24"/>
          </w:rPr>
          <w:t>https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://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unctad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org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system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files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r w:rsidR="00E470ED" w:rsidRPr="00E470ED">
          <w:rPr>
            <w:rStyle w:val="ac"/>
            <w:color w:val="auto"/>
            <w:sz w:val="24"/>
            <w:szCs w:val="24"/>
          </w:rPr>
          <w:t>official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-</w:t>
        </w:r>
        <w:r w:rsidR="00E470ED" w:rsidRPr="00E470ED">
          <w:rPr>
            <w:rStyle w:val="ac"/>
            <w:color w:val="auto"/>
            <w:sz w:val="24"/>
            <w:szCs w:val="24"/>
          </w:rPr>
          <w:t>document</w:t>
        </w:r>
        <w:r w:rsidR="00E470ED" w:rsidRPr="00093A03">
          <w:rPr>
            <w:rStyle w:val="ac"/>
            <w:color w:val="auto"/>
            <w:sz w:val="24"/>
            <w:szCs w:val="24"/>
            <w:lang w:val="ru-RU"/>
          </w:rPr>
          <w:t>/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diaeia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20091_</w:t>
        </w:r>
        <w:proofErr w:type="spellStart"/>
        <w:r w:rsidR="00E470ED" w:rsidRPr="00E470ED">
          <w:rPr>
            <w:rStyle w:val="ac"/>
            <w:color w:val="auto"/>
            <w:sz w:val="24"/>
            <w:szCs w:val="24"/>
          </w:rPr>
          <w:t>en</w:t>
        </w:r>
        <w:proofErr w:type="spellEnd"/>
        <w:r w:rsidR="00E470ED" w:rsidRPr="00093A03">
          <w:rPr>
            <w:rStyle w:val="ac"/>
            <w:color w:val="auto"/>
            <w:sz w:val="24"/>
            <w:szCs w:val="24"/>
            <w:lang w:val="ru-RU"/>
          </w:rPr>
          <w:t>.</w:t>
        </w:r>
        <w:r w:rsidR="00E470ED" w:rsidRPr="00E470ED">
          <w:rPr>
            <w:rStyle w:val="ac"/>
            <w:color w:val="auto"/>
            <w:sz w:val="24"/>
            <w:szCs w:val="24"/>
          </w:rPr>
          <w:t>pdf</w:t>
        </w:r>
      </w:hyperlink>
    </w:p>
    <w:p w:rsidR="00E470ED" w:rsidRPr="00E470ED" w:rsidRDefault="00093A03" w:rsidP="00093A03">
      <w:pPr>
        <w:pStyle w:val="MText"/>
        <w:numPr>
          <w:ilvl w:val="0"/>
          <w:numId w:val="6"/>
        </w:numPr>
        <w:jc w:val="left"/>
        <w:rPr>
          <w:color w:val="auto"/>
          <w:sz w:val="24"/>
          <w:szCs w:val="24"/>
        </w:rPr>
      </w:pPr>
      <w:r w:rsidRPr="00093A03">
        <w:rPr>
          <w:color w:val="auto"/>
          <w:sz w:val="24"/>
          <w:szCs w:val="24"/>
          <w:lang w:val="ru-RU"/>
        </w:rPr>
        <w:t>Система обеспечения качества статистики ЮНКТАД (</w:t>
      </w:r>
      <w:r w:rsidRPr="00093A03">
        <w:rPr>
          <w:color w:val="auto"/>
          <w:sz w:val="24"/>
          <w:szCs w:val="24"/>
        </w:rPr>
        <w:t>SQAF</w:t>
      </w:r>
      <w:r w:rsidRPr="00093A03">
        <w:rPr>
          <w:color w:val="auto"/>
          <w:sz w:val="24"/>
          <w:szCs w:val="24"/>
          <w:lang w:val="ru-RU"/>
        </w:rPr>
        <w:t xml:space="preserve">), см. </w:t>
      </w:r>
      <w:hyperlink r:id="rId35" w:history="1">
        <w:r w:rsidR="00E470ED" w:rsidRPr="00E470ED">
          <w:rPr>
            <w:rStyle w:val="ac"/>
            <w:color w:val="auto"/>
            <w:sz w:val="24"/>
            <w:szCs w:val="24"/>
          </w:rPr>
          <w:t>https://unctad.org/webflyer/statistics-quality-assurance-framework</w:t>
        </w:r>
      </w:hyperlink>
      <w:r w:rsidR="00E470ED" w:rsidRPr="00E470ED">
        <w:rPr>
          <w:color w:val="auto"/>
          <w:sz w:val="24"/>
          <w:szCs w:val="24"/>
        </w:rPr>
        <w:t xml:space="preserve"> </w:t>
      </w:r>
    </w:p>
    <w:p w:rsidR="00E470ED" w:rsidRPr="00E470ED" w:rsidRDefault="00093A03" w:rsidP="00093A03">
      <w:pPr>
        <w:pStyle w:val="MText"/>
        <w:numPr>
          <w:ilvl w:val="0"/>
          <w:numId w:val="6"/>
        </w:numPr>
        <w:jc w:val="left"/>
        <w:rPr>
          <w:color w:val="auto"/>
          <w:sz w:val="24"/>
          <w:szCs w:val="24"/>
        </w:rPr>
      </w:pPr>
      <w:r w:rsidRPr="00093A03">
        <w:rPr>
          <w:color w:val="auto"/>
          <w:sz w:val="24"/>
          <w:szCs w:val="24"/>
          <w:lang w:val="ru-RU"/>
        </w:rPr>
        <w:t xml:space="preserve">Система обеспечения качества Организации Объединенных Наций, см. </w:t>
      </w:r>
      <w:hyperlink r:id="rId36" w:history="1">
        <w:r w:rsidR="00E470ED" w:rsidRPr="00E470ED">
          <w:rPr>
            <w:rStyle w:val="ac"/>
            <w:color w:val="auto"/>
            <w:sz w:val="24"/>
            <w:szCs w:val="24"/>
          </w:rPr>
          <w:t>https://unstats.un.org/unsd/methodology/dataquality/</w:t>
        </w:r>
      </w:hyperlink>
      <w:r w:rsidR="00E470ED" w:rsidRPr="00E470ED">
        <w:rPr>
          <w:color w:val="auto"/>
          <w:sz w:val="24"/>
          <w:szCs w:val="24"/>
        </w:rPr>
        <w:t xml:space="preserve">  </w:t>
      </w:r>
    </w:p>
    <w:p w:rsidR="00E470ED" w:rsidRPr="00E470ED" w:rsidRDefault="00093A03" w:rsidP="00093A03">
      <w:pPr>
        <w:pStyle w:val="MText"/>
        <w:numPr>
          <w:ilvl w:val="0"/>
          <w:numId w:val="6"/>
        </w:numPr>
        <w:shd w:val="clear" w:color="auto" w:fill="auto"/>
        <w:jc w:val="left"/>
        <w:rPr>
          <w:color w:val="auto"/>
          <w:sz w:val="24"/>
          <w:szCs w:val="24"/>
        </w:rPr>
      </w:pPr>
      <w:r w:rsidRPr="00093A03">
        <w:rPr>
          <w:color w:val="auto"/>
          <w:sz w:val="24"/>
          <w:szCs w:val="24"/>
          <w:lang w:val="ru-RU"/>
        </w:rPr>
        <w:t xml:space="preserve">Структура качества для статистической деятельности ОЭСР, см. </w:t>
      </w:r>
      <w:hyperlink r:id="rId37" w:history="1">
        <w:r w:rsidR="00E470ED" w:rsidRPr="00E470ED">
          <w:rPr>
            <w:rStyle w:val="ac"/>
            <w:color w:val="auto"/>
            <w:sz w:val="24"/>
            <w:szCs w:val="24"/>
          </w:rPr>
          <w:t>https://www.oecd.org/sdd/qualityframeworkforoecdstatisticalactivities.htm</w:t>
        </w:r>
      </w:hyperlink>
      <w:r w:rsidR="00E470ED" w:rsidRPr="00E470ED">
        <w:rPr>
          <w:color w:val="auto"/>
          <w:sz w:val="24"/>
          <w:szCs w:val="24"/>
        </w:rPr>
        <w:t>.</w:t>
      </w:r>
    </w:p>
    <w:sectPr w:rsidR="00E470ED" w:rsidRPr="00E470ED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A" w:rsidRDefault="000410BA" w:rsidP="00F73DBC">
      <w:pPr>
        <w:spacing w:after="0" w:line="240" w:lineRule="auto"/>
      </w:pPr>
      <w:r>
        <w:separator/>
      </w:r>
    </w:p>
  </w:endnote>
  <w:end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A" w:rsidRDefault="000410BA" w:rsidP="00F73DBC">
      <w:pPr>
        <w:spacing w:after="0" w:line="240" w:lineRule="auto"/>
      </w:pPr>
      <w:r>
        <w:separator/>
      </w:r>
    </w:p>
  </w:footnote>
  <w:footnote w:type="continuationSeparator" w:id="0">
    <w:p w:rsidR="000410BA" w:rsidRDefault="000410B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793F8F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627057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F8365F">
      <w:rPr>
        <w:rFonts w:cs="Times New Roman"/>
      </w:rPr>
      <w:t>202</w:t>
    </w:r>
    <w:r w:rsidR="00F8365F" w:rsidRPr="00793F8F">
      <w:rPr>
        <w:rFonts w:cs="Times New Roman"/>
      </w:rPr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41"/>
    <w:multiLevelType w:val="hybridMultilevel"/>
    <w:tmpl w:val="EB9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4E8"/>
    <w:multiLevelType w:val="hybridMultilevel"/>
    <w:tmpl w:val="A69ADB7C"/>
    <w:lvl w:ilvl="0" w:tplc="1FFA34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117"/>
    <w:multiLevelType w:val="hybridMultilevel"/>
    <w:tmpl w:val="DBE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457A"/>
    <w:multiLevelType w:val="hybridMultilevel"/>
    <w:tmpl w:val="36B6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79A7"/>
    <w:multiLevelType w:val="hybridMultilevel"/>
    <w:tmpl w:val="AA82AE94"/>
    <w:lvl w:ilvl="0" w:tplc="1FFA34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DB5"/>
    <w:multiLevelType w:val="hybridMultilevel"/>
    <w:tmpl w:val="9C0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3A6D"/>
    <w:multiLevelType w:val="hybridMultilevel"/>
    <w:tmpl w:val="3D3446CC"/>
    <w:lvl w:ilvl="0" w:tplc="1CE4D1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5000"/>
    <w:rsid w:val="00087B96"/>
    <w:rsid w:val="00093A03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204B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4F5D51"/>
    <w:rsid w:val="005016B8"/>
    <w:rsid w:val="00503B4A"/>
    <w:rsid w:val="00504837"/>
    <w:rsid w:val="00524AB1"/>
    <w:rsid w:val="00532D98"/>
    <w:rsid w:val="005738EC"/>
    <w:rsid w:val="00587D0B"/>
    <w:rsid w:val="005A4DCB"/>
    <w:rsid w:val="005C6119"/>
    <w:rsid w:val="005E47BD"/>
    <w:rsid w:val="005F2C0B"/>
    <w:rsid w:val="00627057"/>
    <w:rsid w:val="006357CA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24566"/>
    <w:rsid w:val="00741A39"/>
    <w:rsid w:val="0075371E"/>
    <w:rsid w:val="00753F18"/>
    <w:rsid w:val="00780F08"/>
    <w:rsid w:val="00781DE7"/>
    <w:rsid w:val="00793F8F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1CC5"/>
    <w:rsid w:val="00853C09"/>
    <w:rsid w:val="00864C1A"/>
    <w:rsid w:val="008F0D37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24FE8"/>
    <w:rsid w:val="00A53D4B"/>
    <w:rsid w:val="00A618FC"/>
    <w:rsid w:val="00A71EC6"/>
    <w:rsid w:val="00A82CD3"/>
    <w:rsid w:val="00A91FDE"/>
    <w:rsid w:val="00AC1A97"/>
    <w:rsid w:val="00AE3533"/>
    <w:rsid w:val="00AF55B6"/>
    <w:rsid w:val="00B0378B"/>
    <w:rsid w:val="00B06B4E"/>
    <w:rsid w:val="00B22AB5"/>
    <w:rsid w:val="00B351A1"/>
    <w:rsid w:val="00B518DC"/>
    <w:rsid w:val="00B72F77"/>
    <w:rsid w:val="00BA6989"/>
    <w:rsid w:val="00BC4993"/>
    <w:rsid w:val="00BD29EC"/>
    <w:rsid w:val="00BD5350"/>
    <w:rsid w:val="00BD707D"/>
    <w:rsid w:val="00BE2C5D"/>
    <w:rsid w:val="00BE415C"/>
    <w:rsid w:val="00C47A4A"/>
    <w:rsid w:val="00C515AF"/>
    <w:rsid w:val="00C819BE"/>
    <w:rsid w:val="00C8596F"/>
    <w:rsid w:val="00C90708"/>
    <w:rsid w:val="00C95AB2"/>
    <w:rsid w:val="00CA1CB1"/>
    <w:rsid w:val="00CA53CA"/>
    <w:rsid w:val="00CB2BD1"/>
    <w:rsid w:val="00CD2A25"/>
    <w:rsid w:val="00D05466"/>
    <w:rsid w:val="00D2619D"/>
    <w:rsid w:val="00D446BF"/>
    <w:rsid w:val="00DA19D7"/>
    <w:rsid w:val="00DC18AA"/>
    <w:rsid w:val="00DF68EE"/>
    <w:rsid w:val="00E123F7"/>
    <w:rsid w:val="00E21B43"/>
    <w:rsid w:val="00E27922"/>
    <w:rsid w:val="00E33CA8"/>
    <w:rsid w:val="00E470ED"/>
    <w:rsid w:val="00E559F9"/>
    <w:rsid w:val="00E90BD4"/>
    <w:rsid w:val="00EA206F"/>
    <w:rsid w:val="00EB362A"/>
    <w:rsid w:val="00EB389E"/>
    <w:rsid w:val="00EE0900"/>
    <w:rsid w:val="00F10F0A"/>
    <w:rsid w:val="00F374BA"/>
    <w:rsid w:val="00F53A75"/>
    <w:rsid w:val="00F5412C"/>
    <w:rsid w:val="00F6371F"/>
    <w:rsid w:val="00F73DBC"/>
    <w:rsid w:val="00F8365F"/>
    <w:rsid w:val="00F84FF1"/>
    <w:rsid w:val="00F85991"/>
    <w:rsid w:val="00F92D6F"/>
    <w:rsid w:val="00FB66D9"/>
    <w:rsid w:val="00FC5800"/>
    <w:rsid w:val="00FD0726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627057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627057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627057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627057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ecd.org/dac/financing-sustainable-development/development-finance-standards/mobilisation.htm" TargetMode="External"/><Relationship Id="rId18" Type="http://schemas.openxmlformats.org/officeDocument/2006/relationships/hyperlink" Target="https://www.tossd.org/methodology" TargetMode="External"/><Relationship Id="rId26" Type="http://schemas.openxmlformats.org/officeDocument/2006/relationships/hyperlink" Target="https://tossd.onlin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nctad.org/webflyer/statistics-quality-assurance-framework" TargetMode="External"/><Relationship Id="rId34" Type="http://schemas.openxmlformats.org/officeDocument/2006/relationships/hyperlink" Target="https://unctad.org/system/files/official-document/diaeia20091_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ctad.org/topic/investment/investment-statistics-and-trends" TargetMode="External"/><Relationship Id="rId17" Type="http://schemas.openxmlformats.org/officeDocument/2006/relationships/hyperlink" Target="https://unctad.org/system/files/official-document/diaeia20091_en.pdf" TargetMode="External"/><Relationship Id="rId25" Type="http://schemas.openxmlformats.org/officeDocument/2006/relationships/hyperlink" Target="https://one.oecd.org/document/DCD/DAC/STAT(2020)44/FINAL/en/pdf" TargetMode="External"/><Relationship Id="rId33" Type="http://schemas.openxmlformats.org/officeDocument/2006/relationships/hyperlink" Target="https://www.oecd.org/investment/fdibenchmarkdefinition.ht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ne.oecd.org/document/DCD/DAC/STAT(2020)44/FINAL/en/pdf" TargetMode="External"/><Relationship Id="rId20" Type="http://schemas.openxmlformats.org/officeDocument/2006/relationships/hyperlink" Target="https://unctad.org/system/files/official-document/diaeia20091_en.pdf" TargetMode="External"/><Relationship Id="rId29" Type="http://schemas.openxmlformats.org/officeDocument/2006/relationships/hyperlink" Target="https://unctadstat.unctad.org/wds/TableViewer/tableView.aspx?ReportId=967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cd.org/investment/fdibenchmarkdefinition.htm" TargetMode="External"/><Relationship Id="rId24" Type="http://schemas.openxmlformats.org/officeDocument/2006/relationships/hyperlink" Target="https://www.tossd.org/methodology" TargetMode="External"/><Relationship Id="rId32" Type="http://schemas.openxmlformats.org/officeDocument/2006/relationships/hyperlink" Target="https://www.imf.org/en/Publications/Policy-Papers/Issues/2018/02/14/pp122617guidance-note-on-lic-dsf" TargetMode="External"/><Relationship Id="rId37" Type="http://schemas.openxmlformats.org/officeDocument/2006/relationships/hyperlink" Target="https://www.oecd.org/sdd/qualityframeworkforoecdstatisticalactivities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ossd.org/methodology" TargetMode="External"/><Relationship Id="rId23" Type="http://schemas.openxmlformats.org/officeDocument/2006/relationships/hyperlink" Target="https://www.oecd.org/sdd/qualityframeworkforoecdstatisticalactivities.htm" TargetMode="External"/><Relationship Id="rId28" Type="http://schemas.openxmlformats.org/officeDocument/2006/relationships/hyperlink" Target="https://unctadstat.unctad.org/wds/TableViewer/tableView.aspx?ReportId=96740" TargetMode="External"/><Relationship Id="rId36" Type="http://schemas.openxmlformats.org/officeDocument/2006/relationships/hyperlink" Target="https://unstats.un.org/unsd/methodology/dataquality/" TargetMode="External"/><Relationship Id="rId10" Type="http://schemas.openxmlformats.org/officeDocument/2006/relationships/hyperlink" Target="https://www.tossd.org/docs/reporting-instructions.pdf" TargetMode="External"/><Relationship Id="rId19" Type="http://schemas.openxmlformats.org/officeDocument/2006/relationships/hyperlink" Target="https://one.oecd.org/document/DCD/DAC/STAT(2020)44/FINAL/en/pdf" TargetMode="External"/><Relationship Id="rId31" Type="http://schemas.openxmlformats.org/officeDocument/2006/relationships/hyperlink" Target="https://www.oecd.org/dac/financing-sustainable-development/development-finance-standards/mobilisatio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mf.org/en/Publications/Policy-Papers/Issues/2018/02/14/pp122617guidance-note-on-lic-dsf" TargetMode="External"/><Relationship Id="rId14" Type="http://schemas.openxmlformats.org/officeDocument/2006/relationships/hyperlink" Target="http://www.tossd.org/methodology" TargetMode="External"/><Relationship Id="rId22" Type="http://schemas.openxmlformats.org/officeDocument/2006/relationships/hyperlink" Target="file:///\\main.oecd.org\sdataDCD\Data\SDF\Work%20streams\Aid%20Architecture\TOSSD\UN%20WORKING%20GROUP\2021-10-08%20Metadata%20files%20to%20UNSD\1%20-%20Commented%20versions\United%20Nations%20Quality%20Assurance%20Framework" TargetMode="External"/><Relationship Id="rId27" Type="http://schemas.openxmlformats.org/officeDocument/2006/relationships/hyperlink" Target="https://www.oecd.org/dac/financing-sustainable-development/development-finance-data/" TargetMode="External"/><Relationship Id="rId30" Type="http://schemas.openxmlformats.org/officeDocument/2006/relationships/hyperlink" Target="https://unctad.org/topic/investment/world-investment-report" TargetMode="External"/><Relationship Id="rId35" Type="http://schemas.openxmlformats.org/officeDocument/2006/relationships/hyperlink" Target="https://unctad.org/webflyer/statistics-quality-assurance-framework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D8CF-4892-4FA0-9174-E84A8F75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20</cp:revision>
  <dcterms:created xsi:type="dcterms:W3CDTF">2022-10-03T12:41:00Z</dcterms:created>
  <dcterms:modified xsi:type="dcterms:W3CDTF">2024-02-12T08:55:00Z</dcterms:modified>
</cp:coreProperties>
</file>