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0E5949">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D210D5">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F53A75">
        <w:rPr>
          <w:rFonts w:eastAsia="Arial Unicode MS" w:cs="Times New Roman"/>
          <w:szCs w:val="24"/>
          <w:bdr w:val="nil"/>
          <w:lang w:eastAsia="ru-RU"/>
        </w:rPr>
        <w:t>2</w:t>
      </w:r>
      <w:r w:rsidR="00780F08" w:rsidRPr="00BD29EC">
        <w:rPr>
          <w:rFonts w:eastAsia="Arial Unicode MS" w:cs="Times New Roman"/>
          <w:szCs w:val="24"/>
          <w:bdr w:val="nil"/>
          <w:lang w:eastAsia="ru-RU"/>
        </w:rPr>
        <w:t xml:space="preserve">: </w:t>
      </w:r>
      <w:r w:rsidR="00963238">
        <w:t>Обеспечение перехода к рациональным моделям потребления и производства</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B3108A"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F53A75">
        <w:rPr>
          <w:rFonts w:cs="Times New Roman"/>
          <w:szCs w:val="24"/>
        </w:rPr>
        <w:t>2</w:t>
      </w:r>
      <w:r w:rsidR="00780F08" w:rsidRPr="00BD29EC">
        <w:rPr>
          <w:rFonts w:cs="Times New Roman"/>
          <w:szCs w:val="24"/>
        </w:rPr>
        <w:t>.</w:t>
      </w:r>
      <w:r w:rsidR="007C507B">
        <w:rPr>
          <w:rFonts w:cs="Times New Roman"/>
          <w:szCs w:val="24"/>
          <w:lang w:val="en-US"/>
        </w:rPr>
        <w:t>c</w:t>
      </w:r>
      <w:r w:rsidR="00780F08" w:rsidRPr="00BD29EC">
        <w:rPr>
          <w:rFonts w:cs="Times New Roman"/>
          <w:szCs w:val="24"/>
        </w:rPr>
        <w:t xml:space="preserve">.  </w:t>
      </w:r>
      <w:proofErr w:type="gramStart"/>
      <w:r w:rsidR="007C507B" w:rsidRPr="00041F0B">
        <w:t>Рационализировать отличающееся неэффективностью субсидирование использования ископаемого топлива, ведущее к его расточительному потреблению, посредством устранения рыночных диспропорций с учетом национальных условий, в том числе путем реорганизации налогообложения и постепенного отказа от вредных субсидий там, где они существуют, для учета их экологических последствий, в полной мере принимая во внимание особые потребности и условия развивающихся стран и сводя к минимуму возможные негативные последствия</w:t>
      </w:r>
      <w:proofErr w:type="gramEnd"/>
      <w:r w:rsidR="007C507B" w:rsidRPr="00041F0B">
        <w:t xml:space="preserve"> для их развития таким образом, чтобы защитить интересы нуждающихся и уязвимых групп населения</w:t>
      </w:r>
      <w:r w:rsidR="00B3108A" w:rsidRPr="00041F0B">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041F0B">
      <w:r w:rsidRPr="00BD29EC">
        <w:t xml:space="preserve">Показатель </w:t>
      </w:r>
      <w:r w:rsidR="00741A39">
        <w:t>1</w:t>
      </w:r>
      <w:r w:rsidR="00F53A75">
        <w:t>2</w:t>
      </w:r>
      <w:r w:rsidR="00780F08" w:rsidRPr="00BD29EC">
        <w:t>.</w:t>
      </w:r>
      <w:r w:rsidR="007C507B">
        <w:rPr>
          <w:lang w:val="en-US"/>
        </w:rPr>
        <w:t>c</w:t>
      </w:r>
      <w:r w:rsidR="002064C4">
        <w:t>.</w:t>
      </w:r>
      <w:r w:rsidR="00C95AB2">
        <w:t>1.</w:t>
      </w:r>
      <w:r w:rsidR="00780F08" w:rsidRPr="00BD29EC">
        <w:t xml:space="preserve"> </w:t>
      </w:r>
      <w:r w:rsidR="007C507B" w:rsidRPr="007C507B">
        <w:t>Сумма субсидий на ископаемое топливо на единицу ВВП (производство и потребление)</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665FC6" w:rsidRPr="00665FC6" w:rsidRDefault="00665FC6" w:rsidP="00665FC6">
      <w:pPr>
        <w:pBdr>
          <w:top w:val="nil"/>
          <w:left w:val="nil"/>
          <w:bottom w:val="nil"/>
          <w:right w:val="nil"/>
          <w:between w:val="nil"/>
          <w:bar w:val="nil"/>
        </w:pBdr>
        <w:tabs>
          <w:tab w:val="left" w:pos="284"/>
        </w:tabs>
        <w:spacing w:after="0"/>
      </w:pPr>
      <w:r w:rsidRPr="00665FC6">
        <w:rPr>
          <w:lang w:val="en-US"/>
        </w:rPr>
        <w:t>ER</w:t>
      </w:r>
      <w:r w:rsidRPr="00665FC6">
        <w:t>_</w:t>
      </w:r>
      <w:r w:rsidRPr="00665FC6">
        <w:rPr>
          <w:lang w:val="en-US"/>
        </w:rPr>
        <w:t>FFS</w:t>
      </w:r>
      <w:r w:rsidRPr="00665FC6">
        <w:t>_</w:t>
      </w:r>
      <w:r w:rsidRPr="00665FC6">
        <w:rPr>
          <w:lang w:val="en-US"/>
        </w:rPr>
        <w:t>CMPT</w:t>
      </w:r>
      <w:r w:rsidRPr="00665FC6">
        <w:t>_</w:t>
      </w:r>
      <w:r w:rsidRPr="00665FC6">
        <w:rPr>
          <w:lang w:val="en-US"/>
        </w:rPr>
        <w:t>CD</w:t>
      </w:r>
      <w:r w:rsidRPr="00665FC6">
        <w:t xml:space="preserve"> – Сумма субсидий на ископаемое топливо</w:t>
      </w:r>
      <w:r>
        <w:t xml:space="preserve"> </w:t>
      </w:r>
      <w:r w:rsidRPr="00665FC6">
        <w:t>(</w:t>
      </w:r>
      <w:r w:rsidRPr="00665FC6">
        <w:t xml:space="preserve">потребление </w:t>
      </w:r>
      <w:r>
        <w:t>и</w:t>
      </w:r>
      <w:r w:rsidRPr="00665FC6">
        <w:t xml:space="preserve"> производство</w:t>
      </w:r>
      <w:r w:rsidRPr="00665FC6">
        <w:t>)</w:t>
      </w:r>
    </w:p>
    <w:p w:rsidR="00665FC6" w:rsidRPr="00236B06" w:rsidRDefault="00665FC6" w:rsidP="00665FC6">
      <w:pPr>
        <w:pBdr>
          <w:top w:val="nil"/>
          <w:left w:val="nil"/>
          <w:bottom w:val="nil"/>
          <w:right w:val="nil"/>
          <w:between w:val="nil"/>
          <w:bar w:val="nil"/>
        </w:pBdr>
        <w:tabs>
          <w:tab w:val="left" w:pos="284"/>
        </w:tabs>
        <w:spacing w:after="0"/>
      </w:pPr>
      <w:r w:rsidRPr="00665FC6">
        <w:rPr>
          <w:lang w:val="en-US"/>
        </w:rPr>
        <w:t>ER</w:t>
      </w:r>
      <w:r w:rsidRPr="00236B06">
        <w:t>_</w:t>
      </w:r>
      <w:r w:rsidRPr="00665FC6">
        <w:rPr>
          <w:lang w:val="en-US"/>
        </w:rPr>
        <w:t>FFS</w:t>
      </w:r>
      <w:r w:rsidRPr="00236B06">
        <w:t>_</w:t>
      </w:r>
      <w:r w:rsidRPr="00665FC6">
        <w:rPr>
          <w:lang w:val="en-US"/>
        </w:rPr>
        <w:t>CMPT</w:t>
      </w:r>
      <w:r w:rsidRPr="00236B06">
        <w:t>_</w:t>
      </w:r>
      <w:r w:rsidRPr="00665FC6">
        <w:rPr>
          <w:lang w:val="en-US"/>
        </w:rPr>
        <w:t>GDP</w:t>
      </w:r>
      <w:r w:rsidRPr="00236B06">
        <w:t xml:space="preserve"> – </w:t>
      </w:r>
      <w:r w:rsidR="00236B06" w:rsidRPr="00236B06">
        <w:t>Сумма субсидий на ископаемое топливо</w:t>
      </w:r>
      <w:r w:rsidR="00236B06">
        <w:t xml:space="preserve"> </w:t>
      </w:r>
      <w:r w:rsidRPr="00236B06">
        <w:t>(</w:t>
      </w:r>
      <w:r w:rsidRPr="00236B06">
        <w:t>потребление</w:t>
      </w:r>
      <w:r w:rsidRPr="00236B06">
        <w:t xml:space="preserve"> </w:t>
      </w:r>
      <w:r>
        <w:t>и</w:t>
      </w:r>
      <w:r w:rsidRPr="00236B06">
        <w:t xml:space="preserve"> производство) </w:t>
      </w:r>
      <w:r w:rsidR="00236B06" w:rsidRPr="00236B06">
        <w:t>на единицу ВВП</w:t>
      </w:r>
    </w:p>
    <w:p w:rsidR="003A325C" w:rsidRPr="00236B06" w:rsidRDefault="00665FC6" w:rsidP="00004BE3">
      <w:pPr>
        <w:pBdr>
          <w:top w:val="nil"/>
          <w:left w:val="nil"/>
          <w:bottom w:val="nil"/>
          <w:right w:val="nil"/>
          <w:between w:val="nil"/>
          <w:bar w:val="nil"/>
        </w:pBdr>
        <w:tabs>
          <w:tab w:val="left" w:pos="284"/>
        </w:tabs>
        <w:spacing w:after="0"/>
      </w:pPr>
      <w:r w:rsidRPr="00665FC6">
        <w:rPr>
          <w:lang w:val="en-US"/>
        </w:rPr>
        <w:t>ER</w:t>
      </w:r>
      <w:r w:rsidRPr="00236B06">
        <w:t>_</w:t>
      </w:r>
      <w:r w:rsidRPr="00665FC6">
        <w:rPr>
          <w:lang w:val="en-US"/>
        </w:rPr>
        <w:t>FFS</w:t>
      </w:r>
      <w:r w:rsidRPr="00236B06">
        <w:t>_</w:t>
      </w:r>
      <w:r w:rsidRPr="00665FC6">
        <w:rPr>
          <w:lang w:val="en-US"/>
        </w:rPr>
        <w:t>CMPT</w:t>
      </w:r>
      <w:r w:rsidRPr="00236B06">
        <w:t>_</w:t>
      </w:r>
      <w:r w:rsidRPr="00665FC6">
        <w:rPr>
          <w:lang w:val="en-US"/>
        </w:rPr>
        <w:t>PC</w:t>
      </w:r>
      <w:r w:rsidRPr="00236B06">
        <w:t>_</w:t>
      </w:r>
      <w:r w:rsidRPr="00665FC6">
        <w:rPr>
          <w:lang w:val="en-US"/>
        </w:rPr>
        <w:t>CD</w:t>
      </w:r>
      <w:r w:rsidRPr="00236B06">
        <w:t xml:space="preserve"> – </w:t>
      </w:r>
      <w:r w:rsidR="00236B06" w:rsidRPr="00236B06">
        <w:t>Сумма субсидий на ископаемое топливо</w:t>
      </w:r>
      <w:r w:rsidR="00236B06">
        <w:t xml:space="preserve"> </w:t>
      </w:r>
      <w:r w:rsidRPr="00236B06">
        <w:t>(</w:t>
      </w:r>
      <w:r w:rsidRPr="00236B06">
        <w:t xml:space="preserve">потребление </w:t>
      </w:r>
      <w:r>
        <w:t>и</w:t>
      </w:r>
      <w:r w:rsidRPr="00236B06">
        <w:t xml:space="preserve"> производство</w:t>
      </w:r>
      <w:r w:rsidRPr="00236B06">
        <w:t xml:space="preserve">) </w:t>
      </w:r>
      <w:r w:rsidR="00236B06">
        <w:t>на душу населения</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41F0B" w:rsidRPr="00041F0B" w:rsidRDefault="000E5949" w:rsidP="00041F0B">
      <w:r>
        <w:t>31.01.2024</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p>
    <w:p w:rsidR="00236B06" w:rsidRPr="00236B06" w:rsidRDefault="00236B06"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236B06">
        <w:rPr>
          <w:rFonts w:eastAsia="Arial Unicode MS" w:cs="Times New Roman"/>
          <w:szCs w:val="24"/>
          <w:bdr w:val="nil"/>
          <w:lang w:eastAsia="ru-RU"/>
        </w:rPr>
        <w:t>12.1.1, 8.4.1/12.2.1, 8.4.2/12.2.2</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041F0B" w:rsidRPr="000E5949" w:rsidRDefault="00041F0B" w:rsidP="00041F0B">
      <w:pPr>
        <w:rPr>
          <w:bdr w:val="nil"/>
          <w:lang w:eastAsia="ru-RU"/>
        </w:rPr>
      </w:pPr>
      <w:bookmarkStart w:id="0" w:name="_Toc37932744"/>
      <w:bookmarkStart w:id="1" w:name="_Toc36813072"/>
      <w:bookmarkStart w:id="2" w:name="_Toc36812685"/>
      <w:bookmarkStart w:id="3" w:name="_Toc36812572"/>
      <w:bookmarkStart w:id="4" w:name="_Toc36655609"/>
      <w:r w:rsidRPr="00041F0B">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41F0B" w:rsidRPr="00041F0B" w:rsidRDefault="00041F0B" w:rsidP="00041F0B">
      <w:pPr>
        <w:rPr>
          <w:bdr w:val="nil"/>
          <w:lang w:eastAsia="ru-RU"/>
        </w:rPr>
      </w:pPr>
      <w:r w:rsidRPr="00041F0B">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236B06" w:rsidRDefault="00DA19D7" w:rsidP="00DA19D7">
      <w:pPr>
        <w:pStyle w:val="MText"/>
        <w:rPr>
          <w:b/>
          <w:color w:val="000000" w:themeColor="text1"/>
          <w:sz w:val="24"/>
          <w:szCs w:val="24"/>
          <w:lang w:val="en-US"/>
        </w:rPr>
      </w:pPr>
      <w:r w:rsidRPr="00236B06">
        <w:rPr>
          <w:b/>
          <w:color w:val="000000" w:themeColor="text1"/>
          <w:sz w:val="24"/>
          <w:szCs w:val="24"/>
          <w:lang w:val="ru-RU"/>
        </w:rPr>
        <w:t>Определение:</w:t>
      </w:r>
    </w:p>
    <w:p w:rsidR="00C34D15" w:rsidRPr="00C34D15" w:rsidRDefault="00C34D15" w:rsidP="00C34D15">
      <w:r w:rsidRPr="00C34D15">
        <w:t xml:space="preserve">Для измерения субсидий на ископаемое топливо на национальном, региональном и глобальном уровнях рекомендуется использовать три подпоказателя для отчетности по </w:t>
      </w:r>
      <w:r w:rsidRPr="00C34D15">
        <w:lastRenderedPageBreak/>
        <w:t>этому показателю: 1) прямое перечисление государственных средств; 2) индуцированные трансферты (ценовая поддержка); и в качестве дополнительного вспомогательного показателя 3) налоговые расходы, другие упущенные доходы и занижение цен на товары и услуги. Определения Статистического руководства МЭА (</w:t>
      </w:r>
      <w:r w:rsidRPr="00C34D15">
        <w:rPr>
          <w:lang w:val="en-US"/>
        </w:rPr>
        <w:t>IEA</w:t>
      </w:r>
      <w:r w:rsidRPr="00C34D15">
        <w:t>, 2005 г.) и Соглашения о субсидиях и компенсационных мерах (</w:t>
      </w:r>
      <w:r w:rsidRPr="00C34D15">
        <w:rPr>
          <w:lang w:val="en-US"/>
        </w:rPr>
        <w:t>ASCM</w:t>
      </w:r>
      <w:r w:rsidRPr="00C34D15">
        <w:t>) в рамках Всемирной торговой организации (ВТО) (</w:t>
      </w:r>
      <w:r w:rsidRPr="00C34D15">
        <w:rPr>
          <w:lang w:val="en-US"/>
        </w:rPr>
        <w:t>WTO</w:t>
      </w:r>
      <w:r w:rsidRPr="00C34D15">
        <w:t>, 1994 г.) используются для определения субсидий на ископаемое топливо. Стандартизированные описания из Классификации основных продуктов Статистического управления Организации Объединенных Наций должны использоваться для классификации отдельных энергетических продуктов. Предлагается отказаться от формулировки «в процентах от общих национальных расходов на ископаемое топливо», и, таким образом, этот показатель фактически представляет собой «сумму субсидий на ископаемое топливо на единицу ВВП (производство и потребление)».</w:t>
      </w:r>
    </w:p>
    <w:p w:rsidR="00DA19D7" w:rsidRPr="00371D4B" w:rsidRDefault="003859BD" w:rsidP="00DA19D7">
      <w:pPr>
        <w:pStyle w:val="MText"/>
        <w:rPr>
          <w:b/>
          <w:color w:val="000000" w:themeColor="text1"/>
          <w:sz w:val="24"/>
          <w:szCs w:val="24"/>
          <w:lang w:val="ru-RU"/>
        </w:rPr>
      </w:pPr>
      <w:r w:rsidRPr="00371D4B">
        <w:rPr>
          <w:b/>
          <w:color w:val="000000" w:themeColor="text1"/>
          <w:sz w:val="24"/>
          <w:szCs w:val="24"/>
          <w:lang w:val="ru-RU"/>
        </w:rPr>
        <w:t>Основные понятия</w:t>
      </w:r>
      <w:r w:rsidR="00371D4B" w:rsidRPr="00371D4B">
        <w:rPr>
          <w:b/>
          <w:color w:val="000000" w:themeColor="text1"/>
          <w:sz w:val="24"/>
          <w:szCs w:val="24"/>
          <w:lang w:val="ru-RU"/>
        </w:rPr>
        <w:t>:</w:t>
      </w:r>
    </w:p>
    <w:p w:rsidR="00F652D7" w:rsidRPr="00F652D7" w:rsidRDefault="00F652D7" w:rsidP="00F652D7">
      <w:r w:rsidRPr="00F652D7">
        <w:t>Понятия и определения, используемые в методологии, основаны на существующих международных системах и глоссариях.</w:t>
      </w:r>
    </w:p>
    <w:p w:rsidR="00F652D7" w:rsidRPr="00F652D7" w:rsidRDefault="00F652D7" w:rsidP="00371D4B">
      <w:pPr>
        <w:pStyle w:val="ab"/>
        <w:numPr>
          <w:ilvl w:val="0"/>
          <w:numId w:val="5"/>
        </w:numPr>
      </w:pPr>
      <w:r w:rsidRPr="00F652D7">
        <w:t>Используйте определение ископаемого топлива из Статистического руководства МЭА: «Ископаемое топливо берется из природных ресурсов, которые образовались из биомассы в геологическом прошлом. В более широком смысле термин «ископаемое топливо» также применяется к любому вторичному топливу, произведенному из ископаемого топлива».</w:t>
      </w:r>
    </w:p>
    <w:p w:rsidR="00F652D7" w:rsidRPr="00F652D7" w:rsidRDefault="00F652D7" w:rsidP="00371D4B">
      <w:pPr>
        <w:pStyle w:val="ab"/>
        <w:numPr>
          <w:ilvl w:val="0"/>
          <w:numId w:val="5"/>
        </w:numPr>
      </w:pPr>
      <w:r w:rsidRPr="00F652D7">
        <w:t xml:space="preserve">Используйте термины, изложенные в </w:t>
      </w:r>
      <w:r w:rsidRPr="00371D4B">
        <w:rPr>
          <w:lang w:val="en-US"/>
        </w:rPr>
        <w:t>CPC</w:t>
      </w:r>
      <w:r w:rsidRPr="00F652D7">
        <w:t xml:space="preserve"> </w:t>
      </w:r>
      <w:r w:rsidRPr="00371D4B">
        <w:rPr>
          <w:lang w:val="en-US"/>
        </w:rPr>
        <w:t>Rev</w:t>
      </w:r>
      <w:r w:rsidRPr="00F652D7">
        <w:t>. 2.1, для статистической классификации отдельных продуктов. Других общепринятых определений не выявлено</w:t>
      </w:r>
    </w:p>
    <w:p w:rsidR="00F652D7" w:rsidRPr="00F652D7" w:rsidRDefault="00F652D7" w:rsidP="00371D4B">
      <w:pPr>
        <w:pStyle w:val="ab"/>
        <w:numPr>
          <w:ilvl w:val="0"/>
          <w:numId w:val="5"/>
        </w:numPr>
      </w:pPr>
      <w:r w:rsidRPr="00F652D7">
        <w:t>Включит</w:t>
      </w:r>
      <w:r>
        <w:t>е</w:t>
      </w:r>
      <w:r w:rsidRPr="00F652D7">
        <w:t xml:space="preserve"> электроэнергию и тепло, вырабатываемые из ископаемых видов топлива, в понятие ископаемых видов топлива.</w:t>
      </w:r>
    </w:p>
    <w:p w:rsidR="00F652D7" w:rsidRPr="00F652D7" w:rsidRDefault="00F652D7" w:rsidP="00371D4B">
      <w:pPr>
        <w:pStyle w:val="ab"/>
        <w:numPr>
          <w:ilvl w:val="0"/>
          <w:numId w:val="5"/>
        </w:numPr>
      </w:pPr>
      <w:r w:rsidRPr="00F652D7">
        <w:t>Включите неэнергетическое использование с необязательным мониторингом для измерения этого показателя.</w:t>
      </w:r>
    </w:p>
    <w:p w:rsidR="00F652D7" w:rsidRPr="00F652D7" w:rsidRDefault="00F652D7" w:rsidP="00371D4B">
      <w:pPr>
        <w:pStyle w:val="ab"/>
        <w:numPr>
          <w:ilvl w:val="0"/>
          <w:numId w:val="5"/>
        </w:numPr>
      </w:pPr>
      <w:r w:rsidRPr="00F652D7">
        <w:t>Дополнительные подробности представлены в методологическом документе, озаглавленном «Измерение субсидий на ископаемое топливо в контексте Целей устойчивого развития».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AB5596" w:rsidRDefault="00AB5596" w:rsidP="00AB5596">
      <w:pPr>
        <w:spacing w:line="240" w:lineRule="auto"/>
      </w:pPr>
      <w:r>
        <w:t xml:space="preserve">Процент (%) </w:t>
      </w:r>
      <w:r>
        <w:t>–</w:t>
      </w:r>
      <w:r>
        <w:t xml:space="preserve"> для субсидий на ископаемое топливо (потребление и производство) в процентах от общего ВВП;</w:t>
      </w:r>
    </w:p>
    <w:p w:rsidR="00AB5596" w:rsidRDefault="00AB5596" w:rsidP="00AB5596">
      <w:pPr>
        <w:spacing w:line="240" w:lineRule="auto"/>
      </w:pPr>
      <w:r>
        <w:t xml:space="preserve">Миллиарды номинальных долларов США </w:t>
      </w:r>
      <w:r>
        <w:t>–</w:t>
      </w:r>
      <w:r>
        <w:t xml:space="preserve"> на субсидии на ископаемое топливо (потребление и производство);</w:t>
      </w:r>
    </w:p>
    <w:p w:rsidR="00AB5596" w:rsidRDefault="00AB5596" w:rsidP="00AB5596">
      <w:pPr>
        <w:spacing w:line="240" w:lineRule="auto"/>
      </w:pPr>
      <w:r>
        <w:t xml:space="preserve">Номинальные доллары США </w:t>
      </w:r>
      <w:r>
        <w:t>–</w:t>
      </w:r>
      <w:r>
        <w:t xml:space="preserve"> для субсидий на ископаемое топливо (потребление и производство) на душу населения.</w:t>
      </w:r>
    </w:p>
    <w:p w:rsidR="00AB5596" w:rsidRDefault="00AB5596" w:rsidP="00AB5596">
      <w:pPr>
        <w:spacing w:line="240" w:lineRule="auto"/>
      </w:pPr>
    </w:p>
    <w:p w:rsidR="00AB5596" w:rsidRPr="00BD29EC" w:rsidRDefault="00AB5596" w:rsidP="00AB5596"/>
    <w:p w:rsidR="000A229E" w:rsidRPr="00BD29EC" w:rsidRDefault="000A229E" w:rsidP="0075371E">
      <w:pPr>
        <w:pStyle w:val="MHeader2"/>
        <w:rPr>
          <w:color w:val="auto"/>
          <w:sz w:val="24"/>
          <w:szCs w:val="24"/>
          <w:lang w:val="ru-RU"/>
        </w:rPr>
      </w:pPr>
      <w:r w:rsidRPr="00BD29EC">
        <w:rPr>
          <w:color w:val="auto"/>
          <w:sz w:val="24"/>
          <w:szCs w:val="24"/>
          <w:lang w:val="ru-RU"/>
        </w:rPr>
        <w:lastRenderedPageBreak/>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Default="00F917D7" w:rsidP="00F917D7">
      <w:pPr>
        <w:pStyle w:val="MText"/>
        <w:numPr>
          <w:ilvl w:val="0"/>
          <w:numId w:val="6"/>
        </w:numPr>
        <w:rPr>
          <w:color w:val="auto"/>
          <w:sz w:val="24"/>
          <w:szCs w:val="24"/>
          <w:lang w:val="ru-RU"/>
        </w:rPr>
      </w:pPr>
      <w:r w:rsidRPr="00F917D7">
        <w:rPr>
          <w:color w:val="auto"/>
          <w:sz w:val="24"/>
          <w:szCs w:val="24"/>
          <w:lang w:val="ru-RU"/>
        </w:rPr>
        <w:t>Стандартные коды стран или регионов для статистического использования (классификация стран и регионов UN M49).</w:t>
      </w:r>
    </w:p>
    <w:p w:rsidR="00F917D7" w:rsidRPr="00BD29EC" w:rsidRDefault="00F917D7"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D848B0" w:rsidRDefault="00D848B0" w:rsidP="00D848B0">
      <w:r w:rsidRPr="00D848B0">
        <w:t>Прямые трансферты, как правило, отражаются в государственных бюджетах и хорошо документируются в отраслевых министерствах и министерствах финансов с разбивкой по программам, если не по видам топлива. Те, которые соответствуют определению «субсидий» в СНС, т. е. субсидии на продукты и другие субсидии на производство, также можно найти в Системе национальных счетов страны. Бюджетные документы общедоступны для большинства стран. Однако степень детализации информации об отдельных программах в этих отчетах сильно различается. Поддержку корпорациям, занимающимся производством или преобразованием энергии, иногда можно найти, например, в их годовых отчетах. В некоторых случаях исследователи могут получить неопубликованные данные напрямую от государственных энергетических предприятий.</w:t>
      </w:r>
    </w:p>
    <w:p w:rsidR="00D848B0" w:rsidRDefault="00D848B0" w:rsidP="00D848B0">
      <w:r w:rsidRPr="00D848B0">
        <w:t>Индуцированный трансферт измеряется путем расчета ценового разрыва между ценой производителя или потребителя и справочной ценой и умножения этой разницы на затронутый объем производства или потребления.</w:t>
      </w:r>
    </w:p>
    <w:p w:rsidR="00D848B0" w:rsidRDefault="00D848B0" w:rsidP="00D848B0">
      <w:r w:rsidRPr="00D848B0">
        <w:t>Измерение стоимости специальных характеристик, введенных в налоговый кодекс для поддержки определенных отраслей или видов деятельности в этих отраслях (например, инвестиции в производственный капитал), может оказаться сложной задачей. Некоторые страны уже делают это и сообщают годовую стоимость этих налоговых функций в своих периодических отчетах о налоговых расходах. Если это не так, аналитик должен построить модель и оценить разницу в доходах, которые будут причитаться правительству при базовых условиях и с учетом специального налогового признака.</w:t>
      </w:r>
    </w:p>
    <w:p w:rsidR="00D848B0" w:rsidRPr="00BD29EC" w:rsidRDefault="00D848B0" w:rsidP="00D848B0">
      <w:r w:rsidRPr="00D848B0">
        <w:t>Субсидии на ископаемые виды топлива должны контролироваться на ежегодной основе.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DC467C" w:rsidRPr="00BD29EC" w:rsidRDefault="00DC467C" w:rsidP="00DC467C">
      <w:r w:rsidRPr="00DC467C">
        <w:t xml:space="preserve">Данные будут собираться </w:t>
      </w:r>
      <w:r>
        <w:t>ЮНЕП</w:t>
      </w:r>
      <w:r w:rsidRPr="00DC467C">
        <w:t xml:space="preserve"> среда посредством электронной отчетности, разрабатываемой </w:t>
      </w:r>
      <w:r>
        <w:t>ЮНЕП</w:t>
      </w:r>
      <w:r w:rsidRPr="00DC467C">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669E5" w:rsidRPr="00BD29EC" w:rsidRDefault="00C669E5" w:rsidP="00C669E5">
      <w:r w:rsidRPr="00C669E5">
        <w:t>Ежегодно с отчетностью о вынужденных трансфертах, начиная с 2018 г. Данные о прямых трансфертах и упущенных налоговых поступлениях будут готовы к 2020 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669E5" w:rsidRDefault="00C669E5" w:rsidP="00C669E5">
      <w:r>
        <w:t>Ежегодно</w:t>
      </w:r>
    </w:p>
    <w:p w:rsidR="00F917D7" w:rsidRPr="00BD29EC" w:rsidRDefault="00F917D7" w:rsidP="00C669E5"/>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669E5" w:rsidRPr="00C669E5" w:rsidRDefault="00C669E5" w:rsidP="00C669E5">
      <w:r w:rsidRPr="00C669E5">
        <w:t>1. Национальные координаторы из национальных статистических систем.</w:t>
      </w:r>
    </w:p>
    <w:p w:rsidR="00C669E5" w:rsidRPr="00A71EC6" w:rsidRDefault="00C669E5" w:rsidP="00C669E5">
      <w:r w:rsidRPr="00C669E5">
        <w:t xml:space="preserve">2. Международные поставщики оценок – </w:t>
      </w:r>
      <w:r w:rsidR="0095007F" w:rsidRPr="0095007F">
        <w:t>Организация экономического сотрудничества и развития (ОЭСР), Международное энергетическое агентство (МЭА) и Международный валютный фонд (МВФ)</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669E5" w:rsidRPr="00BD29EC" w:rsidRDefault="00C669E5" w:rsidP="00C669E5">
      <w:r w:rsidRPr="00C669E5">
        <w:t>Программа Организации Объединенных Наций по окружающей среде (ЮНЕП)</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669E5" w:rsidP="00C669E5">
      <w:r w:rsidRPr="00C669E5">
        <w:t>ЮНЕП была поручена роль агентства-</w:t>
      </w:r>
      <w:r>
        <w:t>куратора</w:t>
      </w:r>
      <w:r w:rsidRPr="00C669E5">
        <w:t xml:space="preserve"> этого показателя в рамках процесса достижения ЦУР.</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FA2E22" w:rsidP="00FA2E22">
      <w:r w:rsidRPr="00FA2E22">
        <w:t xml:space="preserve">Масштабы и влияние субсидий на ископаемое топливо создают как проблемы, так и возможности для достижения целей Повестки дня в области устойчивого развития на период до 2030 года. Во-первых, использование ископаемых видов топлива и их поощрение посредством схем субсидирования негативно влияет на способность правительств достигать ключевых целей, таких как сокращение бедности, улучшение здоровья, достижение гендерного равенства, обеспечение доступа к энергии и решение проблемы изменения климата. В то же время необходимо обеспечить, чтобы бедные домохозяйства, особенно уязвимые к повышению цен, получали или сохраняли доступ к энергии. Энергозависимые секторы экономики могут быть затронуты, особенно резкими изменениями цен. Поэтому любая успешная реформа требует тщательного анализа и </w:t>
      </w:r>
      <w:proofErr w:type="gramStart"/>
      <w:r w:rsidRPr="00FA2E22">
        <w:t>принятия</w:t>
      </w:r>
      <w:proofErr w:type="gramEnd"/>
      <w:r w:rsidRPr="00FA2E22">
        <w:t xml:space="preserve"> адаптированных мер по смягчению последствий. С другой стороны, перераспределение субсидий на ископаемое топливо в пользу секторов, имеющих значение для развития, могло бы ускорить достижение ЦУР.</w:t>
      </w:r>
    </w:p>
    <w:p w:rsidR="00FA2E22" w:rsidRPr="00BD29EC" w:rsidRDefault="00FA2E22" w:rsidP="00FA2E22">
      <w:r w:rsidRPr="00FA2E22">
        <w:t xml:space="preserve">Осведомленность и понимание существующих субсидий на основе достоверных данных необходимы для повышения прозрачности и информированности при принятии решений. Отчетность по глобальному показателю, измеряющему субсидии потребителей и производителей ископаемого топлива, дает глобальную картину, которая охватывает </w:t>
      </w:r>
      <w:proofErr w:type="gramStart"/>
      <w:r w:rsidRPr="00FA2E22">
        <w:t>субсидии</w:t>
      </w:r>
      <w:proofErr w:type="gramEnd"/>
      <w:r w:rsidRPr="00FA2E22">
        <w:t xml:space="preserve"> как потребителей, так и производителей. Он позволяет отслеживать национальные и глобальные тенденции и служит важным ориентиром для разработки политики.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A2E22" w:rsidRPr="00FA2E22" w:rsidRDefault="00FA2E22" w:rsidP="00FA2E22">
      <w:r w:rsidRPr="00FA2E22">
        <w:t xml:space="preserve">Мониторинг и отчетность по показателю 12.c.1 ЦУР требуют наличия в рамках национальных статистических систем потенциала для оценки прямых и косвенных трансфертов государственных средств. Сбор данных статистическими органами от отраслевых министерств и государственных предприятий, в том числе на </w:t>
      </w:r>
      <w:r w:rsidRPr="00FA2E22">
        <w:lastRenderedPageBreak/>
        <w:t xml:space="preserve">субнациональном уровне зависит от их возможностей. Необходимы дополнительные учебные материалы и обмен опытом по </w:t>
      </w:r>
      <w:r>
        <w:t>показателю</w:t>
      </w:r>
      <w:r w:rsidRPr="00FA2E22">
        <w:t>.</w:t>
      </w:r>
    </w:p>
    <w:p w:rsidR="00FA2E22" w:rsidRPr="00BD29EC" w:rsidRDefault="00FA2E22" w:rsidP="00FA2E22">
      <w:r w:rsidRPr="00FA2E22">
        <w:t>В методологии используется поэтапный мониторинг, позволяющий странам с различным потенц</w:t>
      </w:r>
      <w:r>
        <w:t>иалом участвовать в мониторинге показателя</w:t>
      </w:r>
      <w:r w:rsidRPr="00FA2E22">
        <w:t xml:space="preserve"> 12.c.1. Два этапа включают глобальный мониторинг, основанный на оценках разрыва в ценах, а также национальный мониторинг прямых и косвенных трансфертов с дополнительным мониторингом упущенных налоговых расходов.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A2E22" w:rsidRPr="00FA2E22" w:rsidRDefault="00FA2E22" w:rsidP="00FA2E22">
      <w:r w:rsidRPr="00FA2E22">
        <w:t>Предлагается, чтобы страны отчитывались по перечисленным ниже категориям субсидий в качестве подпоказателей.</w:t>
      </w:r>
    </w:p>
    <w:p w:rsidR="00FA2E22" w:rsidRPr="00FA2E22" w:rsidRDefault="00FA2E22" w:rsidP="00FA2E22">
      <w:r w:rsidRPr="00FA2E22">
        <w:t>- Прямые переводы;</w:t>
      </w:r>
    </w:p>
    <w:p w:rsidR="00FA2E22" w:rsidRPr="00FA2E22" w:rsidRDefault="00FA2E22" w:rsidP="00FA2E22">
      <w:r w:rsidRPr="00FA2E22">
        <w:t>- индуцированные трансферты (отчетность по регулируемым ценам и расчет общей суммы);</w:t>
      </w:r>
    </w:p>
    <w:p w:rsidR="00FA2E22" w:rsidRDefault="00FA2E22" w:rsidP="00FA2E22">
      <w:r w:rsidRPr="00FA2E22">
        <w:t>- Налоговые расходы, другие упущенные государственные доходы и занижение цен на товары и услуги, включая риск</w:t>
      </w:r>
      <w:r>
        <w:t>и</w:t>
      </w:r>
      <w:r w:rsidRPr="00FA2E22">
        <w:t xml:space="preserve"> (необязательно).</w:t>
      </w:r>
    </w:p>
    <w:p w:rsidR="00FA2E22" w:rsidRDefault="00FA2E22" w:rsidP="00FA2E22">
      <w:r w:rsidRPr="00FA2E22">
        <w:t xml:space="preserve">Последняя категория должна быть включена в качестве дополнительного вспомогательного показателя. Каждый подпоказатель должен быть выражен в национальной валюте или долларах США в текущих ценах. </w:t>
      </w:r>
      <w:proofErr w:type="gramStart"/>
      <w:r w:rsidRPr="00FA2E22">
        <w:t>ООН-Окружающая</w:t>
      </w:r>
      <w:proofErr w:type="gramEnd"/>
      <w:r w:rsidRPr="00FA2E22">
        <w:t xml:space="preserve"> среда будет использовать рыночные обменные курсы для расчета между национальной валютой и долларом США.</w:t>
      </w:r>
    </w:p>
    <w:p w:rsidR="00FA2E22" w:rsidRDefault="00FA2E22" w:rsidP="00FA2E22">
      <w:r>
        <w:t xml:space="preserve">Следует проявлять осторожность, если страна решит агрегировать данные по трем </w:t>
      </w:r>
      <w:proofErr w:type="spellStart"/>
      <w:r>
        <w:t>подпоказателям</w:t>
      </w:r>
      <w:proofErr w:type="spellEnd"/>
      <w:r>
        <w:t>, чтобы избежать двойного учета, и все три подпоказателя должны быть общедоступными для обеспечения прозрачности. Необходимо соблюдать осторожность при объединении оценок индуцированных трансфертов с данными о прямых трансфертах и некоторых показателях занижения цен на товары и услуги.</w:t>
      </w:r>
    </w:p>
    <w:p w:rsidR="00FA2E22" w:rsidRDefault="00FA2E22" w:rsidP="00FA2E22">
      <w:r>
        <w:t>Оценки субсидий потребителям, наблюдаемых через ценовые разрывы (т. е. поддержка потребительских цен), были рассчитаны несколькими международными организациями (МАБР, МЭА и МВФ) и охватывают различные географические регионы и периоды времени. Три организации, производящие эти оценки, используют примерно один и тот же подход, который можно резюмировать следующим уравнением:</w:t>
      </w:r>
    </w:p>
    <w:p w:rsidR="00FA2E22" w:rsidRDefault="00FA2E22" w:rsidP="00FA2E22">
      <w:r>
        <w:t>Поддержка потребительских цен = (скорректированная эталонная цена за вычетом налогов – местная цена за вычетом налогов) x количество субсидируемых единиц</w:t>
      </w:r>
    </w:p>
    <w:p w:rsidR="00FA2E22" w:rsidRDefault="00FA2E22" w:rsidP="00FA2E22">
      <w:r>
        <w:t xml:space="preserve">Оценки основаны на справочных ценах импортных (или экспортных) паритетных цен с использованием цены продукта в ближайшем международном центре, с поправкой на разницу в качестве, если необходимо, плюс (или минус) стоимость фрахта и страхования для нетто-импортера (или обратно к нетто-экспортеру), плюс расходы на внутреннюю дистрибуцию и маркетинг, а также любой налог на добавленную стоимость (НДС). Для </w:t>
      </w:r>
      <w:r>
        <w:lastRenderedPageBreak/>
        <w:t xml:space="preserve">торгуемых товаров (в основном угля, сырой нефти и нефтепродуктов) справочные цены основаны на </w:t>
      </w:r>
      <w:proofErr w:type="spellStart"/>
      <w:r>
        <w:t>спотовой</w:t>
      </w:r>
      <w:proofErr w:type="spellEnd"/>
      <w:r>
        <w:t xml:space="preserve"> цене в ближайшем международном центре, например, в США, Северо-Западной Европе или Сингапуре.</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FB7A5C" w:rsidRDefault="00FB7A5C" w:rsidP="00FB7A5C">
      <w:r w:rsidRPr="00FB7A5C">
        <w:t xml:space="preserve">Данные, отправляемые в ЮНЕП, будут </w:t>
      </w:r>
      <w:proofErr w:type="gramStart"/>
      <w:r w:rsidRPr="00FB7A5C">
        <w:t>контролироваться</w:t>
      </w:r>
      <w:proofErr w:type="gramEnd"/>
      <w:r w:rsidRPr="00FB7A5C">
        <w:t xml:space="preserve"> и проверяться на качество с помощью институциональных партнеров, прежде чем будут переданы в СОООН.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996F3D" w:rsidRDefault="00694160" w:rsidP="00996F3D">
      <w:pPr>
        <w:pStyle w:val="ab"/>
        <w:numPr>
          <w:ilvl w:val="0"/>
          <w:numId w:val="6"/>
        </w:numPr>
        <w:rPr>
          <w:b/>
        </w:rPr>
      </w:pPr>
      <w:r w:rsidRPr="00996F3D">
        <w:rPr>
          <w:b/>
        </w:rPr>
        <w:t>На уровне страны</w:t>
      </w:r>
    </w:p>
    <w:p w:rsidR="002E15F9" w:rsidRPr="00BD29EC" w:rsidRDefault="00FB7A5C" w:rsidP="00FB7A5C">
      <w:r>
        <w:t>Вменение не производится.</w:t>
      </w:r>
    </w:p>
    <w:p w:rsidR="002E15F9" w:rsidRPr="00996F3D" w:rsidRDefault="00694160" w:rsidP="00996F3D">
      <w:pPr>
        <w:pStyle w:val="ab"/>
        <w:numPr>
          <w:ilvl w:val="0"/>
          <w:numId w:val="6"/>
        </w:numPr>
        <w:rPr>
          <w:b/>
        </w:rPr>
      </w:pPr>
      <w:r w:rsidRPr="00996F3D">
        <w:rPr>
          <w:b/>
        </w:rPr>
        <w:t>На региональном и глобальном уровнях</w:t>
      </w:r>
    </w:p>
    <w:p w:rsidR="00694160" w:rsidRPr="00BD29EC" w:rsidRDefault="00FB7A5C" w:rsidP="00FB7A5C">
      <w:r w:rsidRPr="00FB7A5C">
        <w:t>Метод ценового разрыва используется для создания национальных, региональных и глобальных оценок.</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FB7A5C" w:rsidRDefault="00FB7A5C" w:rsidP="00FB7A5C">
      <w:pPr>
        <w:rPr>
          <w:rFonts w:eastAsia="Times New Roman" w:cs="Times New Roman"/>
          <w:color w:val="0000FF" w:themeColor="hyperlink"/>
          <w:sz w:val="21"/>
          <w:szCs w:val="21"/>
          <w:u w:val="single"/>
          <w:lang w:eastAsia="en-GB"/>
        </w:rPr>
      </w:pPr>
      <w:r w:rsidRPr="00FB7A5C">
        <w:t>Методология, используемая для расчета региональных/глобальных агрегированных значений по странам, доступна по адресу</w:t>
      </w:r>
      <w:r>
        <w:t xml:space="preserve"> </w:t>
      </w:r>
      <w:hyperlink r:id="rId9" w:history="1">
        <w:r w:rsidRPr="00996F3D">
          <w:rPr>
            <w:rStyle w:val="ac"/>
            <w:rFonts w:eastAsia="Times New Roman" w:cs="Times New Roman"/>
            <w:szCs w:val="24"/>
            <w:lang w:eastAsia="en-GB"/>
          </w:rPr>
          <w:t>http://wesr.unep.org/media/docs/graphs/aggregation_methods.pdf</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FB7A5C" w:rsidRPr="00BD29EC" w:rsidRDefault="005A64B9" w:rsidP="00FB7A5C">
      <w:hyperlink r:id="rId10" w:history="1">
        <w:r w:rsidR="00FB7A5C" w:rsidRPr="008C64B2">
          <w:rPr>
            <w:rStyle w:val="ac"/>
          </w:rPr>
          <w:t>https</w:t>
        </w:r>
        <w:r w:rsidR="00FB7A5C" w:rsidRPr="00FB7A5C">
          <w:rPr>
            <w:rStyle w:val="ac"/>
          </w:rPr>
          <w:t>://</w:t>
        </w:r>
        <w:r w:rsidR="00FB7A5C" w:rsidRPr="008C64B2">
          <w:rPr>
            <w:rStyle w:val="ac"/>
          </w:rPr>
          <w:t>wedocs</w:t>
        </w:r>
        <w:r w:rsidR="00FB7A5C" w:rsidRPr="00FB7A5C">
          <w:rPr>
            <w:rStyle w:val="ac"/>
          </w:rPr>
          <w:t>.</w:t>
        </w:r>
        <w:r w:rsidR="00FB7A5C" w:rsidRPr="008C64B2">
          <w:rPr>
            <w:rStyle w:val="ac"/>
          </w:rPr>
          <w:t>unep</w:t>
        </w:r>
        <w:r w:rsidR="00FB7A5C" w:rsidRPr="00FB7A5C">
          <w:rPr>
            <w:rStyle w:val="ac"/>
          </w:rPr>
          <w:t>.</w:t>
        </w:r>
        <w:r w:rsidR="00FB7A5C" w:rsidRPr="008C64B2">
          <w:rPr>
            <w:rStyle w:val="ac"/>
          </w:rPr>
          <w:t>org</w:t>
        </w:r>
        <w:r w:rsidR="00FB7A5C" w:rsidRPr="00FB7A5C">
          <w:rPr>
            <w:rStyle w:val="ac"/>
          </w:rPr>
          <w:t>/</w:t>
        </w:r>
        <w:r w:rsidR="00FB7A5C" w:rsidRPr="008C64B2">
          <w:rPr>
            <w:rStyle w:val="ac"/>
          </w:rPr>
          <w:t>bitstream</w:t>
        </w:r>
        <w:r w:rsidR="00FB7A5C" w:rsidRPr="00FB7A5C">
          <w:rPr>
            <w:rStyle w:val="ac"/>
          </w:rPr>
          <w:t>/</w:t>
        </w:r>
        <w:r w:rsidR="00FB7A5C" w:rsidRPr="008C64B2">
          <w:rPr>
            <w:rStyle w:val="ac"/>
          </w:rPr>
          <w:t>handle</w:t>
        </w:r>
        <w:r w:rsidR="00FB7A5C" w:rsidRPr="00FB7A5C">
          <w:rPr>
            <w:rStyle w:val="ac"/>
          </w:rPr>
          <w:t>/20.500.11822/28111/</w:t>
        </w:r>
        <w:r w:rsidR="00FB7A5C" w:rsidRPr="008C64B2">
          <w:rPr>
            <w:rStyle w:val="ac"/>
          </w:rPr>
          <w:t>FossilFuel</w:t>
        </w:r>
        <w:r w:rsidR="00FB7A5C" w:rsidRPr="00FB7A5C">
          <w:rPr>
            <w:rStyle w:val="ac"/>
          </w:rPr>
          <w:t>.</w:t>
        </w:r>
        <w:r w:rsidR="00FB7A5C" w:rsidRPr="008C64B2">
          <w:rPr>
            <w:rStyle w:val="ac"/>
          </w:rPr>
          <w:t>pdf</w:t>
        </w:r>
        <w:r w:rsidR="00FB7A5C" w:rsidRPr="00FB7A5C">
          <w:rPr>
            <w:rStyle w:val="ac"/>
          </w:rPr>
          <w:t>?</w:t>
        </w:r>
        <w:r w:rsidR="00FB7A5C" w:rsidRPr="008C64B2">
          <w:rPr>
            <w:rStyle w:val="ac"/>
          </w:rPr>
          <w:t>sequence</w:t>
        </w:r>
        <w:r w:rsidR="00FB7A5C" w:rsidRPr="00FB7A5C">
          <w:rPr>
            <w:rStyle w:val="ac"/>
          </w:rPr>
          <w:t>=1&amp;</w:t>
        </w:r>
        <w:r w:rsidR="00FB7A5C" w:rsidRPr="008C64B2">
          <w:rPr>
            <w:rStyle w:val="ac"/>
          </w:rPr>
          <w:t>isAllowed</w:t>
        </w:r>
        <w:r w:rsidR="00FB7A5C" w:rsidRPr="00FB7A5C">
          <w:rPr>
            <w:rStyle w:val="ac"/>
          </w:rPr>
          <w:t>=</w:t>
        </w:r>
        <w:r w:rsidR="00FB7A5C" w:rsidRPr="008C64B2">
          <w:rPr>
            <w:rStyle w:val="ac"/>
          </w:rPr>
          <w:t>y</w:t>
        </w:r>
      </w:hyperlink>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FB7A5C" w:rsidRPr="00FB7A5C" w:rsidRDefault="00996F3D" w:rsidP="00FB7A5C">
      <w:pPr>
        <w:rPr>
          <w:color w:val="4A4A4A"/>
          <w:sz w:val="21"/>
          <w:szCs w:val="21"/>
        </w:rPr>
      </w:pPr>
      <w:r w:rsidRPr="00996F3D">
        <w:t>Управление качеством обеспечивается Программой ООН по окружающей среде (ЮНЕП)</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FB7A5C" w:rsidRPr="00FB7A5C" w:rsidRDefault="00996F3D" w:rsidP="00FB7A5C">
      <w:pPr>
        <w:rPr>
          <w:color w:val="4A4A4A"/>
          <w:sz w:val="21"/>
          <w:szCs w:val="21"/>
        </w:rPr>
      </w:pPr>
      <w:r w:rsidRPr="00996F3D">
        <w:t>Гарантию качества обеспечивает Программа ООН по окружающей среде (ЮНЕП) в сотрудничестве со странами, предоставляющими эти данные.</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FB7A5C" w:rsidRPr="00FB7A5C" w:rsidRDefault="00960788" w:rsidP="00FB7A5C">
      <w:pPr>
        <w:rPr>
          <w:color w:val="4A4A4A"/>
          <w:sz w:val="21"/>
          <w:szCs w:val="21"/>
        </w:rPr>
      </w:pPr>
      <w:r w:rsidRPr="00960788">
        <w:t>Оценка качества предоставлена ​​Программой ООН по окружающей среде (ЮНЕП).</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960788">
        <w:rPr>
          <w:b/>
          <w:color w:val="auto"/>
          <w:sz w:val="24"/>
          <w:szCs w:val="24"/>
          <w:lang w:val="ru-RU"/>
        </w:rPr>
        <w:t xml:space="preserve">ация </w:t>
      </w:r>
      <w:r w:rsidR="0075371E" w:rsidRPr="00BD29EC">
        <w:rPr>
          <w:b/>
          <w:color w:val="auto"/>
          <w:sz w:val="24"/>
          <w:szCs w:val="24"/>
          <w:lang w:val="ru-RU"/>
        </w:rPr>
        <w:t>данных</w:t>
      </w:r>
    </w:p>
    <w:p w:rsidR="0075371E" w:rsidRPr="00960788" w:rsidRDefault="0075371E" w:rsidP="0075371E">
      <w:pPr>
        <w:pStyle w:val="MText"/>
        <w:rPr>
          <w:b/>
          <w:color w:val="auto"/>
          <w:sz w:val="24"/>
          <w:szCs w:val="24"/>
          <w:lang w:val="ru-RU"/>
        </w:rPr>
      </w:pPr>
      <w:r w:rsidRPr="00960788">
        <w:rPr>
          <w:b/>
          <w:color w:val="auto"/>
          <w:sz w:val="24"/>
          <w:szCs w:val="24"/>
          <w:lang w:val="ru-RU"/>
        </w:rPr>
        <w:t>Доступность данных:</w:t>
      </w:r>
    </w:p>
    <w:p w:rsidR="007C6DEA" w:rsidRPr="00BD29EC" w:rsidRDefault="007C6DEA" w:rsidP="007C6DEA">
      <w:r w:rsidRPr="007C6DEA">
        <w:t xml:space="preserve">Первоначальная оценка доступности исходных данных показывает, что 99 стран имеют существующие данные, которые можно использовать для оценки ископаемых видов </w:t>
      </w:r>
      <w:r w:rsidRPr="007C6DEA">
        <w:lastRenderedPageBreak/>
        <w:t xml:space="preserve">топлива в результате прямого переноса, и многие из этих стран также располагают информацией об упущенных налоговых поступлениях. Данные </w:t>
      </w:r>
      <w:proofErr w:type="gramStart"/>
      <w:r w:rsidRPr="007C6DEA">
        <w:t>о</w:t>
      </w:r>
      <w:proofErr w:type="gramEnd"/>
      <w:r w:rsidRPr="007C6DEA">
        <w:t xml:space="preserve"> индуцированных трансфертах с использованием метода ценового разрыва доступны для всех государств-членов ООН.</w:t>
      </w:r>
    </w:p>
    <w:p w:rsidR="0075371E" w:rsidRPr="00960788" w:rsidRDefault="0075371E" w:rsidP="0075371E">
      <w:pPr>
        <w:pStyle w:val="MText"/>
        <w:rPr>
          <w:b/>
          <w:color w:val="auto"/>
          <w:sz w:val="24"/>
          <w:szCs w:val="24"/>
          <w:lang w:val="ru-RU"/>
        </w:rPr>
      </w:pPr>
      <w:r w:rsidRPr="00960788">
        <w:rPr>
          <w:b/>
          <w:color w:val="auto"/>
          <w:sz w:val="24"/>
          <w:szCs w:val="24"/>
          <w:lang w:val="ru-RU"/>
        </w:rPr>
        <w:t>Временные ряды:</w:t>
      </w:r>
    </w:p>
    <w:p w:rsidR="007C6DEA" w:rsidRPr="00BD29EC" w:rsidRDefault="007C6DEA" w:rsidP="007C6DEA">
      <w:r w:rsidRPr="007C6DEA">
        <w:t>Отчетность по этому показателю будет представляться в соответствии с годовым циклом, при этом первоначальная отчетность о вынужденных трансфертах начнется в 2018 году. Данные о прямых трансфертах и упущенных налоговых поступлениях будут готовы к 2020 году.</w:t>
      </w:r>
    </w:p>
    <w:p w:rsidR="0075371E" w:rsidRPr="00960788" w:rsidRDefault="00960788" w:rsidP="0075371E">
      <w:pPr>
        <w:pStyle w:val="MText"/>
        <w:rPr>
          <w:b/>
          <w:color w:val="auto"/>
          <w:sz w:val="24"/>
          <w:szCs w:val="24"/>
          <w:lang w:val="ru-RU"/>
        </w:rPr>
      </w:pPr>
      <w:r w:rsidRPr="00960788">
        <w:rPr>
          <w:b/>
          <w:color w:val="auto"/>
          <w:sz w:val="24"/>
          <w:szCs w:val="24"/>
          <w:lang w:val="ru-RU"/>
        </w:rPr>
        <w:t>Дезагрегация</w:t>
      </w:r>
      <w:r w:rsidR="0075371E" w:rsidRPr="00960788">
        <w:rPr>
          <w:b/>
          <w:color w:val="auto"/>
          <w:sz w:val="24"/>
          <w:szCs w:val="24"/>
          <w:lang w:val="ru-RU"/>
        </w:rPr>
        <w:t>:</w:t>
      </w:r>
    </w:p>
    <w:p w:rsidR="007C6DEA" w:rsidRPr="00BD29EC" w:rsidRDefault="007C6DEA" w:rsidP="007C6DEA">
      <w:r w:rsidRPr="007C6DEA">
        <w:t>Поэтому из-за риска двойного учета набор данных должен предоставлять дезагрегированную информацию об отдельных мерах субсидирования, которые будут представлены в качестве подпоказателей по категориям субсидий.</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7140F0" w:rsidRPr="007140F0" w:rsidRDefault="007140F0" w:rsidP="007C6DEA">
      <w:pPr>
        <w:rPr>
          <w:b/>
          <w:lang w:eastAsia="en-GB"/>
        </w:rPr>
      </w:pPr>
      <w:r w:rsidRPr="007140F0">
        <w:rPr>
          <w:b/>
          <w:lang w:eastAsia="en-GB"/>
        </w:rPr>
        <w:t>Источники расхождений:</w:t>
      </w:r>
    </w:p>
    <w:p w:rsidR="007C6DEA" w:rsidRDefault="007C6DEA" w:rsidP="007C6DEA">
      <w:pPr>
        <w:rPr>
          <w:lang w:eastAsia="en-GB"/>
        </w:rPr>
      </w:pPr>
      <w:r w:rsidRPr="007C6DEA">
        <w:rPr>
          <w:lang w:eastAsia="en-GB"/>
        </w:rPr>
        <w:t xml:space="preserve">Данные на уровне страны и данные о разнице в ценах показаны отдельно, поэтому это не должно </w:t>
      </w:r>
      <w:r>
        <w:rPr>
          <w:lang w:eastAsia="en-GB"/>
        </w:rPr>
        <w:t>быть применимым</w:t>
      </w:r>
      <w:r w:rsidRPr="007C6DEA">
        <w:rPr>
          <w:lang w:eastAsia="en-GB"/>
        </w:rPr>
        <w:t>.</w:t>
      </w:r>
    </w:p>
    <w:p w:rsidR="007C6DEA" w:rsidRPr="005A64B9" w:rsidRDefault="00040034" w:rsidP="007C6DEA">
      <w:pPr>
        <w:pBdr>
          <w:bottom w:val="single" w:sz="12" w:space="4" w:color="DDDDDD"/>
        </w:pBdr>
        <w:shd w:val="clear" w:color="auto" w:fill="FFFFFF"/>
        <w:spacing w:after="100"/>
        <w:outlineLvl w:val="2"/>
        <w:rPr>
          <w:rFonts w:eastAsia="Times New Roman" w:cs="Times New Roman"/>
          <w:b/>
          <w:szCs w:val="24"/>
          <w:lang w:val="en-US" w:eastAsia="en-GB"/>
        </w:rPr>
      </w:pPr>
      <w:r w:rsidRPr="005A64B9">
        <w:rPr>
          <w:rFonts w:eastAsia="Times New Roman" w:cs="Times New Roman"/>
          <w:b/>
          <w:szCs w:val="24"/>
          <w:lang w:val="en-US" w:eastAsia="en-GB"/>
        </w:rPr>
        <w:t xml:space="preserve">7. </w:t>
      </w:r>
      <w:r>
        <w:rPr>
          <w:rFonts w:eastAsia="Times New Roman" w:cs="Times New Roman"/>
          <w:b/>
          <w:szCs w:val="24"/>
          <w:lang w:eastAsia="en-GB"/>
        </w:rPr>
        <w:t>Ссылки</w:t>
      </w:r>
      <w:r w:rsidRPr="005A64B9">
        <w:rPr>
          <w:rFonts w:eastAsia="Times New Roman" w:cs="Times New Roman"/>
          <w:b/>
          <w:szCs w:val="24"/>
          <w:lang w:val="en-US" w:eastAsia="en-GB"/>
        </w:rPr>
        <w:t xml:space="preserve"> </w:t>
      </w:r>
      <w:r>
        <w:rPr>
          <w:rFonts w:eastAsia="Times New Roman" w:cs="Times New Roman"/>
          <w:b/>
          <w:szCs w:val="24"/>
          <w:lang w:eastAsia="en-GB"/>
        </w:rPr>
        <w:t>и</w:t>
      </w:r>
      <w:r w:rsidRPr="005A64B9">
        <w:rPr>
          <w:rFonts w:eastAsia="Times New Roman" w:cs="Times New Roman"/>
          <w:b/>
          <w:szCs w:val="24"/>
          <w:lang w:val="en-US" w:eastAsia="en-GB"/>
        </w:rPr>
        <w:t xml:space="preserve"> </w:t>
      </w:r>
      <w:r w:rsidR="007C6DEA">
        <w:rPr>
          <w:rFonts w:eastAsia="Times New Roman" w:cs="Times New Roman"/>
          <w:b/>
          <w:szCs w:val="24"/>
          <w:lang w:eastAsia="en-GB"/>
        </w:rPr>
        <w:t>документы</w:t>
      </w:r>
    </w:p>
    <w:p w:rsidR="00040034" w:rsidRPr="005A64B9" w:rsidRDefault="005A64B9" w:rsidP="005A64B9">
      <w:pPr>
        <w:rPr>
          <w:lang w:val="en-US" w:eastAsia="en-GB"/>
        </w:rPr>
      </w:pPr>
      <w:proofErr w:type="gramStart"/>
      <w:r w:rsidRPr="005A64B9">
        <w:rPr>
          <w:lang w:val="en-US" w:eastAsia="en-GB"/>
        </w:rPr>
        <w:t>UNEP (2019).</w:t>
      </w:r>
      <w:proofErr w:type="gramEnd"/>
      <w:r w:rsidRPr="005A64B9">
        <w:rPr>
          <w:lang w:val="en-US" w:eastAsia="en-GB"/>
        </w:rPr>
        <w:t xml:space="preserve"> Measuring Fossil Fuel Subsidies in the Context of the Sustainable Development Goals: </w:t>
      </w:r>
      <w:hyperlink r:id="rId11" w:history="1">
        <w:r w:rsidRPr="00E27453">
          <w:rPr>
            <w:rStyle w:val="ac"/>
            <w:lang w:val="en-US" w:eastAsia="en-GB"/>
          </w:rPr>
          <w:t>https://www.unep.org/resources/report/measuring-fossil-fuel-subsidies-context-sustainable-development-goals</w:t>
        </w:r>
      </w:hyperlink>
      <w:bookmarkStart w:id="5" w:name="_GoBack"/>
      <w:bookmarkEnd w:id="5"/>
    </w:p>
    <w:sectPr w:rsidR="00040034" w:rsidRPr="005A64B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00" w:rsidRDefault="00FC5800" w:rsidP="00F73DBC">
      <w:pPr>
        <w:spacing w:after="0" w:line="240" w:lineRule="auto"/>
      </w:pPr>
      <w:r>
        <w:separator/>
      </w:r>
    </w:p>
  </w:endnote>
  <w:endnote w:type="continuationSeparator" w:id="0">
    <w:p w:rsidR="00FC5800" w:rsidRDefault="00FC580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00" w:rsidRDefault="00FC5800" w:rsidP="00F73DBC">
      <w:pPr>
        <w:spacing w:after="0" w:line="240" w:lineRule="auto"/>
      </w:pPr>
      <w:r>
        <w:separator/>
      </w:r>
    </w:p>
  </w:footnote>
  <w:footnote w:type="continuationSeparator" w:id="0">
    <w:p w:rsidR="00FC5800" w:rsidRDefault="00FC580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F85991">
      <w:rPr>
        <w:rFonts w:cs="Times New Roman"/>
      </w:rPr>
      <w:t>ию</w:t>
    </w:r>
    <w:r w:rsidR="000E5949">
      <w:rPr>
        <w:rFonts w:cs="Times New Roman"/>
      </w:rPr>
      <w:t xml:space="preserve">нь </w:t>
    </w:r>
    <w:r w:rsidR="00781DE7" w:rsidRPr="00087B96">
      <w:rPr>
        <w:rFonts w:cs="Times New Roman"/>
      </w:rPr>
      <w:t>202</w:t>
    </w:r>
    <w:r w:rsidR="000E5949">
      <w:rPr>
        <w:rFonts w:cs="Times New Roman"/>
      </w:rPr>
      <w:t>4</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E45A9C"/>
    <w:multiLevelType w:val="hybridMultilevel"/>
    <w:tmpl w:val="B892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1846A4"/>
    <w:multiLevelType w:val="hybridMultilevel"/>
    <w:tmpl w:val="FE8C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1F0B"/>
    <w:rsid w:val="000476F9"/>
    <w:rsid w:val="00053D20"/>
    <w:rsid w:val="00087B96"/>
    <w:rsid w:val="000A210D"/>
    <w:rsid w:val="000A229E"/>
    <w:rsid w:val="000C5EF5"/>
    <w:rsid w:val="000E5949"/>
    <w:rsid w:val="000F3B83"/>
    <w:rsid w:val="00116248"/>
    <w:rsid w:val="001470A2"/>
    <w:rsid w:val="001612F6"/>
    <w:rsid w:val="00165896"/>
    <w:rsid w:val="001762D0"/>
    <w:rsid w:val="001A163A"/>
    <w:rsid w:val="001E2FC9"/>
    <w:rsid w:val="002064C4"/>
    <w:rsid w:val="002306F8"/>
    <w:rsid w:val="00236B06"/>
    <w:rsid w:val="002634A2"/>
    <w:rsid w:val="00291FA0"/>
    <w:rsid w:val="002C7BF9"/>
    <w:rsid w:val="002E122C"/>
    <w:rsid w:val="002E15F9"/>
    <w:rsid w:val="002F63E5"/>
    <w:rsid w:val="00303D71"/>
    <w:rsid w:val="003143BC"/>
    <w:rsid w:val="00371D4B"/>
    <w:rsid w:val="003746BC"/>
    <w:rsid w:val="003859BD"/>
    <w:rsid w:val="003A325C"/>
    <w:rsid w:val="003D58DC"/>
    <w:rsid w:val="00407AF0"/>
    <w:rsid w:val="00407E4E"/>
    <w:rsid w:val="004143B4"/>
    <w:rsid w:val="00421928"/>
    <w:rsid w:val="004344AC"/>
    <w:rsid w:val="00456E71"/>
    <w:rsid w:val="004D2413"/>
    <w:rsid w:val="004E087E"/>
    <w:rsid w:val="00503B4A"/>
    <w:rsid w:val="00587D0B"/>
    <w:rsid w:val="005A64B9"/>
    <w:rsid w:val="005E47BD"/>
    <w:rsid w:val="005F2C0B"/>
    <w:rsid w:val="00665FC6"/>
    <w:rsid w:val="006704C2"/>
    <w:rsid w:val="00682107"/>
    <w:rsid w:val="00694160"/>
    <w:rsid w:val="006B260E"/>
    <w:rsid w:val="006B3939"/>
    <w:rsid w:val="006C43F8"/>
    <w:rsid w:val="006D7049"/>
    <w:rsid w:val="00702333"/>
    <w:rsid w:val="00705161"/>
    <w:rsid w:val="007140F0"/>
    <w:rsid w:val="00741A39"/>
    <w:rsid w:val="0075371E"/>
    <w:rsid w:val="00753F18"/>
    <w:rsid w:val="00780F08"/>
    <w:rsid w:val="00781DE7"/>
    <w:rsid w:val="007B07B2"/>
    <w:rsid w:val="007B0CFD"/>
    <w:rsid w:val="007B32CE"/>
    <w:rsid w:val="007C27E0"/>
    <w:rsid w:val="007C507B"/>
    <w:rsid w:val="007C6DEA"/>
    <w:rsid w:val="007D1185"/>
    <w:rsid w:val="007D1FD7"/>
    <w:rsid w:val="007F06DF"/>
    <w:rsid w:val="008138AD"/>
    <w:rsid w:val="00836F3E"/>
    <w:rsid w:val="00853C09"/>
    <w:rsid w:val="0095007F"/>
    <w:rsid w:val="009508D1"/>
    <w:rsid w:val="00957A62"/>
    <w:rsid w:val="00960788"/>
    <w:rsid w:val="00963238"/>
    <w:rsid w:val="009655B4"/>
    <w:rsid w:val="009737AE"/>
    <w:rsid w:val="00980F79"/>
    <w:rsid w:val="00982FE8"/>
    <w:rsid w:val="00996F3D"/>
    <w:rsid w:val="009C064B"/>
    <w:rsid w:val="009F43A6"/>
    <w:rsid w:val="00A110F9"/>
    <w:rsid w:val="00A53D4B"/>
    <w:rsid w:val="00A618FC"/>
    <w:rsid w:val="00A71EC6"/>
    <w:rsid w:val="00A82CD3"/>
    <w:rsid w:val="00A91FDE"/>
    <w:rsid w:val="00AB5596"/>
    <w:rsid w:val="00AC1A97"/>
    <w:rsid w:val="00B0378B"/>
    <w:rsid w:val="00B3108A"/>
    <w:rsid w:val="00B72F77"/>
    <w:rsid w:val="00BD29EC"/>
    <w:rsid w:val="00BE2C5D"/>
    <w:rsid w:val="00BE415C"/>
    <w:rsid w:val="00C34D15"/>
    <w:rsid w:val="00C47A4A"/>
    <w:rsid w:val="00C515AF"/>
    <w:rsid w:val="00C669E5"/>
    <w:rsid w:val="00C8596F"/>
    <w:rsid w:val="00C90708"/>
    <w:rsid w:val="00C95AB2"/>
    <w:rsid w:val="00CA1CB1"/>
    <w:rsid w:val="00CA53CA"/>
    <w:rsid w:val="00D05466"/>
    <w:rsid w:val="00D210D5"/>
    <w:rsid w:val="00D2619D"/>
    <w:rsid w:val="00D848B0"/>
    <w:rsid w:val="00DA19D7"/>
    <w:rsid w:val="00DC18AA"/>
    <w:rsid w:val="00DC467C"/>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652D7"/>
    <w:rsid w:val="00F73DBC"/>
    <w:rsid w:val="00F84FF1"/>
    <w:rsid w:val="00F85991"/>
    <w:rsid w:val="00F917D7"/>
    <w:rsid w:val="00F92D6F"/>
    <w:rsid w:val="00FA2E22"/>
    <w:rsid w:val="00FB66D9"/>
    <w:rsid w:val="00FB7A5C"/>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2699">
      <w:bodyDiv w:val="1"/>
      <w:marLeft w:val="0"/>
      <w:marRight w:val="0"/>
      <w:marTop w:val="0"/>
      <w:marBottom w:val="0"/>
      <w:divBdr>
        <w:top w:val="none" w:sz="0" w:space="0" w:color="auto"/>
        <w:left w:val="none" w:sz="0" w:space="0" w:color="auto"/>
        <w:bottom w:val="none" w:sz="0" w:space="0" w:color="auto"/>
        <w:right w:val="none" w:sz="0" w:space="0" w:color="auto"/>
      </w:divBdr>
    </w:div>
    <w:div w:id="339042077">
      <w:bodyDiv w:val="1"/>
      <w:marLeft w:val="0"/>
      <w:marRight w:val="0"/>
      <w:marTop w:val="0"/>
      <w:marBottom w:val="0"/>
      <w:divBdr>
        <w:top w:val="none" w:sz="0" w:space="0" w:color="auto"/>
        <w:left w:val="none" w:sz="0" w:space="0" w:color="auto"/>
        <w:bottom w:val="none" w:sz="0" w:space="0" w:color="auto"/>
        <w:right w:val="none" w:sz="0" w:space="0" w:color="auto"/>
      </w:divBdr>
    </w:div>
    <w:div w:id="699746837">
      <w:bodyDiv w:val="1"/>
      <w:marLeft w:val="0"/>
      <w:marRight w:val="0"/>
      <w:marTop w:val="0"/>
      <w:marBottom w:val="0"/>
      <w:divBdr>
        <w:top w:val="none" w:sz="0" w:space="0" w:color="auto"/>
        <w:left w:val="none" w:sz="0" w:space="0" w:color="auto"/>
        <w:bottom w:val="none" w:sz="0" w:space="0" w:color="auto"/>
        <w:right w:val="none" w:sz="0" w:space="0" w:color="auto"/>
      </w:divBdr>
    </w:div>
    <w:div w:id="1259363204">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ep.org/resources/report/measuring-fossil-fuel-subsidies-context-sustainable-development-goals" TargetMode="External"/><Relationship Id="rId5" Type="http://schemas.openxmlformats.org/officeDocument/2006/relationships/settings" Target="settings.xml"/><Relationship Id="rId10" Type="http://schemas.openxmlformats.org/officeDocument/2006/relationships/hyperlink" Target="https://wedocs.unep.org/bitstream/handle/20.500.11822/28111/FossilFuel.pdf?sequence=1&amp;isAllowed=y" TargetMode="External"/><Relationship Id="rId4" Type="http://schemas.microsoft.com/office/2007/relationships/stylesWithEffects" Target="stylesWithEffects.xml"/><Relationship Id="rId9" Type="http://schemas.openxmlformats.org/officeDocument/2006/relationships/hyperlink" Target="http://wesr.unep.org/media/docs/graphs/aggregation_methods.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1C02-6271-4D2A-B141-131ECD3F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25</cp:revision>
  <dcterms:created xsi:type="dcterms:W3CDTF">2022-07-26T10:29:00Z</dcterms:created>
  <dcterms:modified xsi:type="dcterms:W3CDTF">2024-06-11T13:15:00Z</dcterms:modified>
</cp:coreProperties>
</file>