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</w:t>
      </w:r>
      <w:r w:rsidR="00952183" w:rsidRPr="00952183">
        <w:rPr>
          <w:rFonts w:eastAsia="Arial Unicode MS" w:cs="Times New Roman"/>
          <w:b/>
          <w:szCs w:val="24"/>
          <w:bdr w:val="nil"/>
          <w:lang w:eastAsia="ru-RU"/>
        </w:rPr>
        <w:t>1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9521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9521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3D7A38">
        <w:rPr>
          <w:rFonts w:eastAsia="Arial Unicode MS" w:cs="Times New Roman"/>
          <w:szCs w:val="24"/>
          <w:bdr w:val="nil"/>
          <w:lang w:eastAsia="ru-RU"/>
        </w:rPr>
        <w:t>4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3D7A38">
        <w:t>Сохранение и рациональное использование океанов, морей и морских ресурсов в интересах устойчивого развития.</w:t>
      </w:r>
    </w:p>
    <w:p w:rsidR="003143BC" w:rsidRPr="00BD29EC" w:rsidRDefault="003143BC" w:rsidP="009521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9521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3D7A38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 w:rsidR="001B3A2C"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 xml:space="preserve">.  </w:t>
      </w:r>
      <w:r w:rsidR="00FA0BA0">
        <w:t xml:space="preserve">Минимизировать и ликвидировать последствия </w:t>
      </w:r>
      <w:proofErr w:type="spellStart"/>
      <w:r w:rsidR="00FA0BA0">
        <w:t>закисления</w:t>
      </w:r>
      <w:proofErr w:type="spellEnd"/>
      <w:r w:rsidR="00FA0BA0">
        <w:t xml:space="preserve"> океана, в том числе благодаря развитию научного сотрудничества на всех уровнях.</w:t>
      </w:r>
    </w:p>
    <w:p w:rsidR="003143BC" w:rsidRPr="00BD29EC" w:rsidRDefault="003143BC" w:rsidP="009521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9521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41A39">
        <w:rPr>
          <w:rFonts w:cs="Times New Roman"/>
          <w:szCs w:val="24"/>
        </w:rPr>
        <w:t>1</w:t>
      </w:r>
      <w:r w:rsidR="003D7A38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 w:rsidR="001B3A2C">
        <w:rPr>
          <w:rFonts w:cs="Times New Roman"/>
          <w:szCs w:val="24"/>
        </w:rPr>
        <w:t>3</w:t>
      </w:r>
      <w:r w:rsidR="002064C4">
        <w:rPr>
          <w:rFonts w:cs="Times New Roman"/>
          <w:szCs w:val="24"/>
        </w:rPr>
        <w:t>.</w:t>
      </w:r>
      <w:r w:rsidR="00B518DC">
        <w:rPr>
          <w:rFonts w:cs="Times New Roman"/>
          <w:szCs w:val="24"/>
        </w:rPr>
        <w:t>1</w:t>
      </w:r>
      <w:r w:rsidR="00C95AB2">
        <w:rPr>
          <w:rFonts w:cs="Times New Roman"/>
          <w:szCs w:val="24"/>
        </w:rPr>
        <w:t>.</w:t>
      </w:r>
      <w:r w:rsidR="00780F08" w:rsidRPr="00BD29EC">
        <w:rPr>
          <w:rFonts w:cs="Times New Roman"/>
          <w:szCs w:val="24"/>
        </w:rPr>
        <w:t xml:space="preserve"> </w:t>
      </w:r>
      <w:r w:rsidR="00FA0BA0" w:rsidRPr="00FA0BA0">
        <w:t>Средняя кислотность (</w:t>
      </w:r>
      <w:proofErr w:type="spellStart"/>
      <w:r w:rsidR="00FA0BA0" w:rsidRPr="00FA0BA0">
        <w:t>pH</w:t>
      </w:r>
      <w:proofErr w:type="spellEnd"/>
      <w:r w:rsidR="00FA0BA0" w:rsidRPr="00FA0BA0">
        <w:t>) морской воды, измеряемая в согласованной группе репрезентативных станций отбора проб</w:t>
      </w:r>
      <w:r w:rsidR="00FA0BA0">
        <w:t>.</w:t>
      </w:r>
    </w:p>
    <w:p w:rsidR="003143BC" w:rsidRDefault="003143BC" w:rsidP="009521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0E74DA" w:rsidP="00952183">
      <w:pPr>
        <w:spacing w:after="0"/>
      </w:pPr>
      <w:r>
        <w:t xml:space="preserve">ER_OAW_MNACD – </w:t>
      </w:r>
      <w:r w:rsidR="00303237" w:rsidRPr="00303237">
        <w:t>Средняя кислотность морской среды (рН), измеренная на согласованном наборе репрезентативных станций отбора проб</w:t>
      </w:r>
    </w:p>
    <w:p w:rsidR="00004BE3" w:rsidRPr="00004BE3" w:rsidRDefault="00C8596F" w:rsidP="009521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004BE3" w:rsidRPr="00004BE3" w:rsidRDefault="008F1760" w:rsidP="00952183">
      <w:pPr>
        <w:spacing w:after="0"/>
        <w:rPr>
          <w:b/>
        </w:rPr>
      </w:pPr>
      <w:r>
        <w:t>15.12.2023</w:t>
      </w:r>
    </w:p>
    <w:p w:rsidR="00C8596F" w:rsidRDefault="00C8596F" w:rsidP="009521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004BE3" w:rsidRPr="00DA19D7" w:rsidRDefault="00004BE3" w:rsidP="00952183">
      <w:pP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>
        <w:t>1</w:t>
      </w:r>
      <w:r w:rsidR="00303237">
        <w:t>4.а.1. Доля бюджетных ассигнований на научные исследования в области морских технологий в общем объеме бюджетных ассигнований на научные исследования.</w:t>
      </w:r>
    </w:p>
    <w:p w:rsidR="00A91FDE" w:rsidRDefault="00E33CA8" w:rsidP="009521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B23E99" w:rsidRDefault="00B23E99" w:rsidP="00952183">
      <w:pPr>
        <w:spacing w:after="0"/>
        <w:rPr>
          <w:bdr w:val="nil"/>
          <w:lang w:eastAsia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23E99">
        <w:rPr>
          <w:bdr w:val="nil"/>
          <w:lang w:eastAsia="ru-RU"/>
        </w:rPr>
        <w:t>Межправительственная океанографическая комиссия (МОК) ЮНЕСКО</w:t>
      </w:r>
    </w:p>
    <w:p w:rsidR="00952183" w:rsidRDefault="00952183" w:rsidP="00952183">
      <w:pPr>
        <w:spacing w:after="120"/>
        <w:rPr>
          <w:bdr w:val="nil"/>
          <w:lang w:eastAsia="ru-RU"/>
        </w:rPr>
      </w:pPr>
    </w:p>
    <w:p w:rsidR="00957A62" w:rsidRPr="00BD29EC" w:rsidRDefault="00957A62" w:rsidP="00952183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952183">
      <w:pPr>
        <w:pStyle w:val="MHeader2"/>
        <w:spacing w:after="0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B23E99" w:rsidRDefault="00B23E99" w:rsidP="00B23E99">
      <w:pPr>
        <w:rPr>
          <w:bdr w:val="nil"/>
          <w:lang w:eastAsia="ru-RU"/>
        </w:rPr>
      </w:pPr>
      <w:r w:rsidRPr="00B23E99">
        <w:rPr>
          <w:bdr w:val="nil"/>
          <w:lang w:eastAsia="ru-RU"/>
        </w:rPr>
        <w:t>Межправительственная океанографическая комиссия (МОК) ЮНЕСКО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Pr="00952183" w:rsidRDefault="00DA19D7" w:rsidP="00DA19D7">
      <w:pPr>
        <w:pStyle w:val="MText"/>
        <w:rPr>
          <w:b/>
          <w:color w:val="000000" w:themeColor="text1"/>
          <w:sz w:val="24"/>
          <w:szCs w:val="24"/>
          <w:lang w:val="ru-RU"/>
        </w:rPr>
      </w:pPr>
      <w:r w:rsidRPr="00952183">
        <w:rPr>
          <w:b/>
          <w:color w:val="000000" w:themeColor="text1"/>
          <w:sz w:val="24"/>
          <w:szCs w:val="24"/>
          <w:lang w:val="ru-RU"/>
        </w:rPr>
        <w:t>Определение:</w:t>
      </w:r>
    </w:p>
    <w:p w:rsidR="00952183" w:rsidRDefault="00B23E99" w:rsidP="00952183">
      <w:pPr>
        <w:spacing w:after="0"/>
        <w:rPr>
          <w:rStyle w:val="tlid-translation"/>
          <w:rFonts w:cs="Times New Roman"/>
          <w:szCs w:val="24"/>
        </w:rPr>
      </w:pPr>
      <w:proofErr w:type="spellStart"/>
      <w:r w:rsidRPr="007D4B37">
        <w:rPr>
          <w:rStyle w:val="tlid-translation"/>
          <w:rFonts w:cs="Times New Roman"/>
          <w:szCs w:val="24"/>
        </w:rPr>
        <w:t>Закисление</w:t>
      </w:r>
      <w:proofErr w:type="spellEnd"/>
      <w:r w:rsidRPr="007D4B37">
        <w:rPr>
          <w:rStyle w:val="tlid-translation"/>
          <w:rFonts w:cs="Times New Roman"/>
          <w:szCs w:val="24"/>
        </w:rPr>
        <w:t xml:space="preserve"> (повышение кислотности) океана </w:t>
      </w:r>
      <w:r w:rsidR="00952183">
        <w:rPr>
          <w:rStyle w:val="tlid-translation"/>
          <w:rFonts w:cs="Times New Roman"/>
          <w:szCs w:val="24"/>
        </w:rPr>
        <w:t>–</w:t>
      </w:r>
      <w:r w:rsidRPr="007D4B37">
        <w:rPr>
          <w:rStyle w:val="tlid-translation"/>
          <w:rFonts w:cs="Times New Roman"/>
          <w:szCs w:val="24"/>
        </w:rPr>
        <w:t xml:space="preserve"> это снижение </w:t>
      </w:r>
      <w:proofErr w:type="spellStart"/>
      <w:r w:rsidRPr="007D4B37">
        <w:rPr>
          <w:rStyle w:val="tlid-translation"/>
          <w:rFonts w:cs="Times New Roman"/>
          <w:szCs w:val="24"/>
        </w:rPr>
        <w:t>pH</w:t>
      </w:r>
      <w:proofErr w:type="spellEnd"/>
      <w:r w:rsidRPr="007D4B37">
        <w:rPr>
          <w:rStyle w:val="tlid-translation"/>
          <w:rFonts w:cs="Times New Roman"/>
          <w:szCs w:val="24"/>
        </w:rPr>
        <w:t xml:space="preserve"> океана в течение продолжительного периода, обычно десятилетий или дольше, которое вызвано, главным образом, поглощением углекислого газа из атмосферы</w:t>
      </w:r>
      <w:r w:rsidRPr="007D4B37">
        <w:rPr>
          <w:rStyle w:val="a6"/>
          <w:rFonts w:cs="Times New Roman"/>
          <w:szCs w:val="24"/>
        </w:rPr>
        <w:footnoteReference w:id="1"/>
      </w:r>
      <w:r w:rsidR="00952183">
        <w:rPr>
          <w:rStyle w:val="tlid-translation"/>
          <w:rFonts w:cs="Times New Roman"/>
          <w:szCs w:val="24"/>
        </w:rPr>
        <w:t>.</w:t>
      </w:r>
    </w:p>
    <w:p w:rsidR="00B23E99" w:rsidRPr="007D4B37" w:rsidRDefault="00B23E99" w:rsidP="00952183">
      <w:pPr>
        <w:spacing w:after="0"/>
        <w:rPr>
          <w:rStyle w:val="tlid-translation"/>
          <w:rFonts w:cs="Times New Roman"/>
          <w:szCs w:val="24"/>
        </w:rPr>
      </w:pPr>
      <w:r w:rsidRPr="007D4B37">
        <w:rPr>
          <w:rStyle w:val="tlid-translation"/>
          <w:rFonts w:cs="Times New Roman"/>
          <w:szCs w:val="24"/>
        </w:rPr>
        <w:t xml:space="preserve">Этот показатель основан на наблюдениях, которые ограничивают углеродную систему </w:t>
      </w:r>
      <w:r w:rsidRPr="00952183">
        <w:rPr>
          <w:rStyle w:val="tlid-translation"/>
          <w:rFonts w:cs="Times New Roman"/>
          <w:szCs w:val="24"/>
        </w:rPr>
        <w:t>океана и которые необходимы для описания изменчивости кислотности океана.</w:t>
      </w:r>
      <w:r w:rsidRPr="007D4B37">
        <w:rPr>
          <w:rStyle w:val="tlid-translation"/>
          <w:rFonts w:cs="Times New Roman"/>
          <w:szCs w:val="24"/>
        </w:rPr>
        <w:t xml:space="preserve"> Углеродная система в этом контексте в основном относится к четырем измеряемым параметрам: </w:t>
      </w:r>
      <w:proofErr w:type="spellStart"/>
      <w:r w:rsidRPr="007D4B37">
        <w:rPr>
          <w:rStyle w:val="tlid-translation"/>
          <w:rFonts w:cs="Times New Roman"/>
          <w:szCs w:val="24"/>
        </w:rPr>
        <w:t>pH</w:t>
      </w:r>
      <w:proofErr w:type="spellEnd"/>
      <w:r w:rsidRPr="007D4B37">
        <w:rPr>
          <w:rStyle w:val="tlid-translation"/>
          <w:rFonts w:cs="Times New Roman"/>
          <w:szCs w:val="24"/>
        </w:rPr>
        <w:t xml:space="preserve"> (концентрация ионов водорода в логарифмической шкале), DIC (CT; общее количество растворенного неорганического углерода), </w:t>
      </w:r>
      <w:r w:rsidRPr="00952183">
        <w:rPr>
          <w:rStyle w:val="tlid-translation"/>
          <w:rFonts w:cs="Times New Roman"/>
          <w:i/>
          <w:szCs w:val="24"/>
        </w:rPr>
        <w:t>p</w:t>
      </w:r>
      <w:r w:rsidRPr="007D4B37">
        <w:rPr>
          <w:rStyle w:val="tlid-translation"/>
          <w:rFonts w:cs="Times New Roman"/>
          <w:szCs w:val="24"/>
        </w:rPr>
        <w:t xml:space="preserve">CO2 (парциальное </w:t>
      </w:r>
      <w:r w:rsidRPr="007D4B37">
        <w:rPr>
          <w:rStyle w:val="tlid-translation"/>
          <w:rFonts w:cs="Times New Roman"/>
          <w:szCs w:val="24"/>
        </w:rPr>
        <w:lastRenderedPageBreak/>
        <w:t>давление диоксида углерода) и TA (AT, общая щелочность). Среднее, как здесь используется, равно средневзвешенному годовому значению.</w:t>
      </w:r>
    </w:p>
    <w:p w:rsidR="00B23E99" w:rsidRPr="00B23E99" w:rsidRDefault="00B23E99" w:rsidP="00B23E99">
      <w:pPr>
        <w:spacing w:before="100" w:beforeAutospacing="1" w:after="100" w:afterAutospacing="1"/>
        <w:rPr>
          <w:rFonts w:cs="Times New Roman"/>
          <w:szCs w:val="24"/>
        </w:rPr>
      </w:pPr>
      <w:r w:rsidRPr="007D4B37">
        <w:rPr>
          <w:rStyle w:val="tlid-translation"/>
          <w:rFonts w:cs="Times New Roman"/>
          <w:szCs w:val="24"/>
        </w:rPr>
        <w:t xml:space="preserve">Согласованный набор репрезентативных станций сбора проб - это участки, частота измерений которых достаточна для описания изменчивости и тенденций в карбонатной химии с целью предоставления критической информации о подверженности и воздействии на морские системы </w:t>
      </w:r>
      <w:proofErr w:type="spellStart"/>
      <w:r w:rsidRPr="007D4B37">
        <w:rPr>
          <w:rStyle w:val="tlid-translation"/>
          <w:rFonts w:cs="Times New Roman"/>
          <w:szCs w:val="24"/>
        </w:rPr>
        <w:t>закисления</w:t>
      </w:r>
      <w:proofErr w:type="spellEnd"/>
      <w:r w:rsidRPr="007D4B37">
        <w:rPr>
          <w:rStyle w:val="tlid-translation"/>
          <w:rFonts w:cs="Times New Roman"/>
          <w:szCs w:val="24"/>
        </w:rPr>
        <w:t xml:space="preserve"> океана, и которые предоставляют данные в достаточной степени качественные и с исчерпывающей информацией метаданных, чтобы позволить интеграцию с данными из других мест в стране.</w:t>
      </w:r>
    </w:p>
    <w:p w:rsidR="00952183" w:rsidRDefault="003859BD" w:rsidP="00952183">
      <w:pPr>
        <w:pStyle w:val="MText"/>
        <w:rPr>
          <w:b/>
          <w:color w:val="000000" w:themeColor="text1"/>
          <w:sz w:val="24"/>
          <w:szCs w:val="24"/>
          <w:lang w:val="ru-RU"/>
        </w:rPr>
      </w:pPr>
      <w:r w:rsidRPr="00952183">
        <w:rPr>
          <w:b/>
          <w:color w:val="000000" w:themeColor="text1"/>
          <w:sz w:val="24"/>
          <w:szCs w:val="24"/>
          <w:lang w:val="ru-RU"/>
        </w:rPr>
        <w:t>Основные понятия</w:t>
      </w:r>
      <w:r w:rsidR="00952183" w:rsidRPr="00952183">
        <w:rPr>
          <w:b/>
          <w:color w:val="000000" w:themeColor="text1"/>
          <w:sz w:val="24"/>
          <w:szCs w:val="24"/>
          <w:lang w:val="ru-RU"/>
        </w:rPr>
        <w:t>:</w:t>
      </w:r>
    </w:p>
    <w:p w:rsidR="008A0371" w:rsidRDefault="008A0371" w:rsidP="00952183">
      <w:pPr>
        <w:pStyle w:val="MText"/>
        <w:rPr>
          <w:rStyle w:val="tlid-translation"/>
          <w:color w:val="000000" w:themeColor="text1"/>
          <w:sz w:val="24"/>
          <w:szCs w:val="24"/>
          <w:lang w:val="ru-RU"/>
        </w:rPr>
      </w:pPr>
      <w:proofErr w:type="spellStart"/>
      <w:r w:rsidRPr="00952183">
        <w:rPr>
          <w:rStyle w:val="tlid-translation"/>
          <w:color w:val="000000" w:themeColor="text1"/>
          <w:sz w:val="24"/>
          <w:szCs w:val="24"/>
          <w:lang w:val="ru-RU"/>
        </w:rPr>
        <w:t>Закисление</w:t>
      </w:r>
      <w:proofErr w:type="spellEnd"/>
      <w:r w:rsidRPr="00952183">
        <w:rPr>
          <w:rStyle w:val="tlid-translation"/>
          <w:color w:val="000000" w:themeColor="text1"/>
          <w:sz w:val="24"/>
          <w:szCs w:val="24"/>
          <w:lang w:val="ru-RU"/>
        </w:rPr>
        <w:t xml:space="preserve"> океана вызвано увеличением количества растворенного атмосферного </w:t>
      </w:r>
      <w:r w:rsidRPr="00952183">
        <w:rPr>
          <w:rStyle w:val="tlid-translation"/>
          <w:color w:val="000000" w:themeColor="text1"/>
          <w:sz w:val="24"/>
          <w:szCs w:val="24"/>
        </w:rPr>
        <w:t>CO</w:t>
      </w:r>
      <w:r w:rsidRPr="00952183">
        <w:rPr>
          <w:rStyle w:val="tlid-translation"/>
          <w:color w:val="000000" w:themeColor="text1"/>
          <w:sz w:val="24"/>
          <w:szCs w:val="24"/>
          <w:lang w:val="ru-RU"/>
        </w:rPr>
        <w:t xml:space="preserve">2 в морской воде. </w:t>
      </w:r>
      <w:r w:rsidRPr="00D122AC">
        <w:rPr>
          <w:rStyle w:val="tlid-translation"/>
          <w:color w:val="000000" w:themeColor="text1"/>
          <w:sz w:val="24"/>
          <w:szCs w:val="24"/>
          <w:lang w:val="ru-RU"/>
        </w:rPr>
        <w:t xml:space="preserve">Средняя морская кислотность выражается как </w:t>
      </w:r>
      <w:r w:rsidRPr="00952183">
        <w:rPr>
          <w:rStyle w:val="tlid-translation"/>
          <w:color w:val="000000" w:themeColor="text1"/>
          <w:sz w:val="24"/>
          <w:szCs w:val="24"/>
        </w:rPr>
        <w:t>pH</w:t>
      </w:r>
      <w:r w:rsidRPr="00D122AC">
        <w:rPr>
          <w:rStyle w:val="tlid-translation"/>
          <w:color w:val="000000" w:themeColor="text1"/>
          <w:sz w:val="24"/>
          <w:szCs w:val="24"/>
          <w:lang w:val="ru-RU"/>
        </w:rPr>
        <w:t xml:space="preserve">, концентрация ионов водорода в логарифмическом масштабе. Чтобы иметь возможность ограничить химический состав карбонатов морской воды, необходимо </w:t>
      </w:r>
      <w:proofErr w:type="gramStart"/>
      <w:r w:rsidRPr="00D122AC">
        <w:rPr>
          <w:rStyle w:val="tlid-translation"/>
          <w:color w:val="000000" w:themeColor="text1"/>
          <w:sz w:val="24"/>
          <w:szCs w:val="24"/>
          <w:lang w:val="ru-RU"/>
        </w:rPr>
        <w:t>измерить</w:t>
      </w:r>
      <w:proofErr w:type="gramEnd"/>
      <w:r w:rsidRPr="00D122AC">
        <w:rPr>
          <w:rStyle w:val="tlid-translation"/>
          <w:color w:val="000000" w:themeColor="text1"/>
          <w:sz w:val="24"/>
          <w:szCs w:val="24"/>
          <w:lang w:val="ru-RU"/>
        </w:rPr>
        <w:t xml:space="preserve"> по меньшей мере два из четырех параметров, а именно </w:t>
      </w:r>
      <w:r w:rsidRPr="00952183">
        <w:rPr>
          <w:rStyle w:val="tlid-translation"/>
          <w:color w:val="000000" w:themeColor="text1"/>
          <w:sz w:val="24"/>
          <w:szCs w:val="24"/>
        </w:rPr>
        <w:t>pH</w:t>
      </w:r>
      <w:r w:rsidRPr="00D122AC">
        <w:rPr>
          <w:rStyle w:val="tlid-translatio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952183">
        <w:rPr>
          <w:rStyle w:val="tlid-translation"/>
          <w:color w:val="000000" w:themeColor="text1"/>
          <w:sz w:val="24"/>
          <w:szCs w:val="24"/>
        </w:rPr>
        <w:t>pCO</w:t>
      </w:r>
      <w:proofErr w:type="spellEnd"/>
      <w:r w:rsidRPr="00D122AC">
        <w:rPr>
          <w:rStyle w:val="tlid-translation"/>
          <w:color w:val="000000" w:themeColor="text1"/>
          <w:sz w:val="24"/>
          <w:szCs w:val="24"/>
          <w:lang w:val="ru-RU"/>
        </w:rPr>
        <w:t xml:space="preserve">2, </w:t>
      </w:r>
      <w:r w:rsidRPr="00952183">
        <w:rPr>
          <w:rStyle w:val="tlid-translation"/>
          <w:color w:val="000000" w:themeColor="text1"/>
          <w:sz w:val="24"/>
          <w:szCs w:val="24"/>
        </w:rPr>
        <w:t>DIC</w:t>
      </w:r>
      <w:r w:rsidRPr="00D122AC">
        <w:rPr>
          <w:rStyle w:val="tlid-translation"/>
          <w:color w:val="000000" w:themeColor="text1"/>
          <w:sz w:val="24"/>
          <w:szCs w:val="24"/>
          <w:lang w:val="ru-RU"/>
        </w:rPr>
        <w:t xml:space="preserve"> (</w:t>
      </w:r>
      <w:r w:rsidRPr="00952183">
        <w:rPr>
          <w:rStyle w:val="tlid-translation"/>
          <w:color w:val="000000" w:themeColor="text1"/>
          <w:sz w:val="24"/>
          <w:szCs w:val="24"/>
        </w:rPr>
        <w:t>CT</w:t>
      </w:r>
      <w:r w:rsidRPr="00D122AC">
        <w:rPr>
          <w:rStyle w:val="tlid-translation"/>
          <w:color w:val="000000" w:themeColor="text1"/>
          <w:sz w:val="24"/>
          <w:szCs w:val="24"/>
          <w:lang w:val="ru-RU"/>
        </w:rPr>
        <w:t xml:space="preserve">) и </w:t>
      </w:r>
      <w:r w:rsidRPr="00952183">
        <w:rPr>
          <w:rStyle w:val="tlid-translation"/>
          <w:color w:val="000000" w:themeColor="text1"/>
          <w:sz w:val="24"/>
          <w:szCs w:val="24"/>
        </w:rPr>
        <w:t>TA</w:t>
      </w:r>
      <w:r w:rsidRPr="00D122AC">
        <w:rPr>
          <w:rStyle w:val="tlid-translation"/>
          <w:color w:val="000000" w:themeColor="text1"/>
          <w:sz w:val="24"/>
          <w:szCs w:val="24"/>
          <w:lang w:val="ru-RU"/>
        </w:rPr>
        <w:t xml:space="preserve"> (</w:t>
      </w:r>
      <w:r w:rsidRPr="00952183">
        <w:rPr>
          <w:rStyle w:val="tlid-translation"/>
          <w:color w:val="000000" w:themeColor="text1"/>
          <w:sz w:val="24"/>
          <w:szCs w:val="24"/>
        </w:rPr>
        <w:t>AT</w:t>
      </w:r>
      <w:r w:rsidRPr="00D122AC">
        <w:rPr>
          <w:rStyle w:val="tlid-translation"/>
          <w:color w:val="000000" w:themeColor="text1"/>
          <w:sz w:val="24"/>
          <w:szCs w:val="24"/>
          <w:lang w:val="ru-RU"/>
        </w:rPr>
        <w:t xml:space="preserve">). </w:t>
      </w:r>
      <w:r w:rsidRPr="00952183">
        <w:rPr>
          <w:rStyle w:val="tlid-translation"/>
          <w:color w:val="000000" w:themeColor="text1"/>
          <w:sz w:val="24"/>
          <w:szCs w:val="24"/>
        </w:rPr>
        <w:t>pH</w:t>
      </w:r>
      <w:r w:rsidRPr="00D122AC">
        <w:rPr>
          <w:rStyle w:val="tlid-translation"/>
          <w:color w:val="000000" w:themeColor="text1"/>
          <w:sz w:val="24"/>
          <w:szCs w:val="24"/>
          <w:lang w:val="ru-RU"/>
        </w:rPr>
        <w:t xml:space="preserve"> (концентрация ионов водорода в логарифмической шкале, выраженная в общей шкале), </w:t>
      </w:r>
      <w:r w:rsidRPr="00952183">
        <w:rPr>
          <w:rStyle w:val="tlid-translation"/>
          <w:color w:val="000000" w:themeColor="text1"/>
          <w:sz w:val="24"/>
          <w:szCs w:val="24"/>
        </w:rPr>
        <w:t>DIC</w:t>
      </w:r>
      <w:r w:rsidRPr="00D122AC">
        <w:rPr>
          <w:rStyle w:val="tlid-translation"/>
          <w:color w:val="000000" w:themeColor="text1"/>
          <w:sz w:val="24"/>
          <w:szCs w:val="24"/>
          <w:lang w:val="ru-RU"/>
        </w:rPr>
        <w:t xml:space="preserve"> (общее количество растворенного неорганического углерода, в </w:t>
      </w:r>
      <w:proofErr w:type="spellStart"/>
      <w:r w:rsidRPr="00D122AC">
        <w:rPr>
          <w:rStyle w:val="tlid-translation"/>
          <w:color w:val="000000" w:themeColor="text1"/>
          <w:sz w:val="24"/>
          <w:szCs w:val="24"/>
          <w:lang w:val="ru-RU"/>
        </w:rPr>
        <w:t>мкмоль</w:t>
      </w:r>
      <w:proofErr w:type="spellEnd"/>
      <w:r w:rsidRPr="00D122AC">
        <w:rPr>
          <w:rStyle w:val="tlid-translation"/>
          <w:color w:val="000000" w:themeColor="text1"/>
          <w:sz w:val="24"/>
          <w:szCs w:val="24"/>
          <w:lang w:val="ru-RU"/>
        </w:rPr>
        <w:t xml:space="preserve"> кг</w:t>
      </w:r>
      <w:r w:rsidRPr="00D122AC">
        <w:rPr>
          <w:rStyle w:val="tlid-translation"/>
          <w:color w:val="000000" w:themeColor="text1"/>
          <w:sz w:val="24"/>
          <w:szCs w:val="24"/>
          <w:vertAlign w:val="superscript"/>
          <w:lang w:val="ru-RU"/>
        </w:rPr>
        <w:t>-1</w:t>
      </w:r>
      <w:r w:rsidRPr="00D122AC">
        <w:rPr>
          <w:rStyle w:val="tlid-translation"/>
          <w:color w:val="000000" w:themeColor="text1"/>
          <w:sz w:val="24"/>
          <w:szCs w:val="24"/>
          <w:lang w:val="ru-RU"/>
        </w:rPr>
        <w:t xml:space="preserve">), </w:t>
      </w:r>
      <w:proofErr w:type="spellStart"/>
      <w:r w:rsidRPr="00952183">
        <w:rPr>
          <w:rStyle w:val="tlid-translation"/>
          <w:color w:val="000000" w:themeColor="text1"/>
          <w:sz w:val="24"/>
          <w:szCs w:val="24"/>
        </w:rPr>
        <w:t>pCO</w:t>
      </w:r>
      <w:proofErr w:type="spellEnd"/>
      <w:r w:rsidRPr="00D122AC">
        <w:rPr>
          <w:rStyle w:val="tlid-translation"/>
          <w:color w:val="000000" w:themeColor="text1"/>
          <w:sz w:val="24"/>
          <w:szCs w:val="24"/>
          <w:lang w:val="ru-RU"/>
        </w:rPr>
        <w:t xml:space="preserve">2 (парциальное давление углекислого газа, в </w:t>
      </w:r>
      <w:proofErr w:type="spellStart"/>
      <w:r w:rsidRPr="00D122AC">
        <w:rPr>
          <w:rStyle w:val="tlid-translation"/>
          <w:color w:val="000000" w:themeColor="text1"/>
          <w:sz w:val="24"/>
          <w:szCs w:val="24"/>
          <w:lang w:val="ru-RU"/>
        </w:rPr>
        <w:t>ппт</w:t>
      </w:r>
      <w:proofErr w:type="spellEnd"/>
      <w:r w:rsidRPr="00D122AC">
        <w:rPr>
          <w:rStyle w:val="tlid-translation"/>
          <w:color w:val="000000" w:themeColor="text1"/>
          <w:sz w:val="24"/>
          <w:szCs w:val="24"/>
          <w:lang w:val="ru-RU"/>
        </w:rPr>
        <w:t xml:space="preserve"> или мкм) и </w:t>
      </w:r>
      <w:r w:rsidRPr="00952183">
        <w:rPr>
          <w:rStyle w:val="tlid-translation"/>
          <w:color w:val="000000" w:themeColor="text1"/>
          <w:sz w:val="24"/>
          <w:szCs w:val="24"/>
        </w:rPr>
        <w:t>TA</w:t>
      </w:r>
      <w:r w:rsidRPr="00D122AC">
        <w:rPr>
          <w:rStyle w:val="tlid-translation"/>
          <w:color w:val="000000" w:themeColor="text1"/>
          <w:sz w:val="24"/>
          <w:szCs w:val="24"/>
          <w:lang w:val="ru-RU"/>
        </w:rPr>
        <w:t xml:space="preserve"> (</w:t>
      </w:r>
      <w:r w:rsidRPr="00952183">
        <w:rPr>
          <w:rStyle w:val="tlid-translation"/>
          <w:color w:val="000000" w:themeColor="text1"/>
          <w:sz w:val="24"/>
          <w:szCs w:val="24"/>
        </w:rPr>
        <w:t>AT</w:t>
      </w:r>
      <w:r w:rsidRPr="00D122AC">
        <w:rPr>
          <w:rStyle w:val="tlid-translation"/>
          <w:color w:val="000000" w:themeColor="text1"/>
          <w:sz w:val="24"/>
          <w:szCs w:val="24"/>
          <w:lang w:val="ru-RU"/>
        </w:rPr>
        <w:t xml:space="preserve">, общая щелочность, в </w:t>
      </w:r>
      <w:proofErr w:type="spellStart"/>
      <w:r w:rsidRPr="00D122AC">
        <w:rPr>
          <w:rStyle w:val="tlid-translation"/>
          <w:color w:val="000000" w:themeColor="text1"/>
          <w:sz w:val="24"/>
          <w:szCs w:val="24"/>
          <w:lang w:val="ru-RU"/>
        </w:rPr>
        <w:t>мкмоль</w:t>
      </w:r>
      <w:proofErr w:type="spellEnd"/>
      <w:r w:rsidRPr="00D122AC">
        <w:rPr>
          <w:rStyle w:val="tlid-translation"/>
          <w:color w:val="000000" w:themeColor="text1"/>
          <w:sz w:val="24"/>
          <w:szCs w:val="24"/>
          <w:lang w:val="ru-RU"/>
        </w:rPr>
        <w:t xml:space="preserve"> кг</w:t>
      </w:r>
      <w:r w:rsidRPr="00D122AC">
        <w:rPr>
          <w:rStyle w:val="tlid-translation"/>
          <w:color w:val="000000" w:themeColor="text1"/>
          <w:sz w:val="24"/>
          <w:szCs w:val="24"/>
          <w:vertAlign w:val="superscript"/>
          <w:lang w:val="ru-RU"/>
        </w:rPr>
        <w:t>-1</w:t>
      </w:r>
      <w:r w:rsidRPr="00D122AC">
        <w:rPr>
          <w:rStyle w:val="tlid-translation"/>
          <w:color w:val="000000" w:themeColor="text1"/>
          <w:sz w:val="24"/>
          <w:szCs w:val="24"/>
          <w:lang w:val="ru-RU"/>
        </w:rPr>
        <w:t>).</w:t>
      </w:r>
    </w:p>
    <w:p w:rsidR="00D122AC" w:rsidRPr="00952183" w:rsidRDefault="00D122AC" w:rsidP="00952183">
      <w:pPr>
        <w:pStyle w:val="MText"/>
        <w:rPr>
          <w:b/>
          <w:color w:val="000000" w:themeColor="text1"/>
          <w:sz w:val="24"/>
          <w:szCs w:val="24"/>
          <w:lang w:val="ru-RU"/>
        </w:rPr>
      </w:pP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087210" w:rsidRPr="00087210" w:rsidRDefault="00087210" w:rsidP="00087210">
      <w:r w:rsidRPr="00087210">
        <w:t>рН по общей шкале</w:t>
      </w:r>
    </w:p>
    <w:p w:rsidR="00407E4E" w:rsidRPr="00BD29EC" w:rsidRDefault="00087210" w:rsidP="00087210">
      <w:r w:rsidRPr="00087210">
        <w:t>и/или pCO2 [</w:t>
      </w:r>
      <w:proofErr w:type="spellStart"/>
      <w:r w:rsidRPr="00087210">
        <w:t>мкатм</w:t>
      </w:r>
      <w:proofErr w:type="spellEnd"/>
      <w:r w:rsidRPr="00087210">
        <w:t xml:space="preserve"> или </w:t>
      </w:r>
      <w:proofErr w:type="spellStart"/>
      <w:r w:rsidRPr="00087210">
        <w:t>ppt</w:t>
      </w:r>
      <w:proofErr w:type="spellEnd"/>
      <w:r w:rsidRPr="00087210">
        <w:t>], DIC [</w:t>
      </w:r>
      <w:proofErr w:type="spellStart"/>
      <w:r w:rsidRPr="00087210">
        <w:t>мкмоль</w:t>
      </w:r>
      <w:proofErr w:type="spellEnd"/>
      <w:r w:rsidRPr="00087210">
        <w:t xml:space="preserve"> кг-1], TA [</w:t>
      </w:r>
      <w:proofErr w:type="spellStart"/>
      <w:r w:rsidRPr="00087210">
        <w:t>мкмоль</w:t>
      </w:r>
      <w:proofErr w:type="spellEnd"/>
      <w:r w:rsidRPr="00087210">
        <w:t xml:space="preserve"> кг-1]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87210" w:rsidP="00087210">
      <w:r w:rsidRPr="00087210">
        <w:t xml:space="preserve">Методология показателя 14.3.1 ЦУР была одобрена государствами-членами МОК на пятьдесят первой сессии Исполнительного совета МОК (IOC/EC-LI/2 </w:t>
      </w:r>
      <w:proofErr w:type="spellStart"/>
      <w:r w:rsidRPr="00087210">
        <w:t>Annex</w:t>
      </w:r>
      <w:proofErr w:type="spellEnd"/>
      <w:r w:rsidRPr="00087210">
        <w:t xml:space="preserve"> 6 </w:t>
      </w:r>
      <w:proofErr w:type="spellStart"/>
      <w:r w:rsidRPr="00087210">
        <w:t>rev</w:t>
      </w:r>
      <w:proofErr w:type="spellEnd"/>
      <w:r w:rsidRPr="00087210">
        <w:t>). В ноябре 2018 года показатель 14.3.1 ЦУР был повышен до уровня II Межведомственной и экспертной группой ООН по показателям ЦУР (IAEG-SDG). Методология была далее одобрена сообщество</w:t>
      </w:r>
      <w:r>
        <w:t>м как передовая практика океана (</w:t>
      </w:r>
      <w:hyperlink r:id="rId9" w:history="1">
        <w:r w:rsidRPr="00B83024">
          <w:rPr>
            <w:rStyle w:val="ac"/>
          </w:rPr>
          <w:t>http://dx.doi.org/10.25607/OBP-655</w:t>
        </w:r>
      </w:hyperlink>
      <w:r>
        <w:t>).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AB5271" w:rsidRPr="007D4B37" w:rsidRDefault="00AB5271" w:rsidP="00AB5271">
      <w:pPr>
        <w:spacing w:before="100" w:beforeAutospacing="1" w:after="100" w:afterAutospacing="1"/>
        <w:rPr>
          <w:rFonts w:cs="Times New Roman"/>
          <w:szCs w:val="24"/>
        </w:rPr>
      </w:pPr>
      <w:r w:rsidRPr="007D4B37">
        <w:rPr>
          <w:rStyle w:val="tlid-translation"/>
          <w:rFonts w:cs="Times New Roman"/>
          <w:szCs w:val="24"/>
        </w:rPr>
        <w:t xml:space="preserve">Общий процесс сбора данных МОК описан в документе </w:t>
      </w:r>
      <w:hyperlink r:id="rId10" w:history="1">
        <w:r w:rsidRPr="007D4B37">
          <w:rPr>
            <w:rStyle w:val="ac"/>
            <w:rFonts w:cs="Times New Roman"/>
            <w:szCs w:val="24"/>
          </w:rPr>
          <w:t>IOC-XXIX/2Annex 14.</w:t>
        </w:r>
      </w:hyperlink>
      <w:r w:rsidRPr="007D4B37">
        <w:rPr>
          <w:rFonts w:cs="Times New Roman"/>
          <w:szCs w:val="24"/>
        </w:rPr>
        <w:br/>
      </w:r>
      <w:r w:rsidRPr="007D4B37">
        <w:rPr>
          <w:rStyle w:val="tlid-translation"/>
          <w:rFonts w:cs="Times New Roman"/>
          <w:szCs w:val="24"/>
        </w:rPr>
        <w:t xml:space="preserve">Новизна оценки </w:t>
      </w:r>
      <w:proofErr w:type="spellStart"/>
      <w:r w:rsidRPr="007D4B37">
        <w:rPr>
          <w:rStyle w:val="tlid-translation"/>
          <w:rFonts w:cs="Times New Roman"/>
          <w:szCs w:val="24"/>
        </w:rPr>
        <w:t>закисления</w:t>
      </w:r>
      <w:proofErr w:type="spellEnd"/>
      <w:r w:rsidRPr="007D4B37">
        <w:rPr>
          <w:rStyle w:val="tlid-translation"/>
          <w:rFonts w:cs="Times New Roman"/>
          <w:szCs w:val="24"/>
        </w:rPr>
        <w:t xml:space="preserve"> океана на глобальном уровне, как в показателе 14.3.1, требует от секретариата МОК сбора данных различными путями. Ожидается, что будущие сборы данных будут состоять </w:t>
      </w:r>
      <w:proofErr w:type="gramStart"/>
      <w:r w:rsidRPr="007D4B37">
        <w:rPr>
          <w:rStyle w:val="tlid-translation"/>
          <w:rFonts w:cs="Times New Roman"/>
          <w:szCs w:val="24"/>
        </w:rPr>
        <w:t>из</w:t>
      </w:r>
      <w:proofErr w:type="gramEnd"/>
      <w:r w:rsidRPr="007D4B37">
        <w:rPr>
          <w:rStyle w:val="tlid-translation"/>
          <w:rFonts w:cs="Times New Roman"/>
          <w:szCs w:val="24"/>
        </w:rPr>
        <w:t>:</w:t>
      </w:r>
    </w:p>
    <w:p w:rsidR="00AB5271" w:rsidRPr="007D4B37" w:rsidRDefault="00AB5271" w:rsidP="00AB5271">
      <w:pPr>
        <w:pStyle w:val="ab"/>
        <w:numPr>
          <w:ilvl w:val="0"/>
          <w:numId w:val="5"/>
        </w:numPr>
        <w:spacing w:before="100" w:beforeAutospacing="1" w:after="100" w:afterAutospacing="1"/>
        <w:rPr>
          <w:rFonts w:cs="Times New Roman"/>
          <w:szCs w:val="24"/>
        </w:rPr>
      </w:pPr>
      <w:r w:rsidRPr="007D4B37">
        <w:rPr>
          <w:rStyle w:val="tlid-translation"/>
          <w:rFonts w:cs="Times New Roman"/>
          <w:szCs w:val="24"/>
        </w:rPr>
        <w:t>прямых запросов в национальные статистические организации (НСО), поскольку в настоящее время установлены новые национальные механизмы отчетности, позволяющие им предоставлять требуемую информацию,</w:t>
      </w:r>
    </w:p>
    <w:p w:rsidR="00AB5271" w:rsidRPr="007D4B37" w:rsidRDefault="00AB5271" w:rsidP="00AB5271">
      <w:pPr>
        <w:pStyle w:val="ab"/>
        <w:numPr>
          <w:ilvl w:val="0"/>
          <w:numId w:val="5"/>
        </w:numPr>
        <w:spacing w:before="100" w:beforeAutospacing="1" w:after="100" w:afterAutospacing="1"/>
        <w:rPr>
          <w:rFonts w:cs="Times New Roman"/>
          <w:szCs w:val="24"/>
        </w:rPr>
      </w:pPr>
      <w:r w:rsidRPr="007D4B37">
        <w:rPr>
          <w:rStyle w:val="tlid-translation"/>
          <w:rFonts w:cs="Times New Roman"/>
          <w:szCs w:val="24"/>
        </w:rPr>
        <w:lastRenderedPageBreak/>
        <w:t>ежегодных запросов в национальные координационные центры МОК,</w:t>
      </w:r>
    </w:p>
    <w:p w:rsidR="00AB5271" w:rsidRPr="007D4B37" w:rsidRDefault="00AB5271" w:rsidP="00AB5271">
      <w:pPr>
        <w:pStyle w:val="ab"/>
        <w:numPr>
          <w:ilvl w:val="0"/>
          <w:numId w:val="5"/>
        </w:numPr>
        <w:spacing w:before="100" w:beforeAutospacing="1" w:after="100" w:afterAutospacing="1"/>
        <w:rPr>
          <w:rStyle w:val="tlid-translation"/>
          <w:rFonts w:cs="Times New Roman"/>
          <w:szCs w:val="24"/>
        </w:rPr>
      </w:pPr>
      <w:r w:rsidRPr="007D4B37">
        <w:rPr>
          <w:rStyle w:val="tlid-translation"/>
          <w:rFonts w:cs="Times New Roman"/>
          <w:szCs w:val="24"/>
        </w:rPr>
        <w:t xml:space="preserve">сотрудничество с национальными центрами океанографических данных, международными центрами данных  </w:t>
      </w:r>
    </w:p>
    <w:p w:rsidR="00AB5271" w:rsidRPr="00232E3B" w:rsidRDefault="00AB5271" w:rsidP="00AB5271">
      <w:pPr>
        <w:pStyle w:val="ab"/>
        <w:numPr>
          <w:ilvl w:val="0"/>
          <w:numId w:val="5"/>
        </w:numPr>
        <w:spacing w:before="100" w:beforeAutospacing="1" w:after="100" w:afterAutospacing="1"/>
        <w:rPr>
          <w:rFonts w:cs="Times New Roman"/>
          <w:szCs w:val="24"/>
        </w:rPr>
      </w:pPr>
      <w:r w:rsidRPr="007D4B37">
        <w:rPr>
          <w:rStyle w:val="tlid-translation"/>
          <w:rFonts w:cs="Times New Roman"/>
          <w:szCs w:val="24"/>
        </w:rPr>
        <w:t>прямые запросы поставщикам данных через портал данных GOA-ON (рисунок 1).</w:t>
      </w:r>
      <w:bookmarkStart w:id="5" w:name="_GoBack"/>
      <w:bookmarkEnd w:id="5"/>
    </w:p>
    <w:p w:rsidR="00232E3B" w:rsidRPr="007D4B37" w:rsidRDefault="00232E3B" w:rsidP="00AB5271">
      <w:pPr>
        <w:spacing w:before="100" w:beforeAutospacing="1" w:after="100" w:afterAutospacing="1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eastAsia="ru-RU"/>
        </w:rPr>
        <w:drawing>
          <wp:inline distT="0" distB="0" distL="0" distR="0">
            <wp:extent cx="5937885" cy="421576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71" w:rsidRPr="007D4B37" w:rsidRDefault="00AB5271" w:rsidP="00AB5271">
      <w:pPr>
        <w:rPr>
          <w:rStyle w:val="tlid-translation"/>
          <w:rFonts w:cs="Times New Roman"/>
          <w:szCs w:val="24"/>
        </w:rPr>
      </w:pPr>
      <w:r w:rsidRPr="007D4B37">
        <w:rPr>
          <w:rStyle w:val="tlid-translation"/>
          <w:rFonts w:cs="Times New Roman"/>
          <w:szCs w:val="24"/>
        </w:rPr>
        <w:t xml:space="preserve">Рисунок 1. </w:t>
      </w:r>
      <w:proofErr w:type="gramStart"/>
      <w:r w:rsidRPr="007D4B37">
        <w:rPr>
          <w:rStyle w:val="tlid-translation"/>
          <w:rFonts w:cs="Times New Roman"/>
          <w:szCs w:val="24"/>
        </w:rPr>
        <w:t>Схема для иллюстрации предлагаемого процесса сбора и публикации данных, связанных с национальным вкладом данных, относящихся к 14.3.1 (ЦУР: цель в области устойчивого развития; IOC-</w:t>
      </w:r>
      <w:r w:rsidR="000D53B9">
        <w:rPr>
          <w:rStyle w:val="tlid-translation"/>
          <w:rFonts w:cs="Times New Roman"/>
          <w:szCs w:val="24"/>
        </w:rPr>
        <w:t>ЮНЕСКО</w:t>
      </w:r>
      <w:r w:rsidRPr="007D4B37">
        <w:rPr>
          <w:rStyle w:val="tlid-translation"/>
          <w:rFonts w:cs="Times New Roman"/>
          <w:szCs w:val="24"/>
        </w:rPr>
        <w:t>:</w:t>
      </w:r>
      <w:proofErr w:type="gramEnd"/>
      <w:r w:rsidRPr="007D4B37">
        <w:rPr>
          <w:rStyle w:val="tlid-translation"/>
          <w:rFonts w:cs="Times New Roman"/>
          <w:szCs w:val="24"/>
        </w:rPr>
        <w:t xml:space="preserve"> Межправительственная океанографическая комиссия</w:t>
      </w:r>
      <w:r w:rsidRPr="007D4B37">
        <w:t xml:space="preserve"> </w:t>
      </w:r>
      <w:r w:rsidRPr="007D4B37">
        <w:rPr>
          <w:rStyle w:val="tlid-translation"/>
          <w:rFonts w:cs="Times New Roman"/>
          <w:szCs w:val="24"/>
        </w:rPr>
        <w:t xml:space="preserve">ЮНЕСКО; GOA-ON: Глобальная сеть наблюдений за </w:t>
      </w:r>
      <w:proofErr w:type="spellStart"/>
      <w:r w:rsidRPr="007D4B37">
        <w:rPr>
          <w:rStyle w:val="tlid-translation"/>
          <w:rFonts w:cs="Times New Roman"/>
          <w:szCs w:val="24"/>
        </w:rPr>
        <w:t>закислением</w:t>
      </w:r>
      <w:proofErr w:type="spellEnd"/>
      <w:r w:rsidRPr="007D4B37">
        <w:rPr>
          <w:rStyle w:val="tlid-translation"/>
          <w:rFonts w:cs="Times New Roman"/>
          <w:szCs w:val="24"/>
        </w:rPr>
        <w:t xml:space="preserve"> океана; JCOMM: Совместная техническая комиссия ВМО-МОК по океанографии и морской метеорологии; WMO: Всемирная Метеорологическая Ассоциация; IODE: Международный обмен океанографическими данными и информацией МОК ЮНЕСКО; GDAC: Глобальный центр сбора данных; BGC ARGO: Биогеохимические буи Арго; QC: контроль качества; NODC: Национальный центр океанографических данных; DOI: цифровой идентификатор объекта; BP: Лучшая практика; CD: развитие потенциала; PI: главный следователь; RTC: </w:t>
      </w:r>
      <w:proofErr w:type="gramStart"/>
      <w:r w:rsidRPr="007D4B37">
        <w:rPr>
          <w:rStyle w:val="tlid-translation"/>
          <w:rFonts w:cs="Times New Roman"/>
          <w:szCs w:val="24"/>
        </w:rPr>
        <w:t xml:space="preserve">Региональный учебный центр). </w:t>
      </w:r>
      <w:proofErr w:type="gramEnd"/>
    </w:p>
    <w:p w:rsidR="00AB5271" w:rsidRPr="007D4B37" w:rsidRDefault="00AB5271" w:rsidP="00AB5271">
      <w:r w:rsidRPr="007D4B37">
        <w:rPr>
          <w:rStyle w:val="tlid-translation"/>
          <w:rFonts w:cs="Times New Roman"/>
          <w:szCs w:val="24"/>
        </w:rPr>
        <w:t>Глобальные научные усилия (</w:t>
      </w:r>
      <w:hyperlink r:id="rId12" w:history="1">
        <w:r w:rsidRPr="007D4B37">
          <w:rPr>
            <w:rStyle w:val="ac"/>
            <w:rFonts w:cs="Times New Roman"/>
            <w:szCs w:val="24"/>
          </w:rPr>
          <w:t>GO-SHIP</w:t>
        </w:r>
      </w:hyperlink>
      <w:r w:rsidRPr="007D4B37">
        <w:rPr>
          <w:rStyle w:val="tlid-translation"/>
          <w:rFonts w:cs="Times New Roman"/>
          <w:szCs w:val="24"/>
        </w:rPr>
        <w:t xml:space="preserve">, </w:t>
      </w:r>
      <w:hyperlink r:id="rId13" w:history="1">
        <w:r w:rsidRPr="007D4B37">
          <w:rPr>
            <w:rStyle w:val="ac"/>
            <w:rFonts w:cs="Times New Roman"/>
            <w:szCs w:val="24"/>
          </w:rPr>
          <w:t>SOCAT</w:t>
        </w:r>
      </w:hyperlink>
      <w:r w:rsidRPr="007D4B37">
        <w:rPr>
          <w:rStyle w:val="tlid-translation"/>
          <w:rFonts w:cs="Times New Roman"/>
          <w:szCs w:val="24"/>
        </w:rPr>
        <w:t xml:space="preserve">, </w:t>
      </w:r>
      <w:hyperlink r:id="rId14" w:history="1">
        <w:r w:rsidRPr="007D4B37">
          <w:rPr>
            <w:rStyle w:val="ac"/>
            <w:rFonts w:cs="Times New Roman"/>
            <w:szCs w:val="24"/>
          </w:rPr>
          <w:t>GCOS</w:t>
        </w:r>
      </w:hyperlink>
      <w:r w:rsidRPr="007D4B37">
        <w:rPr>
          <w:rStyle w:val="tlid-translation"/>
          <w:rFonts w:cs="Times New Roman"/>
          <w:szCs w:val="24"/>
        </w:rPr>
        <w:t xml:space="preserve">), которые хранят и содержат данные различных усилий по наблюдению за океаном и/или сосредоточены на сборе измерений в международных водах, также будут запрашиваться для годовых или более вероятных многолетних наборов данных, отражающих состояние и изменения переменных </w:t>
      </w:r>
      <w:proofErr w:type="spellStart"/>
      <w:r w:rsidRPr="007D4B37">
        <w:rPr>
          <w:rStyle w:val="tlid-translation"/>
          <w:rFonts w:cs="Times New Roman"/>
          <w:szCs w:val="24"/>
        </w:rPr>
        <w:t>закисления</w:t>
      </w:r>
      <w:proofErr w:type="spellEnd"/>
      <w:r w:rsidRPr="007D4B37">
        <w:rPr>
          <w:rStyle w:val="tlid-translation"/>
          <w:rFonts w:cs="Times New Roman"/>
          <w:szCs w:val="24"/>
        </w:rPr>
        <w:t xml:space="preserve"> океана в открытом океане.</w:t>
      </w:r>
    </w:p>
    <w:p w:rsidR="00AB5271" w:rsidRPr="007D4B37" w:rsidRDefault="00AB5271" w:rsidP="00AB5271">
      <w:pPr>
        <w:rPr>
          <w:rStyle w:val="tlid-translation"/>
          <w:rFonts w:cs="Times New Roman"/>
          <w:szCs w:val="24"/>
        </w:rPr>
      </w:pPr>
      <w:r w:rsidRPr="007D4B37">
        <w:rPr>
          <w:rStyle w:val="tlid-translation"/>
          <w:rFonts w:cs="Times New Roman"/>
          <w:szCs w:val="24"/>
        </w:rPr>
        <w:lastRenderedPageBreak/>
        <w:t xml:space="preserve">Как уже упоминалось, процесс сбора данных будет проходить в тесном сотрудничестве с Проектным бюро МОК для IODE </w:t>
      </w:r>
      <w:proofErr w:type="spellStart"/>
      <w:r w:rsidRPr="007D4B37">
        <w:rPr>
          <w:rStyle w:val="tlid-translation"/>
          <w:rFonts w:cs="Times New Roman"/>
          <w:szCs w:val="24"/>
        </w:rPr>
        <w:t>Oostende</w:t>
      </w:r>
      <w:proofErr w:type="spellEnd"/>
      <w:r w:rsidRPr="007D4B37">
        <w:rPr>
          <w:rStyle w:val="tlid-translation"/>
          <w:rFonts w:cs="Times New Roman"/>
          <w:szCs w:val="24"/>
        </w:rPr>
        <w:t>, Бельгия и соответствующими поставщиками данных/ национальными архивами, порталом данных GOA-ON и таких субъектов, как морская химия, входящая в Европейскую сеть морских наблюдений и данных (</w:t>
      </w:r>
      <w:proofErr w:type="spellStart"/>
      <w:r w:rsidRPr="007D4B37">
        <w:rPr>
          <w:rStyle w:val="tlid-translation"/>
          <w:rFonts w:cs="Times New Roman"/>
          <w:szCs w:val="24"/>
        </w:rPr>
        <w:t>EMODnet</w:t>
      </w:r>
      <w:proofErr w:type="spellEnd"/>
      <w:r w:rsidRPr="007D4B37">
        <w:rPr>
          <w:rStyle w:val="tlid-translation"/>
          <w:rFonts w:cs="Times New Roman"/>
          <w:szCs w:val="24"/>
        </w:rPr>
        <w:t>).</w:t>
      </w:r>
    </w:p>
    <w:p w:rsidR="000A4733" w:rsidRDefault="000A4733" w:rsidP="00AC7F4A">
      <w:pPr>
        <w:rPr>
          <w:rStyle w:val="tlid-translation"/>
          <w:rFonts w:cs="Times New Roman"/>
          <w:szCs w:val="24"/>
        </w:rPr>
      </w:pPr>
      <w:r w:rsidRPr="000A4733">
        <w:rPr>
          <w:rStyle w:val="tlid-translation"/>
          <w:rFonts w:cs="Times New Roman"/>
          <w:szCs w:val="24"/>
        </w:rPr>
        <w:t>С 2019 года МОК предлагает всем поставщикам данных использовать недавно созданный портал данных ЦУР 14.3.1 (</w:t>
      </w:r>
      <w:hyperlink r:id="rId15" w:history="1">
        <w:r w:rsidRPr="003B0C31">
          <w:rPr>
            <w:rStyle w:val="ac"/>
            <w:rFonts w:cs="Times New Roman"/>
            <w:szCs w:val="24"/>
          </w:rPr>
          <w:t>http://oa.iode.org</w:t>
        </w:r>
      </w:hyperlink>
      <w:r w:rsidRPr="000A4733">
        <w:rPr>
          <w:rStyle w:val="tlid-translation"/>
          <w:rFonts w:cs="Times New Roman"/>
          <w:szCs w:val="24"/>
        </w:rPr>
        <w:t xml:space="preserve">). Этот портал данных ЦУР 14.3.1 представляет собой инструмент для подачи, сбора, проверки, хранения и обмена данными и метаданными о </w:t>
      </w:r>
      <w:proofErr w:type="spellStart"/>
      <w:r w:rsidRPr="000A4733">
        <w:rPr>
          <w:rStyle w:val="tlid-translation"/>
          <w:rFonts w:cs="Times New Roman"/>
          <w:szCs w:val="24"/>
        </w:rPr>
        <w:t>закислении</w:t>
      </w:r>
      <w:proofErr w:type="spellEnd"/>
      <w:r w:rsidRPr="000A4733">
        <w:rPr>
          <w:rStyle w:val="tlid-translation"/>
          <w:rFonts w:cs="Times New Roman"/>
          <w:szCs w:val="24"/>
        </w:rPr>
        <w:t xml:space="preserve"> океана, представленными для достижения Цели устойчивого развития 14.3.1. Индикатор: Средняя кислотность морской среды (</w:t>
      </w:r>
      <w:proofErr w:type="spellStart"/>
      <w:r w:rsidRPr="000A4733">
        <w:rPr>
          <w:rStyle w:val="tlid-translation"/>
          <w:rFonts w:cs="Times New Roman"/>
          <w:szCs w:val="24"/>
        </w:rPr>
        <w:t>pH</w:t>
      </w:r>
      <w:proofErr w:type="spellEnd"/>
      <w:r w:rsidRPr="000A4733">
        <w:rPr>
          <w:rStyle w:val="tlid-translation"/>
          <w:rFonts w:cs="Times New Roman"/>
          <w:szCs w:val="24"/>
        </w:rPr>
        <w:t>), измеренная при согласованном наборе репрезентативных значений</w:t>
      </w:r>
      <w:proofErr w:type="gramStart"/>
      <w:r w:rsidRPr="000A4733">
        <w:rPr>
          <w:rStyle w:val="tlid-translation"/>
          <w:rFonts w:cs="Times New Roman"/>
          <w:szCs w:val="24"/>
        </w:rPr>
        <w:t>.</w:t>
      </w:r>
      <w:proofErr w:type="gramEnd"/>
      <w:r w:rsidRPr="000A4733">
        <w:rPr>
          <w:rStyle w:val="tlid-translation"/>
          <w:rFonts w:cs="Times New Roman"/>
          <w:szCs w:val="24"/>
        </w:rPr>
        <w:t xml:space="preserve"> </w:t>
      </w:r>
      <w:proofErr w:type="gramStart"/>
      <w:r w:rsidRPr="000A4733">
        <w:rPr>
          <w:rStyle w:val="tlid-translation"/>
          <w:rFonts w:cs="Times New Roman"/>
          <w:szCs w:val="24"/>
        </w:rPr>
        <w:t>с</w:t>
      </w:r>
      <w:proofErr w:type="gramEnd"/>
      <w:r w:rsidRPr="000A4733">
        <w:rPr>
          <w:rStyle w:val="tlid-translation"/>
          <w:rFonts w:cs="Times New Roman"/>
          <w:szCs w:val="24"/>
        </w:rPr>
        <w:t>танции отбора проб. Помимо возможности прямой подачи метаданных и данных, портал также предоставляет полный текст методологии индикатора ЦУР 14.3.1, шаблон данных, шаблон метаданных и файл инструкций по метаданным. С 2020 года недавно разработанный раздел часто задаваемых вопросов облегчает предоставление данных 14.3.1. МОК разрабатывает интегрированную систему данных для автоматического сбора данных из других соответствующих баз данных и хранилищ углерода в океане в базу данных показателей ЦУР 14.3.1.</w:t>
      </w:r>
    </w:p>
    <w:p w:rsidR="00AB5271" w:rsidRPr="00AC7F4A" w:rsidRDefault="00AB5271" w:rsidP="0042681B">
      <w:pPr>
        <w:rPr>
          <w:rFonts w:cs="Times New Roman"/>
          <w:szCs w:val="24"/>
        </w:rPr>
      </w:pPr>
      <w:r w:rsidRPr="007D4B37">
        <w:rPr>
          <w:rStyle w:val="tlid-translation"/>
          <w:rFonts w:cs="Times New Roman"/>
          <w:szCs w:val="24"/>
        </w:rPr>
        <w:t xml:space="preserve">Портал данных </w:t>
      </w:r>
      <w:hyperlink r:id="rId16" w:history="1">
        <w:r w:rsidRPr="007D4B37">
          <w:rPr>
            <w:rStyle w:val="ac"/>
            <w:rFonts w:cs="Times New Roman"/>
            <w:szCs w:val="24"/>
          </w:rPr>
          <w:t>GOA-ON</w:t>
        </w:r>
      </w:hyperlink>
      <w:r w:rsidRPr="007D4B37">
        <w:rPr>
          <w:rStyle w:val="tlid-translation"/>
          <w:rFonts w:cs="Times New Roman"/>
          <w:szCs w:val="24"/>
        </w:rPr>
        <w:t xml:space="preserve"> предоставляет данные открытого доступа в дополнение к инвентаризации активов глобального мониторинга. Портал имеет два уровня доступа: </w:t>
      </w:r>
      <w:r w:rsidR="0042681B" w:rsidRPr="0042681B">
        <w:rPr>
          <w:rStyle w:val="tlid-translation"/>
          <w:rFonts w:cs="Times New Roman"/>
          <w:szCs w:val="24"/>
        </w:rPr>
        <w:t xml:space="preserve">1) визуализация и 2) возможности загрузки. Объединение различных наборов данных открытого доступа может послужить стимулом для создания новых систем наблюдений в районах с недостаточной выборкой и для более широкого применения политики открытого доступа к данным во всем мире, согласно Критериям и руководящим принципам МОК по передаче морских </w:t>
      </w:r>
      <w:r w:rsidR="0042681B">
        <w:rPr>
          <w:rStyle w:val="tlid-translation"/>
          <w:rFonts w:cs="Times New Roman"/>
          <w:szCs w:val="24"/>
        </w:rPr>
        <w:t>технологий (2005 г.) в будущее.</w:t>
      </w:r>
      <w:r w:rsidR="0042681B" w:rsidRPr="0042681B">
        <w:rPr>
          <w:rStyle w:val="tlid-translation"/>
          <w:rFonts w:cs="Times New Roman"/>
          <w:szCs w:val="24"/>
        </w:rPr>
        <w:t xml:space="preserve"> Кроме того, на веб-сайте GOA-ON размещен ряд страниц, посвященных методологии ЦУР 14.3.1:</w:t>
      </w:r>
      <w:r w:rsidR="00AC7F4A">
        <w:rPr>
          <w:rStyle w:val="tlid-translation"/>
          <w:rFonts w:cs="Times New Roman"/>
          <w:szCs w:val="24"/>
        </w:rPr>
        <w:t xml:space="preserve"> </w:t>
      </w:r>
      <w:hyperlink r:id="rId17" w:history="1">
        <w:r w:rsidR="000A4733" w:rsidRPr="003B0C31">
          <w:rPr>
            <w:rStyle w:val="ac"/>
            <w:rFonts w:cs="Times New Roman"/>
            <w:szCs w:val="24"/>
          </w:rPr>
          <w:t>http://goa-on.org/sdg_14.3.1/sdg_14.3.1.php</w:t>
        </w:r>
      </w:hyperlink>
      <w:r w:rsidR="00AC7F4A" w:rsidRPr="00AC7F4A">
        <w:rPr>
          <w:rStyle w:val="tlid-translation"/>
          <w:rFonts w:cs="Times New Roman"/>
          <w:szCs w:val="24"/>
        </w:rPr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6D2C60" w:rsidRPr="006D2C60" w:rsidRDefault="006D2C60" w:rsidP="006D2C60">
      <w:r w:rsidRPr="006D2C60">
        <w:t xml:space="preserve">Официальными партнерами являются координаторы МОК. МОК связывается с ними, а также с национальными центрами океанографических данных (НЦОД), чтобы запросить соответствующие данные у соответствующих национальных центров океанографических данных и/или у соответствующих ученых, учреждений или программ. Ежегодный запрос на представление данных направляется циркулярными письмами МОК непосредственно государствам-членам с просьбой предоставить соответствующие данные и метаданные (циркулярное письмо </w:t>
      </w:r>
      <w:hyperlink r:id="rId18" w:history="1">
        <w:r w:rsidRPr="006D2C60">
          <w:rPr>
            <w:rStyle w:val="ac"/>
          </w:rPr>
          <w:t>2792</w:t>
        </w:r>
      </w:hyperlink>
      <w:r w:rsidRPr="006D2C60">
        <w:t xml:space="preserve"> в 2019 г., циркулярное письмо </w:t>
      </w:r>
      <w:hyperlink r:id="rId19" w:history="1">
        <w:r w:rsidRPr="006D2C60">
          <w:rPr>
            <w:rStyle w:val="ac"/>
          </w:rPr>
          <w:t>2815</w:t>
        </w:r>
      </w:hyperlink>
      <w:r w:rsidRPr="006D2C60">
        <w:t xml:space="preserve"> в 2020 г. и циркулярное письмо </w:t>
      </w:r>
      <w:hyperlink r:id="rId20" w:history="1">
        <w:r w:rsidRPr="006D2C60">
          <w:rPr>
            <w:rStyle w:val="ac"/>
          </w:rPr>
          <w:t>2859</w:t>
        </w:r>
      </w:hyperlink>
      <w:r w:rsidRPr="006D2C60">
        <w:t xml:space="preserve"> в 2021 г.). Новые обновления и включение новых функций в портал данных ЦУР 14.3.1, который будет разработан в 2022 году, будут способствовать сотрудничеству с другими существующими центрами данных об углероде в океане и платформами биогеохимических данных.</w:t>
      </w:r>
    </w:p>
    <w:p w:rsidR="006D2C60" w:rsidRDefault="006D2C60" w:rsidP="006D2C60">
      <w:r w:rsidRPr="006D2C60">
        <w:t xml:space="preserve">Кроме того, МОК извлекает выгоду из прямого вклада ученых, занимающихся вопросами </w:t>
      </w:r>
      <w:proofErr w:type="spellStart"/>
      <w:r w:rsidRPr="006D2C60">
        <w:t>закисления</w:t>
      </w:r>
      <w:proofErr w:type="spellEnd"/>
      <w:r w:rsidRPr="006D2C60">
        <w:t xml:space="preserve"> океана, организованных в рамках Глобальной сети наблюдения за </w:t>
      </w:r>
      <w:proofErr w:type="spellStart"/>
      <w:r w:rsidRPr="006D2C60">
        <w:t>закислением</w:t>
      </w:r>
      <w:proofErr w:type="spellEnd"/>
      <w:r w:rsidRPr="006D2C60">
        <w:t xml:space="preserve"> океана (GOA-ON), в портал данных ЦУР 14.3.1.</w:t>
      </w:r>
    </w:p>
    <w:p w:rsidR="0019315B" w:rsidRDefault="0019315B" w:rsidP="0019315B">
      <w:r>
        <w:lastRenderedPageBreak/>
        <w:t xml:space="preserve">Всем, кто вносит данные по ЦУР 14.3.1, рекомендуется прочитать и следовать стандартным операционным процедурам, представленным в </w:t>
      </w:r>
      <w:proofErr w:type="spellStart"/>
      <w:r>
        <w:t>Dickson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2007. Этот документ охватывает химический состав углерода в океане, методы работы с пробами, процедуры обеспечения качества, использование сертифицированных эталонных материалов (CRM) и стандартных операционных процедур (SOP) для дискретного отбора проб </w:t>
      </w:r>
      <w:proofErr w:type="spellStart"/>
      <w:r>
        <w:t>pH</w:t>
      </w:r>
      <w:proofErr w:type="spellEnd"/>
      <w:r>
        <w:t>, pCO2, TA и DIC. Авторам данных также рекомендуется ознакомиться с «Руководством по пе</w:t>
      </w:r>
      <w:r w:rsidR="005F0ADE">
        <w:t xml:space="preserve">редовым методам исследования </w:t>
      </w:r>
      <w:proofErr w:type="spellStart"/>
      <w:r w:rsidR="005F0ADE">
        <w:t>за</w:t>
      </w:r>
      <w:r>
        <w:t>кисления</w:t>
      </w:r>
      <w:proofErr w:type="spellEnd"/>
      <w:r>
        <w:t xml:space="preserve"> океана и представления данных», в котором основное внимание уделяется передовым методам проведения лабораторных экспериментов, а также справочная информация по углеродной химии (</w:t>
      </w:r>
      <w:proofErr w:type="spellStart"/>
      <w:r>
        <w:t>Riebesell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2010). Для прибрежной среды, которая может быть подвержена большой изменчивости и целому ряду влияний, таких как поступление питательных веществ и пресной воды, здесь можно найти рекомендации по измерению </w:t>
      </w:r>
      <w:proofErr w:type="spellStart"/>
      <w:r>
        <w:t>pH</w:t>
      </w:r>
      <w:proofErr w:type="spellEnd"/>
      <w:r>
        <w:t xml:space="preserve"> и химического состава карбонатов (</w:t>
      </w:r>
      <w:proofErr w:type="spellStart"/>
      <w:r>
        <w:t>Pimenta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Grear</w:t>
      </w:r>
      <w:proofErr w:type="spellEnd"/>
      <w:r>
        <w:t xml:space="preserve"> 2018).</w:t>
      </w:r>
    </w:p>
    <w:p w:rsidR="0019315B" w:rsidRDefault="0019315B" w:rsidP="0019315B">
      <w:r>
        <w:t xml:space="preserve">Все данные, представляемые в рамках </w:t>
      </w:r>
      <w:r w:rsidR="00DD6838">
        <w:t>ЦУР</w:t>
      </w:r>
      <w:r>
        <w:t xml:space="preserve"> 14.3.1, должны включать оценку неопределенности измерений в метаданные. Автономные датчики </w:t>
      </w:r>
      <w:proofErr w:type="spellStart"/>
      <w:r>
        <w:t>pH</w:t>
      </w:r>
      <w:proofErr w:type="spellEnd"/>
      <w:r>
        <w:t xml:space="preserve"> и pCO2 требуют калибровки и технического обслуживания для проверки работоспособности датчика и выявления дрейфа или неисправности датчика. Там, где это возможно, анализ отдельных проб бутылок, проанализированных на </w:t>
      </w:r>
      <w:proofErr w:type="spellStart"/>
      <w:r>
        <w:t>pH</w:t>
      </w:r>
      <w:proofErr w:type="spellEnd"/>
      <w:r>
        <w:t xml:space="preserve">, DIC или TA, собранных рядом с датчиками, можно использовать для расчета </w:t>
      </w:r>
      <w:proofErr w:type="spellStart"/>
      <w:r>
        <w:t>pH</w:t>
      </w:r>
      <w:proofErr w:type="spellEnd"/>
      <w:r>
        <w:t xml:space="preserve"> и </w:t>
      </w:r>
      <w:r w:rsidRPr="007F438B">
        <w:rPr>
          <w:i/>
        </w:rPr>
        <w:t>p</w:t>
      </w:r>
      <w:r>
        <w:t>CO2.</w:t>
      </w:r>
    </w:p>
    <w:p w:rsidR="0019315B" w:rsidRPr="00BD29EC" w:rsidRDefault="0019315B" w:rsidP="0019315B">
      <w:r>
        <w:t xml:space="preserve">Все наборы данных о кислотности океана, представляемые в соответствии с ЦУР 14.3.1, должны также включать соответствующую температуру (на месте [и температуру измерения, если она отличается </w:t>
      </w:r>
      <w:proofErr w:type="gramStart"/>
      <w:r>
        <w:t>от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месте]), соленость и давление (глубина отбора проб). При отправке значений </w:t>
      </w:r>
      <w:proofErr w:type="spellStart"/>
      <w:r>
        <w:t>pH</w:t>
      </w:r>
      <w:proofErr w:type="spellEnd"/>
      <w:r>
        <w:t xml:space="preserve"> все значения </w:t>
      </w:r>
      <w:proofErr w:type="spellStart"/>
      <w:r>
        <w:t>pH</w:t>
      </w:r>
      <w:proofErr w:type="spellEnd"/>
      <w:r>
        <w:t xml:space="preserve"> должны быть на общей шкале (</w:t>
      </w:r>
      <w:proofErr w:type="spellStart"/>
      <w:r>
        <w:t>Dickson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 2007).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5222C8" w:rsidRPr="00BD29EC" w:rsidRDefault="005222C8" w:rsidP="005222C8">
      <w:r w:rsidRPr="005222C8">
        <w:t>Национальные наборы данных должны представляться ежегодно (как минимум) в соответствии с просьбой, содержащейся в циркулярных письмах МОК. Тем не менее, экспертам, национальным координаторам государств-членов и НЦОД предлагается представлять данные в течение года через портал данных ЦУР 14.3.1. Приглашение посредством циркулярного письма будет рассылаться во втором семестре каждого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5222C8" w:rsidRPr="005222C8" w:rsidRDefault="005222C8" w:rsidP="007F438B">
      <w:pPr>
        <w:pStyle w:val="af5"/>
        <w:rPr>
          <w:szCs w:val="24"/>
        </w:rPr>
      </w:pPr>
      <w:r w:rsidRPr="005222C8">
        <w:t>Данные публикуются в феврале каждого года.</w:t>
      </w:r>
    </w:p>
    <w:p w:rsidR="007F438B" w:rsidRDefault="007F438B" w:rsidP="007F438B">
      <w:pPr>
        <w:pStyle w:val="af5"/>
        <w:rPr>
          <w:szCs w:val="24"/>
        </w:rPr>
      </w:pPr>
    </w:p>
    <w:p w:rsidR="007F438B" w:rsidRDefault="007F438B" w:rsidP="007F438B">
      <w:pPr>
        <w:pStyle w:val="af5"/>
        <w:rPr>
          <w:szCs w:val="24"/>
        </w:rPr>
      </w:pP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5222C8" w:rsidRPr="005222C8" w:rsidRDefault="005222C8" w:rsidP="005222C8">
      <w:r w:rsidRPr="005222C8">
        <w:t>Общий процесс сбора данных МОК описан в документе IOC-XXIX/2Annex 14.</w:t>
      </w:r>
    </w:p>
    <w:p w:rsidR="005222C8" w:rsidRPr="00A71EC6" w:rsidRDefault="005222C8" w:rsidP="005222C8">
      <w:r w:rsidRPr="005222C8">
        <w:t xml:space="preserve">Новизна оценки </w:t>
      </w:r>
      <w:proofErr w:type="spellStart"/>
      <w:r w:rsidRPr="005222C8">
        <w:t>закисления</w:t>
      </w:r>
      <w:proofErr w:type="spellEnd"/>
      <w:r w:rsidRPr="005222C8">
        <w:t xml:space="preserve"> океана на глобальном уровне, как и для этого показателя 14.3.1, требует, чтобы секретариат МОК собирал данные с помощью целого ряда различных путей. Это будет включать прямые запросы в национальные статистические управления (НСУ), ежегодные запросы в национальные координационные центры МОК, </w:t>
      </w:r>
      <w:r w:rsidRPr="005222C8">
        <w:lastRenderedPageBreak/>
        <w:t>НЦОД и связанные с ними агентства данных в государствах-членах, а также международные центры данных и отдельных поставщиков данных.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5222C8" w:rsidRPr="00BD29EC" w:rsidRDefault="005222C8" w:rsidP="005222C8">
      <w:r w:rsidRPr="005222C8">
        <w:t xml:space="preserve">Межправительственная океанографическая комиссия (МОК) ЮНЕСКО является куратором этого показателя. В сотрудничестве с Международным обменом океанографическими данными и информацией (МООД) </w:t>
      </w:r>
      <w:proofErr w:type="gramStart"/>
      <w:r w:rsidRPr="005222C8">
        <w:t>МОК</w:t>
      </w:r>
      <w:proofErr w:type="gramEnd"/>
      <w:r w:rsidRPr="005222C8">
        <w:t xml:space="preserve"> данные будут собираться и храниться прозрачным и отслеживаемым образом, что позволит обмениваться данными о </w:t>
      </w:r>
      <w:proofErr w:type="spellStart"/>
      <w:r w:rsidRPr="005222C8">
        <w:t>закислении</w:t>
      </w:r>
      <w:proofErr w:type="spellEnd"/>
      <w:r w:rsidRPr="005222C8">
        <w:t xml:space="preserve"> океана. МОК приветствует наборы данных, которыми можно свободно обмениваться без ограничений (CC0, CC BY), с ограничениями для коммерческого использования (CC BY-NC), а также те, которые позволяют МОК-ЮНЕСКО только получать продукты, используемые для целей Отчетност</w:t>
      </w:r>
      <w:r>
        <w:t>и</w:t>
      </w:r>
      <w:r w:rsidRPr="005222C8">
        <w:t xml:space="preserve"> по показателю 14.3.1 ЦУР (</w:t>
      </w:r>
      <w:hyperlink r:id="rId21" w:history="1">
        <w:r w:rsidR="00242C88" w:rsidRPr="003B0C31">
          <w:rPr>
            <w:rStyle w:val="ac"/>
          </w:rPr>
          <w:t>http://oa.iode.org</w:t>
        </w:r>
      </w:hyperlink>
      <w:r w:rsidRPr="005222C8">
        <w:t>).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7A5BC7" w:rsidRPr="007A5BC7" w:rsidRDefault="007A5BC7" w:rsidP="007A5BC7">
      <w:r w:rsidRPr="007A5BC7">
        <w:t xml:space="preserve">МОК-ЮНЕСКО является </w:t>
      </w:r>
      <w:r>
        <w:t>куратором</w:t>
      </w:r>
      <w:r w:rsidRPr="007A5BC7">
        <w:t xml:space="preserve"> показателя 14.3.1 ЦУР. Цель Комиссии состоит в том, чтобы содействовать международному сотрудничеству и координировать программы в области исследований, услуг и наращивания потенциала, чтобы больше узнать о природе и ресурсах океана и прибрежных районов и применить эти </w:t>
      </w:r>
      <w:r w:rsidR="005F4C1E">
        <w:t>знания для улучшения управления устойчивым</w:t>
      </w:r>
      <w:r w:rsidRPr="007A5BC7">
        <w:t xml:space="preserve"> развитие</w:t>
      </w:r>
      <w:r w:rsidR="005F4C1E">
        <w:t>м</w:t>
      </w:r>
      <w:r w:rsidRPr="007A5BC7">
        <w:t>, защит</w:t>
      </w:r>
      <w:r w:rsidR="005F4C1E">
        <w:t>ы</w:t>
      </w:r>
      <w:r w:rsidRPr="007A5BC7">
        <w:t xml:space="preserve"> морской среды и процесс</w:t>
      </w:r>
      <w:r w:rsidR="005F4C1E">
        <w:t>ов</w:t>
      </w:r>
      <w:r w:rsidRPr="007A5BC7">
        <w:t xml:space="preserve"> принятия решений государствами-членами. Кроме того, МОК признана Конвенцией Организации Объединенных Наций по морскому праву (ЮНКЛОС) в качестве компетентной международной организации в области морских научных исследований (часть XIII) и передачи морск</w:t>
      </w:r>
      <w:r w:rsidR="005F4C1E">
        <w:t>их технологий</w:t>
      </w:r>
      <w:r w:rsidRPr="007A5BC7">
        <w:t xml:space="preserve"> (часть XIV).</w:t>
      </w:r>
    </w:p>
    <w:p w:rsidR="00980F79" w:rsidRDefault="007A5BC7" w:rsidP="007A5BC7">
      <w:r w:rsidRPr="007A5BC7">
        <w:t>В соответствии со своим Уставом Комиссия может действовать также в качестве совместного специализированного механизма организаций системы Организации Объединенных Наций, которые согласились использовать Комиссию для выполнения определенных своих обязанностей в области морских наук и океанских служб и соответственно согласились поддерживать работу Комиссии. Кроме того, МОК является одной из организаций, поддерживающих Глобальную сеть наблюдений за окислением океана (GOA-ON) (</w:t>
      </w:r>
      <w:hyperlink r:id="rId22" w:history="1">
        <w:r w:rsidR="00242C88" w:rsidRPr="003B0C31">
          <w:rPr>
            <w:rStyle w:val="ac"/>
          </w:rPr>
          <w:t>http://goa-on.org</w:t>
        </w:r>
      </w:hyperlink>
      <w:r w:rsidRPr="007A5BC7">
        <w:t xml:space="preserve">). Комиссия размещает одну часть распределенного секретариата GOA-ON, способствуя научному сотрудничеству и наращиванию потенциала в области наблюдений за </w:t>
      </w:r>
      <w:proofErr w:type="spellStart"/>
      <w:r w:rsidR="005F0ADE">
        <w:t>за</w:t>
      </w:r>
      <w:r w:rsidRPr="007A5BC7">
        <w:t>кислением</w:t>
      </w:r>
      <w:proofErr w:type="spellEnd"/>
      <w:r w:rsidRPr="007A5BC7">
        <w:t xml:space="preserve"> океана. GOA-ON активно призывает своих членов собирать и сообщать метаданные и данные, относящиеся к показателю 14.3.1 ЦУР.</w:t>
      </w:r>
    </w:p>
    <w:p w:rsidR="00242C88" w:rsidRDefault="00242C88" w:rsidP="007A5BC7"/>
    <w:p w:rsidR="000E74DA" w:rsidRPr="00BD29EC" w:rsidRDefault="000E74DA" w:rsidP="007A5BC7"/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E037AD" w:rsidRPr="00E037AD" w:rsidRDefault="00242C88" w:rsidP="00E037AD">
      <w:r w:rsidRPr="00242C88">
        <w:t>Океан поглощает до 30% годовых выбросов антропогенного CO</w:t>
      </w:r>
      <w:r w:rsidRPr="00242C88">
        <w:rPr>
          <w:vertAlign w:val="subscript"/>
        </w:rPr>
        <w:t>2</w:t>
      </w:r>
      <w:r w:rsidRPr="00242C88">
        <w:t xml:space="preserve"> в атмосферу, помогая смягчить последствия изменения климата на планете. Однако это сопряжено с высокими </w:t>
      </w:r>
      <w:r w:rsidRPr="00242C88">
        <w:lastRenderedPageBreak/>
        <w:t xml:space="preserve">экологическими издержками, поскольку </w:t>
      </w:r>
      <w:proofErr w:type="gramStart"/>
      <w:r w:rsidRPr="00242C88">
        <w:t>поглощенный</w:t>
      </w:r>
      <w:proofErr w:type="gramEnd"/>
      <w:r w:rsidRPr="00242C88">
        <w:t xml:space="preserve"> CO</w:t>
      </w:r>
      <w:r w:rsidRPr="00242C88">
        <w:rPr>
          <w:vertAlign w:val="subscript"/>
        </w:rPr>
        <w:t>2</w:t>
      </w:r>
      <w:r w:rsidRPr="00242C88">
        <w:t xml:space="preserve"> вступает в реакцию с морской водой и приводит к изменениям в химическом составе растворенных карбонатов, включая повышение уровня кислотности в морской среде (снижение </w:t>
      </w:r>
      <w:proofErr w:type="spellStart"/>
      <w:r w:rsidRPr="00242C88">
        <w:t>pH</w:t>
      </w:r>
      <w:proofErr w:type="spellEnd"/>
      <w:r w:rsidRPr="00242C88">
        <w:t xml:space="preserve"> морской воды). Было показано, что наблюдаемые изменения вызывают ряд реакций на уровне организма, которые могут повлиять на биоразнообразие, структуру экосистем и продовольственную безопасность. Например, уменьшение содержания растворенного карбоната снижает растворимость карбонатных минералов, включая арагонит и кальцит, две основные формы карбоната кальция, используемые морскими видами для формирования раковин и скелетного материала (например, кораллов, строящих рифы, и моллюсков с панцирем). Арагонит является </w:t>
      </w:r>
      <w:proofErr w:type="gramStart"/>
      <w:r w:rsidRPr="00242C88">
        <w:t>более растворимой</w:t>
      </w:r>
      <w:proofErr w:type="gramEnd"/>
      <w:r w:rsidRPr="00242C88">
        <w:t xml:space="preserve"> формой, и его доступность для построения раковин такими организмами, как кораллы и устрицы, называемая состоянием насыщения арагонита [Ω (арагонит)], используется вместе с </w:t>
      </w:r>
      <w:proofErr w:type="spellStart"/>
      <w:r w:rsidRPr="00242C88">
        <w:t>pH</w:t>
      </w:r>
      <w:proofErr w:type="spellEnd"/>
      <w:r w:rsidRPr="00242C88">
        <w:t xml:space="preserve"> в качестве индикатора при отслеживании прогрессирования </w:t>
      </w:r>
      <w:proofErr w:type="spellStart"/>
      <w:r w:rsidRPr="00242C88">
        <w:t>закисления</w:t>
      </w:r>
      <w:proofErr w:type="spellEnd"/>
      <w:r w:rsidRPr="00242C88">
        <w:t xml:space="preserve"> океана. Кроме того, не менее </w:t>
      </w:r>
      <w:proofErr w:type="gramStart"/>
      <w:r w:rsidRPr="00242C88">
        <w:t>важное значение</w:t>
      </w:r>
      <w:proofErr w:type="gramEnd"/>
      <w:r w:rsidRPr="00242C88">
        <w:t xml:space="preserve"> для некоторых ключевых морских организмов имеет концентрация растворенного CO</w:t>
      </w:r>
      <w:r w:rsidRPr="00242C88">
        <w:rPr>
          <w:vertAlign w:val="subscript"/>
        </w:rPr>
        <w:t>2</w:t>
      </w:r>
      <w:r w:rsidRPr="00242C88">
        <w:t xml:space="preserve"> и бикарбоната. Поэтому крайне важно провести полную классификацию изменяющейся карбонатной системы.</w:t>
      </w:r>
    </w:p>
    <w:p w:rsidR="002E15F9" w:rsidRDefault="00E037AD" w:rsidP="00E037AD">
      <w:r w:rsidRPr="00E037AD">
        <w:t xml:space="preserve">Регулярные наблюдения за кислотностью морской среды в открытом океане в течение последних 20-30 лет выявили четкую тенденцию к снижению рН и то, что современные условия часто выходят за доиндустриальные рамки. Сообщалось, что тенденции наблюдений в прибрежных районах определить труднее. В некоторых регионах изменения усиливаются естественными процессами, такими как </w:t>
      </w:r>
      <w:proofErr w:type="spellStart"/>
      <w:r w:rsidRPr="00E037AD">
        <w:t>апвеллинг</w:t>
      </w:r>
      <w:proofErr w:type="spellEnd"/>
      <w:r w:rsidRPr="00E037AD">
        <w:t xml:space="preserve"> (при котором холодная, часто богатая СО</w:t>
      </w:r>
      <w:proofErr w:type="gramStart"/>
      <w:r w:rsidRPr="00D85EC8">
        <w:rPr>
          <w:vertAlign w:val="subscript"/>
        </w:rPr>
        <w:t>2</w:t>
      </w:r>
      <w:proofErr w:type="gramEnd"/>
      <w:r w:rsidRPr="00E037AD">
        <w:t xml:space="preserve"> и питательными веществами вода из глубины поднимается к поверхности моря). Кроме того, при интерпретации причин </w:t>
      </w:r>
      <w:proofErr w:type="spellStart"/>
      <w:r w:rsidRPr="00E037AD">
        <w:t>закисления</w:t>
      </w:r>
      <w:proofErr w:type="spellEnd"/>
      <w:r w:rsidRPr="00E037AD">
        <w:t xml:space="preserve"> океана и сопутствующие воздействия. </w:t>
      </w:r>
      <w:proofErr w:type="spellStart"/>
      <w:r w:rsidRPr="00E037AD">
        <w:t>Закисление</w:t>
      </w:r>
      <w:proofErr w:type="spellEnd"/>
      <w:r w:rsidRPr="00E037AD">
        <w:t xml:space="preserve"> океана может иметь прямые последствия для морской жизни и каскадов, включая услуги, предоставляемые открытым океаном и прибрежными районами, включая продукты питания и средства к существованию, туризм, защиту побережья, культурную самобытность, транспорт и отдых. Воздействие </w:t>
      </w:r>
      <w:proofErr w:type="spellStart"/>
      <w:r w:rsidRPr="00E037AD">
        <w:t>закисления</w:t>
      </w:r>
      <w:proofErr w:type="spellEnd"/>
      <w:r w:rsidRPr="00E037AD">
        <w:t xml:space="preserve"> океана на океанские услуги можно уменьшить за счет надлежащего мониторинга и лучшего понимания изменчивости и скорости изменений, помогая информировать стратегии смягчения последствий и/или адаптации.</w:t>
      </w:r>
    </w:p>
    <w:p w:rsidR="00D85EC8" w:rsidRPr="00D85EC8" w:rsidRDefault="00D85EC8" w:rsidP="00D85EC8">
      <w:pPr>
        <w:rPr>
          <w:szCs w:val="24"/>
        </w:rPr>
      </w:pPr>
      <w:r w:rsidRPr="00D85EC8">
        <w:rPr>
          <w:szCs w:val="24"/>
        </w:rPr>
        <w:t xml:space="preserve">Хотя этот </w:t>
      </w:r>
      <w:r w:rsidR="004855D3">
        <w:rPr>
          <w:szCs w:val="24"/>
        </w:rPr>
        <w:t>показатель</w:t>
      </w:r>
      <w:r w:rsidRPr="00D85EC8">
        <w:rPr>
          <w:szCs w:val="24"/>
        </w:rPr>
        <w:t xml:space="preserve"> запрашивает у стран значения «средней кислотности», данные, содержащие среднее значение, должны давать представление о</w:t>
      </w:r>
      <w:r w:rsidR="004855D3">
        <w:rPr>
          <w:szCs w:val="24"/>
        </w:rPr>
        <w:t>б</w:t>
      </w:r>
      <w:r w:rsidRPr="00D85EC8">
        <w:rPr>
          <w:szCs w:val="24"/>
        </w:rPr>
        <w:t xml:space="preserve"> изменчивости измерений, что более важно для воздействия на морскую жизнь. Другими словами, виды реагируют не на «средние» условия, а на условия реального времени. </w:t>
      </w:r>
      <w:proofErr w:type="gramStart"/>
      <w:r w:rsidRPr="00D85EC8">
        <w:rPr>
          <w:szCs w:val="24"/>
        </w:rPr>
        <w:t xml:space="preserve">Как минимум, общий диапазон (минимальное и максимальное значения) должен сообщаться в </w:t>
      </w:r>
      <w:r>
        <w:rPr>
          <w:szCs w:val="24"/>
        </w:rPr>
        <w:t>дополнение к среднему значению.</w:t>
      </w:r>
      <w:proofErr w:type="gramEnd"/>
    </w:p>
    <w:p w:rsidR="00D85EC8" w:rsidRPr="00D85EC8" w:rsidRDefault="00D85EC8" w:rsidP="00D85EC8">
      <w:pPr>
        <w:rPr>
          <w:szCs w:val="24"/>
        </w:rPr>
      </w:pPr>
      <w:r w:rsidRPr="00D85EC8">
        <w:rPr>
          <w:szCs w:val="24"/>
        </w:rPr>
        <w:t xml:space="preserve">Прибрежные страны часто проводят долгосрочный мониторинг качества воды, включая информацию о концентрации питательных веществ, температуре, солености и иногда о химическом составе карбонатов. Эти участки мониторинга качества воды обеспечивают исторический контекст биогеохимической изменчивости системы и должны считаться идеальным местом для мониторинга </w:t>
      </w:r>
      <w:proofErr w:type="spellStart"/>
      <w:r w:rsidRPr="00D85EC8">
        <w:rPr>
          <w:szCs w:val="24"/>
        </w:rPr>
        <w:t>закисления</w:t>
      </w:r>
      <w:proofErr w:type="spellEnd"/>
      <w:r w:rsidRPr="00D85EC8">
        <w:rPr>
          <w:szCs w:val="24"/>
        </w:rPr>
        <w:t xml:space="preserve"> океана. Также может потребоваться создание дополнительных участков д</w:t>
      </w:r>
      <w:r>
        <w:rPr>
          <w:szCs w:val="24"/>
        </w:rPr>
        <w:t>ля характеристики изменчивости.</w:t>
      </w:r>
    </w:p>
    <w:p w:rsidR="00D85EC8" w:rsidRPr="00BD29EC" w:rsidRDefault="00D85EC8" w:rsidP="00D85EC8">
      <w:pPr>
        <w:rPr>
          <w:szCs w:val="24"/>
        </w:rPr>
      </w:pPr>
      <w:r w:rsidRPr="00D85EC8">
        <w:rPr>
          <w:szCs w:val="24"/>
        </w:rPr>
        <w:lastRenderedPageBreak/>
        <w:t xml:space="preserve">Переменные данных, связанные с мониторингом </w:t>
      </w:r>
      <w:proofErr w:type="spellStart"/>
      <w:r w:rsidRPr="00D85EC8">
        <w:rPr>
          <w:szCs w:val="24"/>
        </w:rPr>
        <w:t>закисления</w:t>
      </w:r>
      <w:proofErr w:type="spellEnd"/>
      <w:r w:rsidRPr="00D85EC8">
        <w:rPr>
          <w:szCs w:val="24"/>
        </w:rPr>
        <w:t xml:space="preserve"> океана (переменные включают </w:t>
      </w:r>
      <w:proofErr w:type="spellStart"/>
      <w:r w:rsidRPr="00D85EC8">
        <w:rPr>
          <w:szCs w:val="24"/>
        </w:rPr>
        <w:t>pH</w:t>
      </w:r>
      <w:proofErr w:type="spellEnd"/>
      <w:r w:rsidRPr="00D85EC8">
        <w:rPr>
          <w:szCs w:val="24"/>
        </w:rPr>
        <w:t xml:space="preserve">, парциальное давление двуокиси углерода [pCO2], общий растворенный неорганический углерод [DIC] и общую щелочность [TA]), могут служить глобальным, национальным, региональным и местные потребности в данных, такие как отслеживание подверженности морских экосистем и участков аквакультуры коррозионным условиям, а также выявление возможностей снижения уязвимости экосистем и экономики к </w:t>
      </w:r>
      <w:proofErr w:type="spellStart"/>
      <w:r w:rsidRPr="00D85EC8">
        <w:rPr>
          <w:szCs w:val="24"/>
        </w:rPr>
        <w:t>закислению</w:t>
      </w:r>
      <w:proofErr w:type="spellEnd"/>
      <w:r w:rsidRPr="00D85EC8">
        <w:rPr>
          <w:szCs w:val="24"/>
        </w:rPr>
        <w:t xml:space="preserve"> океана. Например, локальный мониторинг уровня </w:t>
      </w:r>
      <w:proofErr w:type="spellStart"/>
      <w:r w:rsidRPr="00D85EC8">
        <w:rPr>
          <w:szCs w:val="24"/>
        </w:rPr>
        <w:t>pH</w:t>
      </w:r>
      <w:proofErr w:type="spellEnd"/>
      <w:r w:rsidRPr="00D85EC8">
        <w:rPr>
          <w:szCs w:val="24"/>
        </w:rPr>
        <w:t xml:space="preserve"> и состояния насыщения арагонита на тихоокеанском побережье США позволил фермерам, выращивающим моллюсков, адаптироваться к разрушительным условиям, возникающим во время </w:t>
      </w:r>
      <w:proofErr w:type="spellStart"/>
      <w:r w:rsidRPr="00D85EC8">
        <w:rPr>
          <w:szCs w:val="24"/>
        </w:rPr>
        <w:t>апвеллинга</w:t>
      </w:r>
      <w:proofErr w:type="spellEnd"/>
      <w:r w:rsidRPr="00D85EC8">
        <w:rPr>
          <w:szCs w:val="24"/>
        </w:rPr>
        <w:t xml:space="preserve">, которые снижают </w:t>
      </w:r>
      <w:proofErr w:type="spellStart"/>
      <w:r w:rsidRPr="00D85EC8">
        <w:rPr>
          <w:szCs w:val="24"/>
        </w:rPr>
        <w:t>pH</w:t>
      </w:r>
      <w:proofErr w:type="spellEnd"/>
      <w:r w:rsidRPr="00D85EC8">
        <w:rPr>
          <w:szCs w:val="24"/>
        </w:rPr>
        <w:t xml:space="preserve"> и угрожают маточному стаду.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0A3A18" w:rsidRPr="000A3A18" w:rsidRDefault="000A3A18" w:rsidP="000A3A18">
      <w:r w:rsidRPr="000A3A18">
        <w:t xml:space="preserve">Методология этого показателя была разработана при технической поддержке экспертов в области </w:t>
      </w:r>
      <w:proofErr w:type="spellStart"/>
      <w:r w:rsidRPr="000A3A18">
        <w:t>закисления</w:t>
      </w:r>
      <w:proofErr w:type="spellEnd"/>
      <w:r w:rsidRPr="000A3A18">
        <w:t xml:space="preserve"> океана. Он содержит общепринятые и адаптированные рекомендации и передовой опыт, разработанные учеными и опубликованные в рецензируемой литературе.</w:t>
      </w:r>
    </w:p>
    <w:p w:rsidR="000A3A18" w:rsidRPr="00BD29EC" w:rsidRDefault="000A3A18" w:rsidP="000A3A18">
      <w:r w:rsidRPr="000A3A18">
        <w:t xml:space="preserve">Поскольку это очень сложный показатель, техническая инфраструктура, необходимая для правильного измерения, является потенциально сдерживающим фактором. Методология для индикатора описывает, как избежать проблем сопоставимости данных, которые были проблематичными в прошлом, а также ошибок измерения, и дает рекомендации по наиболее подходящим техническим и методологическим процедурам, гарантирующим высокое качество данных, которые можно использовать </w:t>
      </w:r>
      <w:proofErr w:type="gramStart"/>
      <w:r w:rsidRPr="000A3A18">
        <w:t>для</w:t>
      </w:r>
      <w:proofErr w:type="gramEnd"/>
      <w:r w:rsidRPr="000A3A18">
        <w:t xml:space="preserve"> </w:t>
      </w:r>
      <w:proofErr w:type="gramStart"/>
      <w:r w:rsidRPr="000A3A18">
        <w:t>глобальная</w:t>
      </w:r>
      <w:proofErr w:type="gramEnd"/>
      <w:r w:rsidRPr="000A3A18">
        <w:t xml:space="preserve"> оценка </w:t>
      </w:r>
      <w:proofErr w:type="spellStart"/>
      <w:r w:rsidRPr="000A3A18">
        <w:t>закисления</w:t>
      </w:r>
      <w:proofErr w:type="spellEnd"/>
      <w:r w:rsidRPr="000A3A18">
        <w:t xml:space="preserve"> океана. Добавление метаданных в методологию для этого </w:t>
      </w:r>
      <w:r>
        <w:t>показателя</w:t>
      </w:r>
      <w:r w:rsidRPr="000A3A18">
        <w:t xml:space="preserve"> имеет решающее значение для обеспечения </w:t>
      </w:r>
      <w:proofErr w:type="spellStart"/>
      <w:r w:rsidRPr="000A3A18">
        <w:t>прослеживаемости</w:t>
      </w:r>
      <w:proofErr w:type="spellEnd"/>
      <w:r w:rsidRPr="000A3A18">
        <w:t xml:space="preserve"> и прозрачности данных за счет предоставления информации о точном используемом оборудовании и методологии, а также указания местоположения, сопутствующих биогеохимических переменных и лица, проводящего измерение.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0A3A18" w:rsidRDefault="000A3A18" w:rsidP="000A3A18">
      <w:pPr>
        <w:jc w:val="left"/>
      </w:pPr>
      <w:r w:rsidRPr="000A3A18">
        <w:rPr>
          <w:szCs w:val="24"/>
        </w:rPr>
        <w:t>Подробная информация в</w:t>
      </w:r>
      <w:r>
        <w:rPr>
          <w:szCs w:val="24"/>
        </w:rPr>
        <w:t xml:space="preserve"> </w:t>
      </w:r>
      <w:hyperlink r:id="rId23" w:history="1">
        <w:r>
          <w:rPr>
            <w:rStyle w:val="ac"/>
          </w:rPr>
          <w:t>https</w:t>
        </w:r>
        <w:r w:rsidRPr="000A3A18">
          <w:rPr>
            <w:rStyle w:val="ac"/>
          </w:rPr>
          <w:t>://</w:t>
        </w:r>
        <w:r>
          <w:rPr>
            <w:rStyle w:val="ac"/>
          </w:rPr>
          <w:t>unesdoc</w:t>
        </w:r>
        <w:r w:rsidRPr="000A3A18">
          <w:rPr>
            <w:rStyle w:val="ac"/>
          </w:rPr>
          <w:t>.</w:t>
        </w:r>
        <w:r>
          <w:rPr>
            <w:rStyle w:val="ac"/>
          </w:rPr>
          <w:t>unesco</w:t>
        </w:r>
        <w:r w:rsidRPr="000A3A18">
          <w:rPr>
            <w:rStyle w:val="ac"/>
          </w:rPr>
          <w:t>.</w:t>
        </w:r>
        <w:r>
          <w:rPr>
            <w:rStyle w:val="ac"/>
          </w:rPr>
          <w:t>org</w:t>
        </w:r>
        <w:r w:rsidRPr="000A3A18">
          <w:rPr>
            <w:rStyle w:val="ac"/>
          </w:rPr>
          <w:t>/</w:t>
        </w:r>
        <w:r>
          <w:rPr>
            <w:rStyle w:val="ac"/>
          </w:rPr>
          <w:t>ark</w:t>
        </w:r>
        <w:r w:rsidRPr="000A3A18">
          <w:rPr>
            <w:rStyle w:val="ac"/>
          </w:rPr>
          <w:t>:/48223/</w:t>
        </w:r>
        <w:r>
          <w:rPr>
            <w:rStyle w:val="ac"/>
          </w:rPr>
          <w:t>pf</w:t>
        </w:r>
        <w:r w:rsidRPr="000A3A18">
          <w:rPr>
            <w:rStyle w:val="ac"/>
          </w:rPr>
          <w:t>0000265127?3=</w:t>
        </w:r>
        <w:r>
          <w:rPr>
            <w:rStyle w:val="ac"/>
          </w:rPr>
          <w:t>null</w:t>
        </w:r>
        <w:r w:rsidRPr="000A3A18">
          <w:rPr>
            <w:rStyle w:val="ac"/>
          </w:rPr>
          <w:t>&amp;</w:t>
        </w:r>
        <w:r>
          <w:rPr>
            <w:rStyle w:val="ac"/>
          </w:rPr>
          <w:t>queryId</w:t>
        </w:r>
        <w:r w:rsidRPr="000A3A18">
          <w:rPr>
            <w:rStyle w:val="ac"/>
          </w:rPr>
          <w:t>=</w:t>
        </w:r>
        <w:r>
          <w:rPr>
            <w:rStyle w:val="ac"/>
          </w:rPr>
          <w:t>f</w:t>
        </w:r>
        <w:r w:rsidRPr="000A3A18">
          <w:rPr>
            <w:rStyle w:val="ac"/>
          </w:rPr>
          <w:t>3</w:t>
        </w:r>
        <w:r>
          <w:rPr>
            <w:rStyle w:val="ac"/>
          </w:rPr>
          <w:t>a</w:t>
        </w:r>
        <w:r w:rsidRPr="000A3A18">
          <w:rPr>
            <w:rStyle w:val="ac"/>
          </w:rPr>
          <w:t>23122-</w:t>
        </w:r>
        <w:r>
          <w:rPr>
            <w:rStyle w:val="ac"/>
          </w:rPr>
          <w:t>f</w:t>
        </w:r>
        <w:r w:rsidRPr="000A3A18">
          <w:rPr>
            <w:rStyle w:val="ac"/>
          </w:rPr>
          <w:t>713-4</w:t>
        </w:r>
        <w:r>
          <w:rPr>
            <w:rStyle w:val="ac"/>
          </w:rPr>
          <w:t>f</w:t>
        </w:r>
        <w:r w:rsidRPr="000A3A18">
          <w:rPr>
            <w:rStyle w:val="ac"/>
          </w:rPr>
          <w:t>5</w:t>
        </w:r>
        <w:r>
          <w:rPr>
            <w:rStyle w:val="ac"/>
          </w:rPr>
          <w:t>c</w:t>
        </w:r>
        <w:r w:rsidRPr="000A3A18">
          <w:rPr>
            <w:rStyle w:val="ac"/>
          </w:rPr>
          <w:t>-</w:t>
        </w:r>
        <w:r>
          <w:rPr>
            <w:rStyle w:val="ac"/>
          </w:rPr>
          <w:t>aa</w:t>
        </w:r>
        <w:r w:rsidRPr="000A3A18">
          <w:rPr>
            <w:rStyle w:val="ac"/>
          </w:rPr>
          <w:t>88-5</w:t>
        </w:r>
        <w:r>
          <w:rPr>
            <w:rStyle w:val="ac"/>
          </w:rPr>
          <w:t>e</w:t>
        </w:r>
        <w:r w:rsidRPr="000A3A18">
          <w:rPr>
            <w:rStyle w:val="ac"/>
          </w:rPr>
          <w:t>73275</w:t>
        </w:r>
        <w:r>
          <w:rPr>
            <w:rStyle w:val="ac"/>
          </w:rPr>
          <w:t>ff</w:t>
        </w:r>
        <w:r w:rsidRPr="000A3A18">
          <w:rPr>
            <w:rStyle w:val="ac"/>
          </w:rPr>
          <w:t>5</w:t>
        </w:r>
        <w:r>
          <w:rPr>
            <w:rStyle w:val="ac"/>
          </w:rPr>
          <w:t>f</w:t>
        </w:r>
        <w:r w:rsidRPr="000A3A18">
          <w:rPr>
            <w:rStyle w:val="ac"/>
          </w:rPr>
          <w:t>6</w:t>
        </w:r>
      </w:hyperlink>
    </w:p>
    <w:p w:rsidR="000A3A18" w:rsidRPr="000A3A18" w:rsidRDefault="000A3A18" w:rsidP="000A3A18">
      <w:pPr>
        <w:rPr>
          <w:lang w:eastAsia="en-GB"/>
        </w:rPr>
      </w:pPr>
      <w:r w:rsidRPr="000A3A18">
        <w:rPr>
          <w:lang w:eastAsia="en-GB"/>
        </w:rPr>
        <w:t xml:space="preserve">Этот </w:t>
      </w:r>
      <w:r>
        <w:rPr>
          <w:lang w:eastAsia="en-GB"/>
        </w:rPr>
        <w:t>показатель</w:t>
      </w:r>
      <w:r w:rsidRPr="000A3A18">
        <w:rPr>
          <w:lang w:eastAsia="en-GB"/>
        </w:rPr>
        <w:t xml:space="preserve"> требует сбора нескольких наблюдений в виде отдельных точек данных, чтобы зафиксировать изменчивость кислотности океана. Отдельные точки данных для </w:t>
      </w:r>
      <w:r w:rsidRPr="000A3A18">
        <w:rPr>
          <w:lang w:val="en-GB" w:eastAsia="en-GB"/>
        </w:rPr>
        <w:t>pH</w:t>
      </w:r>
      <w:r w:rsidRPr="000A3A18">
        <w:rPr>
          <w:lang w:eastAsia="en-GB"/>
        </w:rPr>
        <w:t xml:space="preserve"> либо измеряются напрямую, либо могут быть рассчитаны на основе данных для двух других параметров химии карбонатов, а именно </w:t>
      </w:r>
      <w:r w:rsidRPr="000A3A18">
        <w:rPr>
          <w:lang w:val="en-GB" w:eastAsia="en-GB"/>
        </w:rPr>
        <w:t>TA</w:t>
      </w:r>
      <w:r w:rsidRPr="000A3A18">
        <w:rPr>
          <w:lang w:eastAsia="en-GB"/>
        </w:rPr>
        <w:t xml:space="preserve"> (</w:t>
      </w:r>
      <w:r w:rsidRPr="000A3A18">
        <w:rPr>
          <w:lang w:val="en-GB" w:eastAsia="en-GB"/>
        </w:rPr>
        <w:t>AT</w:t>
      </w:r>
      <w:r w:rsidRPr="000A3A18">
        <w:rPr>
          <w:lang w:eastAsia="en-GB"/>
        </w:rPr>
        <w:t xml:space="preserve">), </w:t>
      </w:r>
      <w:r w:rsidRPr="000A3A18">
        <w:rPr>
          <w:lang w:val="en-GB" w:eastAsia="en-GB"/>
        </w:rPr>
        <w:t>DIC</w:t>
      </w:r>
      <w:r w:rsidRPr="000A3A18">
        <w:rPr>
          <w:lang w:eastAsia="en-GB"/>
        </w:rPr>
        <w:t xml:space="preserve"> (</w:t>
      </w:r>
      <w:r w:rsidRPr="000A3A18">
        <w:rPr>
          <w:lang w:val="en-GB" w:eastAsia="en-GB"/>
        </w:rPr>
        <w:t>CT</w:t>
      </w:r>
      <w:r w:rsidRPr="000A3A18">
        <w:rPr>
          <w:lang w:eastAsia="en-GB"/>
        </w:rPr>
        <w:t xml:space="preserve">) и </w:t>
      </w:r>
      <w:proofErr w:type="spellStart"/>
      <w:r w:rsidRPr="004A5509">
        <w:rPr>
          <w:i/>
          <w:lang w:val="en-GB" w:eastAsia="en-GB"/>
        </w:rPr>
        <w:t>p</w:t>
      </w:r>
      <w:r w:rsidRPr="000A3A18">
        <w:rPr>
          <w:lang w:val="en-GB" w:eastAsia="en-GB"/>
        </w:rPr>
        <w:t>CO</w:t>
      </w:r>
      <w:proofErr w:type="spellEnd"/>
      <w:r w:rsidR="004A5509" w:rsidRPr="004A5509">
        <w:rPr>
          <w:vertAlign w:val="subscript"/>
          <w:lang w:eastAsia="en-GB"/>
        </w:rPr>
        <w:t>2</w:t>
      </w:r>
      <w:r w:rsidRPr="000A3A18">
        <w:rPr>
          <w:lang w:eastAsia="en-GB"/>
        </w:rPr>
        <w:t xml:space="preserve">. Инструменты расчета, разработанные экспертами в данной области, находятся в свободном доступе, они представлены и связаны с методологией. Среднее значение рН определяется как годовое </w:t>
      </w:r>
      <w:proofErr w:type="spellStart"/>
      <w:r w:rsidRPr="000A3A18">
        <w:rPr>
          <w:lang w:eastAsia="en-GB"/>
        </w:rPr>
        <w:t>равновзвешенное</w:t>
      </w:r>
      <w:proofErr w:type="spellEnd"/>
      <w:r w:rsidRPr="000A3A18">
        <w:rPr>
          <w:lang w:eastAsia="en-GB"/>
        </w:rPr>
        <w:t xml:space="preserve"> среднее значение нескольких точек данных на репрезентативных станциях отбора проб. Точное количество проб и точек данных зависит от уровня изменчивости кислотности океана в рассматриваемом месте. Минимальное количество образцов должно позволять охарактеризовать сезонный цикл на участке. Подробные </w:t>
      </w:r>
      <w:r w:rsidRPr="000A3A18">
        <w:rPr>
          <w:lang w:eastAsia="en-GB"/>
        </w:rPr>
        <w:lastRenderedPageBreak/>
        <w:t>рекомендации по минимальному количеству необходимых наблюдений приведены в Методологии (</w:t>
      </w:r>
      <w:hyperlink r:id="rId24" w:history="1">
        <w:r w:rsidRPr="000A3A18">
          <w:rPr>
            <w:rStyle w:val="ac"/>
            <w:lang w:val="en-GB" w:eastAsia="en-GB"/>
          </w:rPr>
          <w:t>https</w:t>
        </w:r>
        <w:r w:rsidRPr="000A3A18">
          <w:rPr>
            <w:rStyle w:val="ac"/>
            <w:lang w:eastAsia="en-GB"/>
          </w:rPr>
          <w:t>://</w:t>
        </w:r>
        <w:proofErr w:type="spellStart"/>
        <w:r w:rsidRPr="000A3A18">
          <w:rPr>
            <w:rStyle w:val="ac"/>
            <w:lang w:val="en-GB" w:eastAsia="en-GB"/>
          </w:rPr>
          <w:t>oa</w:t>
        </w:r>
        <w:proofErr w:type="spellEnd"/>
        <w:r w:rsidRPr="000A3A18">
          <w:rPr>
            <w:rStyle w:val="ac"/>
            <w:lang w:eastAsia="en-GB"/>
          </w:rPr>
          <w:t>.</w:t>
        </w:r>
        <w:proofErr w:type="spellStart"/>
        <w:r w:rsidRPr="000A3A18">
          <w:rPr>
            <w:rStyle w:val="ac"/>
            <w:lang w:val="en-GB" w:eastAsia="en-GB"/>
          </w:rPr>
          <w:t>iode</w:t>
        </w:r>
        <w:proofErr w:type="spellEnd"/>
        <w:r w:rsidRPr="000A3A18">
          <w:rPr>
            <w:rStyle w:val="ac"/>
            <w:lang w:eastAsia="en-GB"/>
          </w:rPr>
          <w:t>.</w:t>
        </w:r>
        <w:r w:rsidRPr="000A3A18">
          <w:rPr>
            <w:rStyle w:val="ac"/>
            <w:lang w:val="en-GB" w:eastAsia="en-GB"/>
          </w:rPr>
          <w:t>org</w:t>
        </w:r>
      </w:hyperlink>
      <w:r>
        <w:rPr>
          <w:lang w:eastAsia="en-GB"/>
        </w:rPr>
        <w:t>).</w:t>
      </w:r>
    </w:p>
    <w:p w:rsidR="000A3A18" w:rsidRPr="000A3A18" w:rsidRDefault="000A3A18" w:rsidP="000A3A18">
      <w:pPr>
        <w:rPr>
          <w:lang w:eastAsia="en-GB"/>
        </w:rPr>
      </w:pPr>
      <w:r>
        <w:rPr>
          <w:lang w:eastAsia="en-GB"/>
        </w:rPr>
        <w:t>В дополнение к значению данны</w:t>
      </w:r>
      <w:r w:rsidRPr="000A3A18">
        <w:rPr>
          <w:lang w:eastAsia="en-GB"/>
        </w:rPr>
        <w:t xml:space="preserve">х следует сообщать стандартное отклонение и общий диапазон (минимальное и максимальное измеренные значения), а также базовые данные, используемые для обеспечения </w:t>
      </w:r>
      <w:proofErr w:type="spellStart"/>
      <w:r w:rsidRPr="000A3A18">
        <w:rPr>
          <w:lang w:eastAsia="en-GB"/>
        </w:rPr>
        <w:t>прослеживаемости</w:t>
      </w:r>
      <w:proofErr w:type="spellEnd"/>
      <w:r w:rsidRPr="000A3A18">
        <w:rPr>
          <w:lang w:eastAsia="en-GB"/>
        </w:rPr>
        <w:t xml:space="preserve"> и прозрачности (информация метаданных). Все сообщаемые значения должны пройти проверку качества первого уровня поставщиком данных. Если имеются исторические данные, их следует опубликовать, чтобы можно было рассчитать скорость изменений и сравнить естественную изменчивость и антропогенные воздействия.</w:t>
      </w:r>
    </w:p>
    <w:p w:rsidR="000A3A18" w:rsidRPr="000A3A18" w:rsidRDefault="000A3A18" w:rsidP="000A3A18">
      <w:pPr>
        <w:rPr>
          <w:szCs w:val="24"/>
        </w:rPr>
      </w:pPr>
      <w:r w:rsidRPr="000A3A18">
        <w:rPr>
          <w:lang w:eastAsia="en-GB"/>
        </w:rPr>
        <w:t>Принимаются соответствующие данные с 2010 года.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0A3A18" w:rsidRPr="000A3A18" w:rsidRDefault="000A3A18" w:rsidP="00291512">
      <w:pPr>
        <w:spacing w:after="0"/>
      </w:pPr>
      <w:r w:rsidRPr="000A3A18">
        <w:t>Партнерам предлагается предоставить ссылки (</w:t>
      </w:r>
      <w:hyperlink r:id="rId25" w:history="1">
        <w:r w:rsidRPr="000A3A18">
          <w:rPr>
            <w:rStyle w:val="ac"/>
          </w:rPr>
          <w:t>метаданные</w:t>
        </w:r>
      </w:hyperlink>
      <w:r w:rsidRPr="000A3A18">
        <w:t>) на предоставленную информацию. Данные, предоставленные экспертами, не являющимися представителями НЦОД или государств-членов МОК, направляются для национальной проверки соответствующим официальным партнерам.</w:t>
      </w:r>
    </w:p>
    <w:p w:rsidR="000A3A18" w:rsidRPr="000A3A18" w:rsidRDefault="000A3A18" w:rsidP="00291512">
      <w:pPr>
        <w:spacing w:after="0"/>
      </w:pPr>
    </w:p>
    <w:p w:rsidR="000A3A18" w:rsidRDefault="000A3A18" w:rsidP="000A3A18">
      <w:r w:rsidRPr="000A3A18">
        <w:t>Кроме того, МОК получает проверенную информацию непосредственно от указанных представителей ее государств-членов, что влечет за собой проверку, необходимую для публикации оценок показателя 14.3.1 ЦУР.</w:t>
      </w:r>
    </w:p>
    <w:p w:rsidR="002E15F9" w:rsidRPr="00BD29EC" w:rsidRDefault="002E15F9" w:rsidP="000A3A18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5A20B1" w:rsidRPr="005A20B1" w:rsidRDefault="005A20B1" w:rsidP="005A20B1">
      <w:r w:rsidRPr="005A20B1">
        <w:t>Файлы данных и метаданных 14.3.1 содержат подробную информацию о запрошенных данных и метаданных для отчета. Файлы данных и метаданных содержат обязательные переменные, о которых следует сообщать, и дополнительные переменные, которые должны быть включены, если они доступны.</w:t>
      </w:r>
    </w:p>
    <w:p w:rsidR="005A20B1" w:rsidRDefault="005A20B1" w:rsidP="005A20B1">
      <w:r w:rsidRPr="005A20B1">
        <w:t xml:space="preserve">Поставщикам данных/государствам-членам рекомендуется представлять наборы первичных контролируемых данных по двум переменным, характеризующим карбонатную систему: </w:t>
      </w:r>
      <w:proofErr w:type="spellStart"/>
      <w:r w:rsidRPr="005A20B1">
        <w:t>pH</w:t>
      </w:r>
      <w:proofErr w:type="spellEnd"/>
      <w:r w:rsidRPr="005A20B1">
        <w:t xml:space="preserve">, TA, DIC или </w:t>
      </w:r>
      <w:r w:rsidRPr="009F3C97">
        <w:rPr>
          <w:i/>
        </w:rPr>
        <w:t>p</w:t>
      </w:r>
      <w:r w:rsidRPr="005A20B1">
        <w:t>CO</w:t>
      </w:r>
      <w:r w:rsidR="009F3C97" w:rsidRPr="00234611">
        <w:rPr>
          <w:vertAlign w:val="subscript"/>
        </w:rPr>
        <w:t>2</w:t>
      </w:r>
      <w:r w:rsidRPr="005A20B1">
        <w:t xml:space="preserve">, а также точное местоположение, температура, соленость и гидростатическое давление (глубина отбора проб) (см. </w:t>
      </w:r>
      <w:r w:rsidR="00234611">
        <w:t xml:space="preserve">раздел </w:t>
      </w:r>
      <w:r w:rsidRPr="005A20B1">
        <w:t xml:space="preserve">Контроль качества). В зависимости от качества данных представленным наборам данных будут присвоены разные категории. Кроме того, запрашиваются соответствующие концентрации </w:t>
      </w:r>
      <w:proofErr w:type="spellStart"/>
      <w:r w:rsidRPr="005A20B1">
        <w:t>макронутриентов</w:t>
      </w:r>
      <w:proofErr w:type="spellEnd"/>
      <w:r w:rsidRPr="005A20B1">
        <w:t>, если доступны данные по нитратам, фосфатам и силикатам (см. Качество данных). Кроме того, поставщикам данных будет предложено представить все данные, независимо от того, где данные были собраны в водной толще; однако им рекомендуется предоставлять данные о поверхности (≤ 10 м).</w:t>
      </w:r>
    </w:p>
    <w:p w:rsidR="002E15F9" w:rsidRPr="00BD29EC" w:rsidRDefault="002E15F9" w:rsidP="005A20B1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234611" w:rsidRDefault="00234611" w:rsidP="00234611">
      <w:pPr>
        <w:pStyle w:val="ab"/>
        <w:numPr>
          <w:ilvl w:val="0"/>
          <w:numId w:val="6"/>
        </w:numPr>
        <w:rPr>
          <w:b/>
        </w:rPr>
      </w:pPr>
      <w:r>
        <w:rPr>
          <w:b/>
        </w:rPr>
        <w:t>На страновом уровне:</w:t>
      </w:r>
    </w:p>
    <w:p w:rsidR="002E15F9" w:rsidRPr="00BD29EC" w:rsidRDefault="00BB623C" w:rsidP="00EF2C8C">
      <w:r w:rsidRPr="00BB623C">
        <w:lastRenderedPageBreak/>
        <w:t>Некоторые отсутствующие значения могут быть смоделированы или рассчитаны, если существуют установленные методики (см. Рекомендации по расчету карбонатной системы в IOC/EC-LI/2, Приложение 6).</w:t>
      </w:r>
    </w:p>
    <w:p w:rsidR="002E15F9" w:rsidRPr="00234611" w:rsidRDefault="00694160" w:rsidP="00234611">
      <w:pPr>
        <w:pStyle w:val="ab"/>
        <w:numPr>
          <w:ilvl w:val="0"/>
          <w:numId w:val="6"/>
        </w:numPr>
        <w:rPr>
          <w:b/>
        </w:rPr>
      </w:pPr>
      <w:r w:rsidRPr="00234611">
        <w:rPr>
          <w:b/>
        </w:rPr>
        <w:t>На региональном и глобальном уровнях</w:t>
      </w:r>
      <w:r w:rsidR="00234611">
        <w:rPr>
          <w:b/>
        </w:rPr>
        <w:t>:</w:t>
      </w:r>
    </w:p>
    <w:p w:rsidR="00694160" w:rsidRPr="00BD29EC" w:rsidRDefault="00BB623C" w:rsidP="00EF2C8C">
      <w:r w:rsidRPr="00BB623C">
        <w:t>Региональные агрег</w:t>
      </w:r>
      <w:r w:rsidR="002D3E9F">
        <w:t>ирование допустимо</w:t>
      </w:r>
      <w:r w:rsidRPr="00BB623C">
        <w:t>, если более 50% прибрежных стран представили данные.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C27013" w:rsidP="00C27013">
      <w:r w:rsidRPr="00C27013">
        <w:t>Каждая страна или назначенный МООД Национальный центр океанографических данных (</w:t>
      </w:r>
      <w:r w:rsidR="00077391">
        <w:rPr>
          <w:lang w:val="en-US"/>
        </w:rPr>
        <w:t>NODC</w:t>
      </w:r>
      <w:r w:rsidRPr="00C27013">
        <w:t>)/ассоциированный отдел данных (</w:t>
      </w:r>
      <w:r w:rsidR="00077391">
        <w:rPr>
          <w:lang w:val="en-US"/>
        </w:rPr>
        <w:t>ADU</w:t>
      </w:r>
      <w:r w:rsidRPr="00C27013">
        <w:t>)</w:t>
      </w:r>
      <w:r w:rsidR="0042681B">
        <w:rPr>
          <w:rStyle w:val="a6"/>
        </w:rPr>
        <w:footnoteReference w:id="2"/>
      </w:r>
      <w:r w:rsidRPr="00C27013">
        <w:t xml:space="preserve"> будет предоставлять ежегодно обновляемые наборы данных. Агрегации по регионам потребуют данных сопоставимого качества, и все соответствующие метаданные с информацией о конкретном месте будут включены в наборы данных. Из-за изменчивости измерений и преобладания областей с высокой изменчивостью кислотности океана, агрегирование средних значений измерений (</w:t>
      </w:r>
      <w:proofErr w:type="spellStart"/>
      <w:r w:rsidRPr="00C27013">
        <w:t>равновзвешенное</w:t>
      </w:r>
      <w:proofErr w:type="spellEnd"/>
      <w:r w:rsidRPr="00C27013">
        <w:t xml:space="preserve"> среднегодовое значение) по прибрежным морским местообитаниям и типам экосистем трудно интерпретировать и поэтому не рекомендуется.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C27013" w:rsidRPr="00C27013" w:rsidRDefault="00C27013" w:rsidP="00C27013">
      <w:r w:rsidRPr="00C27013">
        <w:t xml:space="preserve">Методология </w:t>
      </w:r>
      <w:r>
        <w:t>показателя</w:t>
      </w:r>
      <w:r w:rsidRPr="00C27013">
        <w:t xml:space="preserve"> ЦУР 14.3.1, представленная в документах </w:t>
      </w:r>
      <w:hyperlink r:id="rId26" w:history="1">
        <w:r w:rsidRPr="00C27013">
          <w:rPr>
            <w:rStyle w:val="ac"/>
          </w:rPr>
          <w:t xml:space="preserve">IOC-XXIX/2Annex 14 и IOC/EC-LI/2 </w:t>
        </w:r>
        <w:proofErr w:type="spellStart"/>
        <w:r w:rsidRPr="00C27013">
          <w:rPr>
            <w:rStyle w:val="ac"/>
          </w:rPr>
          <w:t>Annex</w:t>
        </w:r>
        <w:proofErr w:type="spellEnd"/>
        <w:r w:rsidRPr="00C27013">
          <w:rPr>
            <w:rStyle w:val="ac"/>
          </w:rPr>
          <w:t xml:space="preserve"> 6</w:t>
        </w:r>
      </w:hyperlink>
      <w:r w:rsidRPr="00C27013">
        <w:t xml:space="preserve">, содержит рекомендации по сбору измерений для </w:t>
      </w:r>
      <w:r>
        <w:t>показателя</w:t>
      </w:r>
      <w:r w:rsidRPr="00C27013">
        <w:t>. Файлы данных и метаданных, в которых должны быть скомпилированы все соответствующие измерения, будут предоставлены в центр обработки данных или составителю данных. Эти данные будут собираться соответствующими национальными центрами данных, такими как национальные статистические управления (НСУ) и национальные це</w:t>
      </w:r>
      <w:r w:rsidR="00077391">
        <w:t>нтры океанографических данных (</w:t>
      </w:r>
      <w:r w:rsidR="00077391">
        <w:rPr>
          <w:lang w:val="en-US"/>
        </w:rPr>
        <w:t>NODC</w:t>
      </w:r>
      <w:r w:rsidRPr="00C27013">
        <w:t>), и передаваться агентству-</w:t>
      </w:r>
      <w:r>
        <w:t>куратору</w:t>
      </w:r>
      <w:r w:rsidRPr="00C27013">
        <w:t xml:space="preserve"> </w:t>
      </w:r>
      <w:r>
        <w:t>показателя</w:t>
      </w:r>
      <w:r w:rsidRPr="00C27013">
        <w:t>, МОК ЮНЕСКО.</w:t>
      </w:r>
    </w:p>
    <w:p w:rsidR="00C27013" w:rsidRPr="00C27013" w:rsidRDefault="006553A8" w:rsidP="00C27013">
      <w:r w:rsidRPr="006553A8">
        <w:t xml:space="preserve">Методология индикаторов включает обзор положений о передовой практике и ссылки на несколько стандартных операционных процедур (СОП). </w:t>
      </w:r>
      <w:r w:rsidR="00C27013" w:rsidRPr="00C27013">
        <w:t>Эти процедуры представляют собой передовой опыт, собранный ведущим исследователем в этой области и размещенный в свободном доступе. Список соответствующих матер</w:t>
      </w:r>
      <w:r w:rsidR="00437F41">
        <w:t>иалов, упомянутых в методологии</w:t>
      </w:r>
      <w:r w:rsidR="00437F41">
        <w:rPr>
          <w:lang w:val="en-US"/>
        </w:rPr>
        <w:t> </w:t>
      </w:r>
      <w:r w:rsidR="00437F41">
        <w:t>индикаторов,</w:t>
      </w:r>
      <w:r w:rsidR="00437F41">
        <w:rPr>
          <w:lang w:val="en-US"/>
        </w:rPr>
        <w:t> </w:t>
      </w:r>
      <w:r w:rsidR="00437F41">
        <w:t>можно</w:t>
      </w:r>
      <w:r w:rsidR="00437F41">
        <w:rPr>
          <w:lang w:val="en-US"/>
        </w:rPr>
        <w:t> </w:t>
      </w:r>
      <w:r w:rsidR="00437F41">
        <w:t>найти</w:t>
      </w:r>
      <w:r w:rsidR="00437F41">
        <w:rPr>
          <w:lang w:val="en-US"/>
        </w:rPr>
        <w:t> </w:t>
      </w:r>
      <w:r w:rsidR="00437F41">
        <w:t>по</w:t>
      </w:r>
      <w:r w:rsidR="00437F41">
        <w:rPr>
          <w:lang w:val="en-US"/>
        </w:rPr>
        <w:t> </w:t>
      </w:r>
      <w:r w:rsidR="00C27013">
        <w:t>ссылке</w:t>
      </w:r>
      <w:r w:rsidR="00C27013" w:rsidRPr="00C27013">
        <w:t xml:space="preserve">: </w:t>
      </w:r>
      <w:hyperlink r:id="rId27" w:history="1">
        <w:r w:rsidR="00C27013" w:rsidRPr="00C27013">
          <w:rPr>
            <w:rStyle w:val="ac"/>
          </w:rPr>
          <w:t>http://www.ioccp.org/index.php/documents/standards-and-methods</w:t>
        </w:r>
      </w:hyperlink>
      <w:r w:rsidR="00C27013">
        <w:t>.</w:t>
      </w:r>
    </w:p>
    <w:p w:rsidR="002C2D8A" w:rsidRDefault="002C2D8A" w:rsidP="00C27013">
      <w:r w:rsidRPr="002C2D8A">
        <w:t>Сбор проб с последующим их анализом в соответствии с методами и стандартами, включенными в Методологию показателей ЦУР 14.3.1, имеет наибольшее значение для получения данных, которые могут быть сопоставлены для гл</w:t>
      </w:r>
      <w:r w:rsidR="005F0ADE">
        <w:t xml:space="preserve">обального сравнения данных о </w:t>
      </w:r>
      <w:proofErr w:type="spellStart"/>
      <w:r w:rsidR="005F0ADE">
        <w:t>за</w:t>
      </w:r>
      <w:r w:rsidRPr="002C2D8A">
        <w:t>кислении</w:t>
      </w:r>
      <w:proofErr w:type="spellEnd"/>
      <w:r w:rsidRPr="002C2D8A">
        <w:t xml:space="preserve"> океана известного качества по этому показателю. Руководство по сбору, анализу и управлению данными содержится в методологии и связанных с ней метаданных, а также в файле инструкций по метаданным.</w:t>
      </w:r>
    </w:p>
    <w:p w:rsidR="00C27013" w:rsidRPr="00BD29EC" w:rsidRDefault="00C27013" w:rsidP="00C27013">
      <w:r w:rsidRPr="00C27013">
        <w:lastRenderedPageBreak/>
        <w:t xml:space="preserve">Документы </w:t>
      </w:r>
      <w:hyperlink r:id="rId28" w:history="1">
        <w:r w:rsidRPr="002C2D8A">
          <w:rPr>
            <w:rStyle w:val="ac"/>
          </w:rPr>
          <w:t xml:space="preserve">IOC-XXIX/2Annex 14, IOC/EC-LI/2 </w:t>
        </w:r>
        <w:proofErr w:type="spellStart"/>
        <w:r w:rsidRPr="002C2D8A">
          <w:rPr>
            <w:rStyle w:val="ac"/>
          </w:rPr>
          <w:t>Annex</w:t>
        </w:r>
        <w:proofErr w:type="spellEnd"/>
        <w:r w:rsidRPr="002C2D8A">
          <w:rPr>
            <w:rStyle w:val="ac"/>
          </w:rPr>
          <w:t xml:space="preserve"> 6</w:t>
        </w:r>
      </w:hyperlink>
      <w:r w:rsidRPr="00C27013">
        <w:t xml:space="preserve"> также содержат руководство по стратегиям отбора проб, частоте отбора проб, рекомендациям по расчету карбонатной системы и неопределенности измерений.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D174C2" w:rsidRPr="008F1760" w:rsidRDefault="00D174C2" w:rsidP="0088159F">
      <w:pPr>
        <w:spacing w:after="0"/>
      </w:pPr>
      <w:r w:rsidRPr="00D174C2">
        <w:t xml:space="preserve">Для целей ЦУР 14.3.1 были установлены три категории качества измерений (адаптировано из </w:t>
      </w:r>
      <w:proofErr w:type="spellStart"/>
      <w:r w:rsidRPr="00D174C2">
        <w:t>Newton</w:t>
      </w:r>
      <w:proofErr w:type="spellEnd"/>
      <w:r w:rsidRPr="00D174C2">
        <w:t xml:space="preserve"> </w:t>
      </w:r>
      <w:proofErr w:type="spellStart"/>
      <w:r w:rsidRPr="00D174C2">
        <w:t>et</w:t>
      </w:r>
      <w:proofErr w:type="spellEnd"/>
      <w:r w:rsidRPr="00D174C2">
        <w:t xml:space="preserve"> </w:t>
      </w:r>
      <w:proofErr w:type="spellStart"/>
      <w:r w:rsidRPr="00D174C2">
        <w:t>al</w:t>
      </w:r>
      <w:proofErr w:type="spellEnd"/>
      <w:r w:rsidRPr="00D174C2">
        <w:t>. 2015):</w:t>
      </w:r>
    </w:p>
    <w:p w:rsidR="0088159F" w:rsidRPr="008F1760" w:rsidRDefault="0088159F" w:rsidP="0088159F">
      <w:pPr>
        <w:spacing w:after="0"/>
      </w:pPr>
    </w:p>
    <w:p w:rsidR="00D174C2" w:rsidRPr="00D174C2" w:rsidRDefault="00D174C2" w:rsidP="00424C81">
      <w:pPr>
        <w:spacing w:after="120"/>
        <w:rPr>
          <w:u w:val="single"/>
        </w:rPr>
      </w:pPr>
      <w:r w:rsidRPr="00D174C2">
        <w:rPr>
          <w:u w:val="single"/>
        </w:rPr>
        <w:t>Категория 1: Качество климата</w:t>
      </w:r>
    </w:p>
    <w:p w:rsidR="00D174C2" w:rsidRPr="00FD0B40" w:rsidRDefault="00D174C2" w:rsidP="00424C81">
      <w:pPr>
        <w:spacing w:after="0"/>
      </w:pPr>
      <w:r>
        <w:t xml:space="preserve">Цель качества климата обычно используется для определения трендов в открытом океане, на шельфе и в прибрежных водах, предоставляя данные о сезонной и межгодовой изменчивости в региональном масштабе. Цель качества климата требует, чтобы изменение концентрации растворенных ионов карбоната оценивалось в конкретном месте с относительной стандартной неопределенностью 1%. Концентрация ионов карбоната рассчитывается на основе двух из четырех параметров карбонатной системы и предполагает неопределенность </w:t>
      </w:r>
      <w:proofErr w:type="spellStart"/>
      <w:r>
        <w:t>pH</w:t>
      </w:r>
      <w:proofErr w:type="spellEnd"/>
      <w:r>
        <w:t xml:space="preserve"> приблизительно 0,003; 2 </w:t>
      </w:r>
      <w:proofErr w:type="spellStart"/>
      <w:r>
        <w:t>мкмоль</w:t>
      </w:r>
      <w:proofErr w:type="spellEnd"/>
      <w:r>
        <w:t>/кг</w:t>
      </w:r>
      <w:r w:rsidR="00FD0B40" w:rsidRPr="00FD0B40">
        <w:rPr>
          <w:vertAlign w:val="superscript"/>
        </w:rPr>
        <w:t xml:space="preserve">–1 </w:t>
      </w:r>
      <w:r>
        <w:t xml:space="preserve">при измерении ТА и ДИК; и относительная неопределенность около 0,5% в </w:t>
      </w:r>
      <w:r w:rsidRPr="00FD0B40">
        <w:rPr>
          <w:i/>
        </w:rPr>
        <w:t>p</w:t>
      </w:r>
      <w:r>
        <w:t>CO</w:t>
      </w:r>
      <w:r w:rsidR="00FD0B40" w:rsidRPr="00FD0B40">
        <w:rPr>
          <w:vertAlign w:val="subscript"/>
        </w:rPr>
        <w:t>2</w:t>
      </w:r>
      <w:r>
        <w:t>. Такая точность в настоящее время достижима только в ограниченном числе лабораторий и обычно не достижима для всех параметров даже самыми лучшими автономными датчиками.</w:t>
      </w:r>
    </w:p>
    <w:p w:rsidR="00424C81" w:rsidRPr="00FD0B40" w:rsidRDefault="00424C81" w:rsidP="00424C81">
      <w:pPr>
        <w:spacing w:after="0"/>
      </w:pPr>
    </w:p>
    <w:p w:rsidR="00D174C2" w:rsidRPr="00D174C2" w:rsidRDefault="00D174C2" w:rsidP="00424C81">
      <w:pPr>
        <w:spacing w:after="120"/>
        <w:rPr>
          <w:u w:val="single"/>
        </w:rPr>
      </w:pPr>
      <w:r w:rsidRPr="00D174C2">
        <w:rPr>
          <w:u w:val="single"/>
        </w:rPr>
        <w:t>Категория 2: Качество погоды</w:t>
      </w:r>
    </w:p>
    <w:p w:rsidR="00D174C2" w:rsidRPr="008F1760" w:rsidRDefault="00D174C2" w:rsidP="0088159F">
      <w:pPr>
        <w:spacing w:after="0"/>
      </w:pPr>
      <w:r>
        <w:t xml:space="preserve">Целевое значение качества погоды подходит для многих прибрежных сред, особенно для тех, где циркуляция ограничена или где параметры системы CO2 зависят от таких процессов, как </w:t>
      </w:r>
      <w:proofErr w:type="spellStart"/>
      <w:r>
        <w:t>апвеллинг</w:t>
      </w:r>
      <w:proofErr w:type="spellEnd"/>
      <w:r>
        <w:t xml:space="preserve">, загрязнение или приток пресной воды, которые могут вызывать большую изменчивость. Метеорологическая цель требует, чтобы концентрация ионов карбоната (используемая для расчета состояния насыщения) имела относительную стандартную неопределенность 10%. Это подразумевает неопределенность </w:t>
      </w:r>
      <w:proofErr w:type="spellStart"/>
      <w:r>
        <w:t>pH</w:t>
      </w:r>
      <w:proofErr w:type="spellEnd"/>
      <w:r>
        <w:t xml:space="preserve"> приблизительно 0,02; 10 </w:t>
      </w:r>
      <w:proofErr w:type="spellStart"/>
      <w:r>
        <w:t>мкмоль</w:t>
      </w:r>
      <w:proofErr w:type="spellEnd"/>
      <w:r>
        <w:t>/кг</w:t>
      </w:r>
      <w:r w:rsidR="0034376E" w:rsidRPr="0034376E">
        <w:rPr>
          <w:vertAlign w:val="superscript"/>
        </w:rPr>
        <w:t>–1</w:t>
      </w:r>
      <w:r w:rsidR="0034376E" w:rsidRPr="0034376E">
        <w:t xml:space="preserve"> </w:t>
      </w:r>
      <w:r>
        <w:t xml:space="preserve">при измерении ТА и </w:t>
      </w:r>
      <w:proofErr w:type="gramStart"/>
      <w:r>
        <w:t>ДИК</w:t>
      </w:r>
      <w:proofErr w:type="gramEnd"/>
      <w:r>
        <w:t xml:space="preserve">; и относительная неопределенность около 2,5% в </w:t>
      </w:r>
      <w:r w:rsidRPr="0034376E">
        <w:rPr>
          <w:i/>
        </w:rPr>
        <w:t>p</w:t>
      </w:r>
      <w:r>
        <w:t>CO2. Такая точность должна быть достижима в компетентных лабораториях, а также с лучшими автономными датчиками.</w:t>
      </w:r>
    </w:p>
    <w:p w:rsidR="0088159F" w:rsidRPr="008F1760" w:rsidRDefault="0088159F" w:rsidP="0088159F">
      <w:pPr>
        <w:spacing w:after="0"/>
      </w:pPr>
    </w:p>
    <w:p w:rsidR="00F645F9" w:rsidRPr="00F645F9" w:rsidRDefault="00F645F9" w:rsidP="00424C81">
      <w:pPr>
        <w:spacing w:after="120"/>
        <w:rPr>
          <w:u w:val="single"/>
        </w:rPr>
      </w:pPr>
      <w:r w:rsidRPr="00F645F9">
        <w:rPr>
          <w:u w:val="single"/>
        </w:rPr>
        <w:t>Категория 3: Измерения неопределенного качества</w:t>
      </w:r>
    </w:p>
    <w:p w:rsidR="00F645F9" w:rsidRDefault="00F645F9" w:rsidP="00F645F9">
      <w:r>
        <w:t xml:space="preserve">Для ЦУР 14.3.1 измерения рН с использованием стеклянных электродов будут считаться категорией 3 из-за проблем, связанных с использованием стеклянных рН-электродов в морской воде. Предполагается, что представленная здесь методология дает полезную информацию для стран, наращивающих потенциал для измерения категорий 1 и 2. Например, тщательно откалиброванные стеклянные </w:t>
      </w:r>
      <w:proofErr w:type="spellStart"/>
      <w:r>
        <w:t>pH</w:t>
      </w:r>
      <w:proofErr w:type="spellEnd"/>
      <w:r>
        <w:t>-электроды могут помочь в выявлении горячих точек прибрежного окисления океана и помочь определить приоритеты будущих планов мониторинга. В ежегодных сводных продуктах по ЦУР 14.3.1 места измерения категории 3 будут представлены только как места сбора данных, никакие значения данных визуализированы не будут.</w:t>
      </w:r>
    </w:p>
    <w:p w:rsidR="00F645F9" w:rsidRPr="00BD29EC" w:rsidRDefault="00F645F9" w:rsidP="00F645F9">
      <w:r>
        <w:lastRenderedPageBreak/>
        <w:t xml:space="preserve">Всем тем, кто вносит данные для достижения ЦУР 14.3.1, рекомендуется принять категорию качества измерения 1 или 2. Различные организации проводят различные мероприятия по развитию потенциала для поддержки потенциала государств-членов в этом отношении (дополнительную информацию можно найти здесь: </w:t>
      </w:r>
      <w:hyperlink r:id="rId29" w:history="1">
        <w:r w:rsidR="0034376E" w:rsidRPr="003B0C31">
          <w:rPr>
            <w:rStyle w:val="ac"/>
          </w:rPr>
          <w:t>www.iaea.org/ocean-acidification</w:t>
        </w:r>
      </w:hyperlink>
      <w:r w:rsidR="0034376E" w:rsidRPr="0034376E">
        <w:t>:</w:t>
      </w:r>
      <w:r w:rsidR="0034376E">
        <w:rPr>
          <w:lang w:val="en-US"/>
        </w:rPr>
        <w:t> </w:t>
      </w:r>
      <w:hyperlink r:id="rId30" w:history="1">
        <w:r w:rsidR="0034376E" w:rsidRPr="003B0C31">
          <w:rPr>
            <w:rStyle w:val="ac"/>
          </w:rPr>
          <w:t>http://ioccp.org</w:t>
        </w:r>
      </w:hyperlink>
      <w:r>
        <w:t>;</w:t>
      </w:r>
      <w:r w:rsidR="0034376E">
        <w:rPr>
          <w:lang w:val="en-US"/>
        </w:rPr>
        <w:t> </w:t>
      </w:r>
      <w:hyperlink r:id="rId31" w:history="1">
        <w:r w:rsidR="0034376E" w:rsidRPr="003B0C31">
          <w:rPr>
            <w:rStyle w:val="ac"/>
          </w:rPr>
          <w:t>http://www.ioc-cd.org/index.php</w:t>
        </w:r>
      </w:hyperlink>
      <w:r>
        <w:t xml:space="preserve">; </w:t>
      </w:r>
      <w:hyperlink r:id="rId32" w:history="1">
        <w:r w:rsidR="0034376E" w:rsidRPr="003B0C31">
          <w:rPr>
            <w:rStyle w:val="ac"/>
          </w:rPr>
          <w:t>http://www.whoi.edu/courses/OCB-OA/</w:t>
        </w:r>
      </w:hyperlink>
      <w:r w:rsidR="00943436">
        <w:t>)</w:t>
      </w:r>
      <w:r>
        <w:t>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EA139A" w:rsidRPr="00E366BB" w:rsidRDefault="00EA139A" w:rsidP="00E366BB">
      <w:pPr>
        <w:spacing w:after="0"/>
      </w:pPr>
      <w:r w:rsidRPr="00EA139A">
        <w:t xml:space="preserve">Процессы контроля и проверки качества данных были разработаны в тесном сотрудничестве с экспертами в области </w:t>
      </w:r>
      <w:proofErr w:type="spellStart"/>
      <w:r w:rsidRPr="00EA139A">
        <w:t>закисления</w:t>
      </w:r>
      <w:proofErr w:type="spellEnd"/>
      <w:r w:rsidRPr="00EA139A">
        <w:t xml:space="preserve"> океана, в том числе с членами Глобальной сети наблюдения за </w:t>
      </w:r>
      <w:proofErr w:type="spellStart"/>
      <w:r w:rsidRPr="00EA139A">
        <w:t>закислением</w:t>
      </w:r>
      <w:proofErr w:type="spellEnd"/>
      <w:r w:rsidRPr="00EA139A">
        <w:t xml:space="preserve"> океана (GOA-ON) и экспертами по управлению данными, например, в МООД. Контроль качества данных является важнейшим компонентом анализа, представления и обработки данных. Ученые и технические специалисты, собравшие представленные данные, будут нести ответственность за первичный контроль качества данных и сопутствующих подробных метаданных. Метаданные, представляемые вместе с данными, также должны описывать стандартные операционные процедуры (СОП) контроля качества, которым следуют для каждого параметра.</w:t>
      </w:r>
    </w:p>
    <w:p w:rsidR="00E366BB" w:rsidRPr="00E366BB" w:rsidRDefault="00E366BB" w:rsidP="00E366BB">
      <w:pPr>
        <w:spacing w:after="0"/>
      </w:pPr>
    </w:p>
    <w:p w:rsidR="00EA139A" w:rsidRPr="00FC73E6" w:rsidRDefault="00EA139A" w:rsidP="00EA139A">
      <w:pPr>
        <w:rPr>
          <w:u w:val="single"/>
        </w:rPr>
      </w:pPr>
      <w:r w:rsidRPr="00FC73E6">
        <w:rPr>
          <w:u w:val="single"/>
        </w:rPr>
        <w:t xml:space="preserve">Первичный контроль качества поставщиком данных состоит </w:t>
      </w:r>
      <w:proofErr w:type="gramStart"/>
      <w:r w:rsidRPr="00FC73E6">
        <w:rPr>
          <w:u w:val="single"/>
        </w:rPr>
        <w:t>из</w:t>
      </w:r>
      <w:proofErr w:type="gramEnd"/>
      <w:r w:rsidRPr="00FC73E6">
        <w:rPr>
          <w:u w:val="single"/>
        </w:rPr>
        <w:t>:</w:t>
      </w:r>
    </w:p>
    <w:p w:rsidR="00EA139A" w:rsidRPr="00EA139A" w:rsidRDefault="00EA139A" w:rsidP="00FC73E6">
      <w:pPr>
        <w:pStyle w:val="ab"/>
        <w:numPr>
          <w:ilvl w:val="0"/>
          <w:numId w:val="6"/>
        </w:numPr>
      </w:pPr>
      <w:r w:rsidRPr="00EA139A">
        <w:t>Контрол</w:t>
      </w:r>
      <w:r>
        <w:t>я</w:t>
      </w:r>
      <w:r w:rsidRPr="00EA139A">
        <w:t xml:space="preserve"> качества, прилагаем</w:t>
      </w:r>
      <w:r>
        <w:t>ого</w:t>
      </w:r>
      <w:r w:rsidRPr="00EA139A">
        <w:t xml:space="preserve"> к методологии (предоставляются CRM, калибровка </w:t>
      </w:r>
      <w:proofErr w:type="spellStart"/>
      <w:r w:rsidRPr="00EA139A">
        <w:t>трис</w:t>
      </w:r>
      <w:proofErr w:type="spellEnd"/>
      <w:r w:rsidRPr="00EA139A">
        <w:t>-буфера, СОП),</w:t>
      </w:r>
    </w:p>
    <w:p w:rsidR="00EA139A" w:rsidRPr="00EA139A" w:rsidRDefault="00EA139A" w:rsidP="00FC73E6">
      <w:pPr>
        <w:pStyle w:val="ab"/>
        <w:numPr>
          <w:ilvl w:val="0"/>
          <w:numId w:val="6"/>
        </w:numPr>
      </w:pPr>
      <w:r w:rsidRPr="00EA139A">
        <w:t>Контрол</w:t>
      </w:r>
      <w:r>
        <w:t>я</w:t>
      </w:r>
      <w:r w:rsidRPr="00EA139A">
        <w:t xml:space="preserve"> качества и обеспечени</w:t>
      </w:r>
      <w:r>
        <w:t>я</w:t>
      </w:r>
      <w:r w:rsidRPr="00EA139A">
        <w:t xml:space="preserve"> качества фактических данных (предоставляются СОП) и использование согласованных сообществом флагов качества,</w:t>
      </w:r>
    </w:p>
    <w:p w:rsidR="00EA139A" w:rsidRPr="00EA139A" w:rsidRDefault="00EA139A" w:rsidP="00FC73E6">
      <w:pPr>
        <w:pStyle w:val="ab"/>
        <w:numPr>
          <w:ilvl w:val="0"/>
          <w:numId w:val="6"/>
        </w:numPr>
      </w:pPr>
      <w:r w:rsidRPr="00EA139A">
        <w:t>Выявлени</w:t>
      </w:r>
      <w:r>
        <w:t>я</w:t>
      </w:r>
      <w:r w:rsidRPr="00EA139A">
        <w:t xml:space="preserve"> и пометк</w:t>
      </w:r>
      <w:r>
        <w:t>и</w:t>
      </w:r>
      <w:r w:rsidRPr="00EA139A">
        <w:t xml:space="preserve"> выбросов,</w:t>
      </w:r>
    </w:p>
    <w:p w:rsidR="00EA139A" w:rsidRPr="00EA139A" w:rsidRDefault="00EA139A" w:rsidP="00FC73E6">
      <w:pPr>
        <w:pStyle w:val="ab"/>
        <w:numPr>
          <w:ilvl w:val="0"/>
          <w:numId w:val="6"/>
        </w:numPr>
      </w:pPr>
      <w:r w:rsidRPr="00EA139A">
        <w:t>Приняти</w:t>
      </w:r>
      <w:r>
        <w:t>я</w:t>
      </w:r>
      <w:r w:rsidRPr="00EA139A">
        <w:t xml:space="preserve"> решений относительно достоверности этих отдаленных точек,</w:t>
      </w:r>
    </w:p>
    <w:p w:rsidR="00EA139A" w:rsidRPr="00EA139A" w:rsidRDefault="00EA139A" w:rsidP="00FC73E6">
      <w:pPr>
        <w:pStyle w:val="ab"/>
        <w:numPr>
          <w:ilvl w:val="0"/>
          <w:numId w:val="6"/>
        </w:numPr>
      </w:pPr>
      <w:r w:rsidRPr="00EA139A">
        <w:t>Оценк</w:t>
      </w:r>
      <w:r>
        <w:t>и</w:t>
      </w:r>
      <w:r w:rsidRPr="00EA139A">
        <w:t xml:space="preserve"> неопределенности измерения,</w:t>
      </w:r>
    </w:p>
    <w:p w:rsidR="00EA139A" w:rsidRPr="00EA139A" w:rsidRDefault="00EA139A" w:rsidP="00FC73E6">
      <w:pPr>
        <w:pStyle w:val="ab"/>
        <w:numPr>
          <w:ilvl w:val="0"/>
          <w:numId w:val="6"/>
        </w:numPr>
      </w:pPr>
      <w:r w:rsidRPr="00EA139A">
        <w:t>Выявлени</w:t>
      </w:r>
      <w:r>
        <w:t>я</w:t>
      </w:r>
      <w:r w:rsidRPr="00EA139A">
        <w:t xml:space="preserve"> всех источников неопределенности в измерениях,</w:t>
      </w:r>
    </w:p>
    <w:p w:rsidR="00EA139A" w:rsidRPr="00EA139A" w:rsidRDefault="00EA139A" w:rsidP="00FC73E6">
      <w:pPr>
        <w:pStyle w:val="ab"/>
        <w:numPr>
          <w:ilvl w:val="0"/>
          <w:numId w:val="6"/>
        </w:numPr>
      </w:pPr>
      <w:r w:rsidRPr="00EA139A">
        <w:t>Объединени</w:t>
      </w:r>
      <w:r>
        <w:t>я</w:t>
      </w:r>
      <w:r w:rsidRPr="00EA139A">
        <w:t xml:space="preserve"> отдельных неопределенностей в общую неопределен</w:t>
      </w:r>
      <w:r>
        <w:t>ность (распространение ошибок).</w:t>
      </w:r>
    </w:p>
    <w:p w:rsidR="00EA139A" w:rsidRPr="00FC73E6" w:rsidRDefault="00EA139A" w:rsidP="00EA139A">
      <w:pPr>
        <w:rPr>
          <w:u w:val="single"/>
        </w:rPr>
      </w:pPr>
      <w:r w:rsidRPr="00FC73E6">
        <w:rPr>
          <w:u w:val="single"/>
        </w:rPr>
        <w:t>Вторичный контроль качества Секретариатом МОК и экспертами:</w:t>
      </w:r>
    </w:p>
    <w:p w:rsidR="00EA139A" w:rsidRPr="00EA139A" w:rsidRDefault="00EA139A" w:rsidP="00FC73E6">
      <w:pPr>
        <w:pStyle w:val="ab"/>
        <w:numPr>
          <w:ilvl w:val="1"/>
          <w:numId w:val="8"/>
        </w:numPr>
        <w:ind w:left="709"/>
      </w:pPr>
      <w:r w:rsidRPr="00EA139A">
        <w:t>Гармонизация данных и обеспечение полноты метаданных,</w:t>
      </w:r>
    </w:p>
    <w:p w:rsidR="00EA139A" w:rsidRPr="00EA139A" w:rsidRDefault="00EA139A" w:rsidP="00FC73E6">
      <w:pPr>
        <w:pStyle w:val="ab"/>
        <w:numPr>
          <w:ilvl w:val="1"/>
          <w:numId w:val="8"/>
        </w:numPr>
        <w:ind w:left="709"/>
      </w:pPr>
      <w:r w:rsidRPr="00EA139A">
        <w:t>Внешний контроль/аудит качества – Экспертная группа контроля качества, применяющая уровни погоды и климата, определенные GOA-ON (по примеру SOCAT),</w:t>
      </w:r>
    </w:p>
    <w:p w:rsidR="00EA139A" w:rsidRDefault="00EA139A" w:rsidP="00FC73E6">
      <w:pPr>
        <w:pStyle w:val="ab"/>
        <w:numPr>
          <w:ilvl w:val="1"/>
          <w:numId w:val="8"/>
        </w:numPr>
        <w:ind w:left="709"/>
      </w:pPr>
      <w:r w:rsidRPr="00EA139A">
        <w:t xml:space="preserve">Обратная связь </w:t>
      </w:r>
      <w:r>
        <w:t>поставщикам</w:t>
      </w:r>
      <w:r w:rsidRPr="00EA139A">
        <w:t xml:space="preserve"> данных.</w:t>
      </w:r>
    </w:p>
    <w:p w:rsidR="00157F4E" w:rsidRDefault="00157F4E" w:rsidP="00157F4E">
      <w:pPr>
        <w:pStyle w:val="ab"/>
      </w:pPr>
    </w:p>
    <w:p w:rsidR="00157F4E" w:rsidRPr="00040034" w:rsidRDefault="00157F4E" w:rsidP="00157F4E">
      <w:pPr>
        <w:pStyle w:val="ab"/>
      </w:pP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12601E" w:rsidRPr="0012601E" w:rsidRDefault="0012601E" w:rsidP="0012601E">
      <w:r w:rsidRPr="0012601E">
        <w:lastRenderedPageBreak/>
        <w:t>В соответствии с механизмами управления и обеспечения контроля качества, описанными в 4.i и 4.j, отдельным наборам данных будут присвоены три категории качества измерений:</w:t>
      </w:r>
    </w:p>
    <w:p w:rsidR="0012601E" w:rsidRPr="0012601E" w:rsidRDefault="0012601E" w:rsidP="00833AF5">
      <w:pPr>
        <w:pStyle w:val="ab"/>
        <w:numPr>
          <w:ilvl w:val="0"/>
          <w:numId w:val="9"/>
        </w:numPr>
      </w:pPr>
      <w:r w:rsidRPr="0012601E">
        <w:t>Установленное океанографическое качество климата (категория 1).</w:t>
      </w:r>
    </w:p>
    <w:p w:rsidR="0012601E" w:rsidRPr="0012601E" w:rsidRDefault="0012601E" w:rsidP="00833AF5">
      <w:pPr>
        <w:pStyle w:val="ab"/>
        <w:numPr>
          <w:ilvl w:val="0"/>
          <w:numId w:val="9"/>
        </w:numPr>
      </w:pPr>
      <w:r w:rsidRPr="0012601E">
        <w:t xml:space="preserve">Данные о качестве погоды, в том числе данные датчиков и упрощенные измерения </w:t>
      </w:r>
      <w:proofErr w:type="spellStart"/>
      <w:r w:rsidRPr="0012601E">
        <w:t>pH</w:t>
      </w:r>
      <w:proofErr w:type="spellEnd"/>
      <w:r w:rsidRPr="0012601E">
        <w:t xml:space="preserve"> и щелочности, полученные с помощью наращивания потенциала, с соответствующей оценкой неопределенности (Категория 2).</w:t>
      </w:r>
    </w:p>
    <w:p w:rsidR="0012601E" w:rsidRPr="00BD29EC" w:rsidRDefault="0012601E" w:rsidP="00833AF5">
      <w:pPr>
        <w:pStyle w:val="ab"/>
        <w:numPr>
          <w:ilvl w:val="0"/>
          <w:numId w:val="9"/>
        </w:numPr>
      </w:pPr>
      <w:r w:rsidRPr="0012601E">
        <w:t>Измерения неопределенного качества (категория 3) (не будут отображаться в визуализации среднегодовых взвешенных значений и дисперсии рН).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>Доступность и дезагрег</w:t>
      </w:r>
      <w:r w:rsidR="00A509A3">
        <w:rPr>
          <w:b/>
          <w:color w:val="auto"/>
          <w:sz w:val="24"/>
          <w:szCs w:val="24"/>
          <w:lang w:val="ru-RU"/>
        </w:rPr>
        <w:t xml:space="preserve">ация </w:t>
      </w:r>
      <w:r w:rsidR="0075371E" w:rsidRPr="00BD29EC">
        <w:rPr>
          <w:b/>
          <w:color w:val="auto"/>
          <w:sz w:val="24"/>
          <w:szCs w:val="24"/>
          <w:lang w:val="ru-RU"/>
        </w:rPr>
        <w:t>данных</w:t>
      </w:r>
    </w:p>
    <w:p w:rsidR="0075371E" w:rsidRPr="00A509A3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A509A3">
        <w:rPr>
          <w:b/>
          <w:color w:val="auto"/>
          <w:sz w:val="24"/>
          <w:szCs w:val="24"/>
          <w:lang w:val="ru-RU"/>
        </w:rPr>
        <w:t>Доступность данных:</w:t>
      </w:r>
    </w:p>
    <w:p w:rsidR="005F0ADE" w:rsidRPr="005F0ADE" w:rsidRDefault="005F0ADE" w:rsidP="006B101F">
      <w:pPr>
        <w:spacing w:after="120"/>
      </w:pPr>
      <w:r w:rsidRPr="005F0ADE">
        <w:t>Доступность метаданных и данных постоянно увеличивается. С 2021 года данные по ЦУР 14.3.1 из различных национальных и национальных баз данных предоставляются непосредственно на специальный портал данных (</w:t>
      </w:r>
      <w:hyperlink r:id="rId33" w:history="1">
        <w:r w:rsidR="00CD4F99" w:rsidRPr="003B0C31">
          <w:rPr>
            <w:rStyle w:val="ac"/>
          </w:rPr>
          <w:t>http://oa.iode.org</w:t>
        </w:r>
      </w:hyperlink>
      <w:r w:rsidRPr="005F0ADE">
        <w:t>). Этот портал данных содержит широкий спектр метаданных и дополнительных данных, характеризующих карбонатную систему морской воды, отсутствующих в глобальной базе данных ЦУР.</w:t>
      </w:r>
    </w:p>
    <w:p w:rsidR="005F0ADE" w:rsidRPr="005F0ADE" w:rsidRDefault="005F0ADE" w:rsidP="005F0ADE">
      <w:pPr>
        <w:rPr>
          <w:szCs w:val="24"/>
        </w:rPr>
      </w:pPr>
      <w:r w:rsidRPr="005F0ADE">
        <w:t xml:space="preserve">Чтобы восполнить существующие пробелы в данных для а) измерения </w:t>
      </w:r>
      <w:proofErr w:type="spellStart"/>
      <w:r w:rsidRPr="005F0ADE">
        <w:t>закисления</w:t>
      </w:r>
      <w:proofErr w:type="spellEnd"/>
      <w:r w:rsidRPr="005F0ADE">
        <w:t xml:space="preserve"> океана и б) представления метаданных и данных по показателю 14.3.1 ЦУР, МОК совместно с партнерами проводит тренинги и </w:t>
      </w:r>
      <w:proofErr w:type="spellStart"/>
      <w:r w:rsidRPr="005F0ADE">
        <w:t>вебинары</w:t>
      </w:r>
      <w:proofErr w:type="spellEnd"/>
      <w:r w:rsidRPr="005F0ADE">
        <w:t xml:space="preserve">. </w:t>
      </w:r>
      <w:proofErr w:type="gramStart"/>
      <w:r w:rsidRPr="005F0ADE">
        <w:t>Доступен</w:t>
      </w:r>
      <w:proofErr w:type="gramEnd"/>
      <w:r w:rsidRPr="005F0ADE">
        <w:t xml:space="preserve"> новый онлайн-курс по </w:t>
      </w:r>
      <w:proofErr w:type="spellStart"/>
      <w:r w:rsidRPr="005F0ADE">
        <w:t>закислению</w:t>
      </w:r>
      <w:proofErr w:type="spellEnd"/>
      <w:r w:rsidRPr="005F0ADE">
        <w:t xml:space="preserve"> океана. (</w:t>
      </w:r>
      <w:r>
        <w:t>https</w:t>
      </w:r>
      <w:r w:rsidRPr="005F0ADE">
        <w:t>://</w:t>
      </w:r>
      <w:r>
        <w:t>classroom</w:t>
      </w:r>
      <w:r w:rsidRPr="005F0ADE">
        <w:t>.</w:t>
      </w:r>
      <w:r>
        <w:t>oceanteacher</w:t>
      </w:r>
      <w:r w:rsidRPr="005F0ADE">
        <w:t>.</w:t>
      </w:r>
      <w:r>
        <w:t>org</w:t>
      </w:r>
      <w:r w:rsidRPr="005F0ADE">
        <w:t>/</w:t>
      </w:r>
      <w:r>
        <w:t>tag</w:t>
      </w:r>
      <w:r w:rsidRPr="005F0ADE">
        <w:t>/</w:t>
      </w:r>
      <w:r>
        <w:t>index</w:t>
      </w:r>
      <w:r w:rsidRPr="005F0ADE">
        <w:t>.</w:t>
      </w:r>
      <w:r>
        <w:t>php</w:t>
      </w:r>
      <w:r w:rsidRPr="005F0ADE">
        <w:t>?</w:t>
      </w:r>
      <w:r>
        <w:t>tc</w:t>
      </w:r>
      <w:r w:rsidRPr="005F0ADE">
        <w:t>=1&amp;</w:t>
      </w:r>
      <w:r>
        <w:t>tag</w:t>
      </w:r>
      <w:r w:rsidRPr="005F0ADE">
        <w:t>=</w:t>
      </w:r>
      <w:r>
        <w:t>Ocean</w:t>
      </w:r>
      <w:r w:rsidRPr="005F0ADE">
        <w:t>%20</w:t>
      </w:r>
      <w:r>
        <w:t>acidification</w:t>
      </w:r>
      <w:r w:rsidRPr="005F0ADE">
        <w:t xml:space="preserve">). О прошедших и будущих тренингах сообщается на веб-сайте </w:t>
      </w:r>
      <w:proofErr w:type="spellStart"/>
      <w:r>
        <w:t>Ocean</w:t>
      </w:r>
      <w:proofErr w:type="spellEnd"/>
      <w:r w:rsidRPr="005F0ADE">
        <w:t xml:space="preserve"> </w:t>
      </w:r>
      <w:proofErr w:type="spellStart"/>
      <w:r>
        <w:t>Expert</w:t>
      </w:r>
      <w:proofErr w:type="spellEnd"/>
      <w:r w:rsidRPr="005F0ADE">
        <w:t xml:space="preserve"> (</w:t>
      </w:r>
      <w:hyperlink r:id="rId34" w:history="1">
        <w:r w:rsidR="00CD4F99" w:rsidRPr="003B0C31">
          <w:rPr>
            <w:rStyle w:val="ac"/>
          </w:rPr>
          <w:t>https://oceanexpert.org/events/calendar</w:t>
        </w:r>
      </w:hyperlink>
      <w:r w:rsidRPr="005F0ADE">
        <w:t xml:space="preserve">) и </w:t>
      </w:r>
      <w:r>
        <w:t>GOA</w:t>
      </w:r>
      <w:r w:rsidRPr="005F0ADE">
        <w:t>-</w:t>
      </w:r>
      <w:r>
        <w:t>ON</w:t>
      </w:r>
      <w:r w:rsidRPr="005F0ADE">
        <w:t xml:space="preserve"> (</w:t>
      </w:r>
      <w:hyperlink r:id="rId35" w:history="1">
        <w:r w:rsidR="00CD4F99" w:rsidRPr="003B0C31">
          <w:rPr>
            <w:rStyle w:val="ac"/>
          </w:rPr>
          <w:t>http://goa-on.org/news/news.php</w:t>
        </w:r>
      </w:hyperlink>
      <w:r w:rsidRPr="005F0ADE">
        <w:t>).</w:t>
      </w:r>
    </w:p>
    <w:p w:rsidR="0075371E" w:rsidRPr="00A509A3" w:rsidRDefault="00A509A3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A509A3">
        <w:rPr>
          <w:b/>
          <w:color w:val="auto"/>
          <w:sz w:val="24"/>
          <w:szCs w:val="24"/>
          <w:lang w:val="ru-RU"/>
        </w:rPr>
        <w:t>Дезагрегация</w:t>
      </w:r>
      <w:r w:rsidR="0075371E" w:rsidRPr="00A509A3">
        <w:rPr>
          <w:b/>
          <w:color w:val="auto"/>
          <w:sz w:val="24"/>
          <w:szCs w:val="24"/>
          <w:lang w:val="ru-RU"/>
        </w:rPr>
        <w:t>:</w:t>
      </w:r>
    </w:p>
    <w:p w:rsidR="005F0ADE" w:rsidRPr="00BD29EC" w:rsidRDefault="005F0ADE" w:rsidP="005F0ADE">
      <w:r w:rsidRPr="005F0ADE">
        <w:t>Страны предоставляют полные наборы данных с соответствующими файлами данных и метаданных по конкретным объектам.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171420">
        <w:rPr>
          <w:b/>
          <w:color w:val="auto"/>
          <w:sz w:val="24"/>
          <w:szCs w:val="24"/>
          <w:lang w:val="ru-RU"/>
        </w:rPr>
        <w:t>Сопоставимость/</w:t>
      </w:r>
      <w:r w:rsidR="0075371E" w:rsidRPr="00BD29EC">
        <w:rPr>
          <w:b/>
          <w:color w:val="auto"/>
          <w:sz w:val="24"/>
          <w:szCs w:val="24"/>
          <w:lang w:val="ru-RU"/>
        </w:rPr>
        <w:t>отклонение от международных стандартов</w:t>
      </w:r>
    </w:p>
    <w:p w:rsidR="005F0ADE" w:rsidRDefault="005F0ADE" w:rsidP="005F0ADE">
      <w:pPr>
        <w:rPr>
          <w:lang w:eastAsia="en-GB"/>
        </w:rPr>
      </w:pPr>
      <w:r w:rsidRPr="005F0ADE">
        <w:rPr>
          <w:lang w:eastAsia="en-GB"/>
        </w:rPr>
        <w:t>Поскольку этот показатель учитывает только данные, представленные государствами-членами, расхождений между оценками и представленными наборами данных нет. В прошлом различия между странами в и</w:t>
      </w:r>
      <w:r>
        <w:rPr>
          <w:lang w:eastAsia="en-GB"/>
        </w:rPr>
        <w:t xml:space="preserve">змерении </w:t>
      </w:r>
      <w:proofErr w:type="spellStart"/>
      <w:r>
        <w:rPr>
          <w:lang w:eastAsia="en-GB"/>
        </w:rPr>
        <w:t>pH</w:t>
      </w:r>
      <w:proofErr w:type="spellEnd"/>
      <w:r>
        <w:rPr>
          <w:lang w:eastAsia="en-GB"/>
        </w:rPr>
        <w:t xml:space="preserve"> и других данных о </w:t>
      </w:r>
      <w:proofErr w:type="spellStart"/>
      <w:r>
        <w:rPr>
          <w:lang w:eastAsia="en-GB"/>
        </w:rPr>
        <w:t>за</w:t>
      </w:r>
      <w:r w:rsidRPr="005F0ADE">
        <w:rPr>
          <w:lang w:eastAsia="en-GB"/>
        </w:rPr>
        <w:t>дкислении</w:t>
      </w:r>
      <w:proofErr w:type="spellEnd"/>
      <w:r w:rsidRPr="005F0ADE">
        <w:rPr>
          <w:lang w:eastAsia="en-GB"/>
        </w:rPr>
        <w:t xml:space="preserve"> океана в основном объяснялись техническими трудностями и отсутствием всеобъемлющих руководящих принципов для наилучшей практики измерений. Настоящая Методология и содержащиеся в ней руководящие принципы содержат подробные инструкции по измерению, сбору, обработке и контролю качества данных таким образом, чтобы страны могли избежать расхождений в будущем.</w:t>
      </w:r>
    </w:p>
    <w:p w:rsidR="00157F4E" w:rsidRDefault="00157F4E" w:rsidP="005F0ADE">
      <w:pPr>
        <w:rPr>
          <w:lang w:eastAsia="en-GB"/>
        </w:rPr>
      </w:pPr>
    </w:p>
    <w:p w:rsidR="00157F4E" w:rsidRDefault="00157F4E" w:rsidP="005F0ADE">
      <w:pPr>
        <w:rPr>
          <w:lang w:eastAsia="en-GB"/>
        </w:rPr>
      </w:pP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5F0ADE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5F0ADE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5F0ADE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297886" w:rsidRPr="00297886" w:rsidRDefault="00297886" w:rsidP="00297886">
      <w:pPr>
        <w:rPr>
          <w:b/>
        </w:rPr>
      </w:pPr>
      <w:r w:rsidRPr="00297886">
        <w:rPr>
          <w:b/>
        </w:rPr>
        <w:lastRenderedPageBreak/>
        <w:t xml:space="preserve">Основные </w:t>
      </w:r>
      <w:proofErr w:type="spellStart"/>
      <w:r w:rsidRPr="00297886">
        <w:rPr>
          <w:b/>
        </w:rPr>
        <w:t>URLs</w:t>
      </w:r>
      <w:proofErr w:type="spellEnd"/>
      <w:r w:rsidRPr="00297886">
        <w:rPr>
          <w:b/>
        </w:rPr>
        <w:t>:</w:t>
      </w:r>
    </w:p>
    <w:p w:rsidR="00297886" w:rsidRPr="006B475F" w:rsidRDefault="00297886" w:rsidP="006B475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/>
        <w:rPr>
          <w:rFonts w:eastAsia="Times New Roman" w:cs="Times New Roman"/>
          <w:color w:val="4A4A4A"/>
          <w:szCs w:val="24"/>
          <w:lang w:eastAsia="en-GB"/>
        </w:rPr>
      </w:pPr>
      <w:r w:rsidRPr="006B475F">
        <w:rPr>
          <w:rFonts w:eastAsia="Times New Roman" w:cs="Times New Roman"/>
          <w:color w:val="4A4A4A"/>
          <w:szCs w:val="24"/>
          <w:lang w:val="en-US" w:eastAsia="en-GB"/>
        </w:rPr>
        <w:t>IOC</w:t>
      </w:r>
      <w:r w:rsidRPr="006B475F">
        <w:rPr>
          <w:rFonts w:eastAsia="Times New Roman" w:cs="Times New Roman"/>
          <w:color w:val="4A4A4A"/>
          <w:szCs w:val="24"/>
          <w:lang w:eastAsia="en-GB"/>
        </w:rPr>
        <w:t>-</w:t>
      </w:r>
      <w:r w:rsidRPr="006B475F">
        <w:rPr>
          <w:rFonts w:eastAsia="Times New Roman" w:cs="Times New Roman"/>
          <w:color w:val="4A4A4A"/>
          <w:szCs w:val="24"/>
          <w:lang w:val="en-US" w:eastAsia="en-GB"/>
        </w:rPr>
        <w:t>UNESCO</w:t>
      </w:r>
      <w:r w:rsidR="006B475F">
        <w:rPr>
          <w:rFonts w:eastAsia="Times New Roman" w:cs="Times New Roman"/>
          <w:color w:val="4A4A4A"/>
          <w:szCs w:val="24"/>
          <w:lang w:eastAsia="en-GB"/>
        </w:rPr>
        <w:tab/>
      </w:r>
      <w:r w:rsidR="006B475F">
        <w:rPr>
          <w:rFonts w:eastAsia="Times New Roman" w:cs="Times New Roman"/>
          <w:color w:val="4A4A4A"/>
          <w:szCs w:val="24"/>
          <w:lang w:eastAsia="en-GB"/>
        </w:rPr>
        <w:tab/>
      </w:r>
      <w:r w:rsidR="006B475F">
        <w:rPr>
          <w:rFonts w:eastAsia="Times New Roman" w:cs="Times New Roman"/>
          <w:color w:val="4A4A4A"/>
          <w:szCs w:val="24"/>
          <w:lang w:eastAsia="en-GB"/>
        </w:rPr>
        <w:tab/>
      </w:r>
      <w:r w:rsidR="006B475F">
        <w:rPr>
          <w:rFonts w:eastAsia="Times New Roman" w:cs="Times New Roman"/>
          <w:color w:val="4A4A4A"/>
          <w:szCs w:val="24"/>
          <w:lang w:eastAsia="en-GB"/>
        </w:rPr>
        <w:tab/>
      </w:r>
      <w:r w:rsidR="006B475F">
        <w:rPr>
          <w:rFonts w:eastAsia="Times New Roman" w:cs="Times New Roman"/>
          <w:color w:val="4A4A4A"/>
          <w:szCs w:val="24"/>
          <w:lang w:eastAsia="en-GB"/>
        </w:rPr>
        <w:tab/>
      </w:r>
      <w:hyperlink r:id="rId36" w:history="1">
        <w:r w:rsidRPr="006B475F">
          <w:rPr>
            <w:rStyle w:val="ac"/>
            <w:rFonts w:eastAsia="Times New Roman" w:cs="Times New Roman"/>
            <w:szCs w:val="24"/>
            <w:lang w:val="en-US" w:eastAsia="en-GB"/>
          </w:rPr>
          <w:t>http</w:t>
        </w:r>
        <w:r w:rsidRPr="006B475F">
          <w:rPr>
            <w:rStyle w:val="ac"/>
            <w:rFonts w:eastAsia="Times New Roman" w:cs="Times New Roman"/>
            <w:szCs w:val="24"/>
            <w:lang w:eastAsia="en-GB"/>
          </w:rPr>
          <w:t>://</w:t>
        </w:r>
        <w:r w:rsidRPr="006B475F">
          <w:rPr>
            <w:rStyle w:val="ac"/>
            <w:rFonts w:eastAsia="Times New Roman" w:cs="Times New Roman"/>
            <w:szCs w:val="24"/>
            <w:lang w:val="en-US" w:eastAsia="en-GB"/>
          </w:rPr>
          <w:t>www</w:t>
        </w:r>
        <w:r w:rsidRPr="006B475F">
          <w:rPr>
            <w:rStyle w:val="ac"/>
            <w:rFonts w:eastAsia="Times New Roman" w:cs="Times New Roman"/>
            <w:szCs w:val="24"/>
            <w:lang w:eastAsia="en-GB"/>
          </w:rPr>
          <w:t>.</w:t>
        </w:r>
        <w:proofErr w:type="spellStart"/>
        <w:r w:rsidRPr="006B475F">
          <w:rPr>
            <w:rStyle w:val="ac"/>
            <w:rFonts w:eastAsia="Times New Roman" w:cs="Times New Roman"/>
            <w:szCs w:val="24"/>
            <w:lang w:val="en-US" w:eastAsia="en-GB"/>
          </w:rPr>
          <w:t>ioc</w:t>
        </w:r>
        <w:proofErr w:type="spellEnd"/>
        <w:r w:rsidRPr="006B475F">
          <w:rPr>
            <w:rStyle w:val="ac"/>
            <w:rFonts w:eastAsia="Times New Roman" w:cs="Times New Roman"/>
            <w:szCs w:val="24"/>
            <w:lang w:eastAsia="en-GB"/>
          </w:rPr>
          <w:t>-</w:t>
        </w:r>
        <w:proofErr w:type="spellStart"/>
        <w:r w:rsidRPr="006B475F">
          <w:rPr>
            <w:rStyle w:val="ac"/>
            <w:rFonts w:eastAsia="Times New Roman" w:cs="Times New Roman"/>
            <w:szCs w:val="24"/>
            <w:lang w:val="en-US" w:eastAsia="en-GB"/>
          </w:rPr>
          <w:t>unesco</w:t>
        </w:r>
        <w:proofErr w:type="spellEnd"/>
        <w:r w:rsidRPr="006B475F">
          <w:rPr>
            <w:rStyle w:val="ac"/>
            <w:rFonts w:eastAsia="Times New Roman" w:cs="Times New Roman"/>
            <w:szCs w:val="24"/>
            <w:lang w:eastAsia="en-GB"/>
          </w:rPr>
          <w:t>.</w:t>
        </w:r>
        <w:r w:rsidRPr="006B475F">
          <w:rPr>
            <w:rStyle w:val="ac"/>
            <w:rFonts w:eastAsia="Times New Roman" w:cs="Times New Roman"/>
            <w:szCs w:val="24"/>
            <w:lang w:val="en-US" w:eastAsia="en-GB"/>
          </w:rPr>
          <w:t>org</w:t>
        </w:r>
        <w:r w:rsidRPr="006B475F">
          <w:rPr>
            <w:rStyle w:val="ac"/>
            <w:rFonts w:eastAsia="Times New Roman" w:cs="Times New Roman"/>
            <w:szCs w:val="24"/>
            <w:lang w:eastAsia="en-GB"/>
          </w:rPr>
          <w:t>/</w:t>
        </w:r>
      </w:hyperlink>
    </w:p>
    <w:p w:rsidR="00297886" w:rsidRPr="006B475F" w:rsidRDefault="00297886" w:rsidP="006B475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/>
        <w:rPr>
          <w:rFonts w:eastAsia="Times New Roman" w:cs="Times New Roman"/>
          <w:color w:val="4A4A4A"/>
          <w:szCs w:val="24"/>
          <w:lang w:eastAsia="en-GB"/>
        </w:rPr>
      </w:pPr>
      <w:r w:rsidRPr="006B475F">
        <w:rPr>
          <w:rFonts w:eastAsia="Times New Roman" w:cs="Times New Roman"/>
          <w:color w:val="4A4A4A"/>
          <w:szCs w:val="24"/>
          <w:lang w:val="en-US" w:eastAsia="en-GB"/>
        </w:rPr>
        <w:t>IODE</w:t>
      </w:r>
      <w:r w:rsidRPr="006B475F">
        <w:rPr>
          <w:rFonts w:eastAsia="Times New Roman" w:cs="Times New Roman"/>
          <w:color w:val="4A4A4A"/>
          <w:szCs w:val="24"/>
          <w:lang w:eastAsia="en-GB"/>
        </w:rPr>
        <w:tab/>
      </w:r>
      <w:r w:rsidRPr="006B475F">
        <w:rPr>
          <w:rFonts w:eastAsia="Times New Roman" w:cs="Times New Roman"/>
          <w:color w:val="4A4A4A"/>
          <w:szCs w:val="24"/>
          <w:lang w:eastAsia="en-GB"/>
        </w:rPr>
        <w:tab/>
      </w:r>
      <w:r w:rsidRPr="006B475F">
        <w:rPr>
          <w:rFonts w:eastAsia="Times New Roman" w:cs="Times New Roman"/>
          <w:color w:val="4A4A4A"/>
          <w:szCs w:val="24"/>
          <w:lang w:eastAsia="en-GB"/>
        </w:rPr>
        <w:tab/>
      </w:r>
      <w:r w:rsidRPr="006B475F">
        <w:rPr>
          <w:rFonts w:eastAsia="Times New Roman" w:cs="Times New Roman"/>
          <w:color w:val="4A4A4A"/>
          <w:szCs w:val="24"/>
          <w:lang w:eastAsia="en-GB"/>
        </w:rPr>
        <w:tab/>
      </w:r>
      <w:r w:rsidRPr="006B475F">
        <w:rPr>
          <w:rFonts w:eastAsia="Times New Roman" w:cs="Times New Roman"/>
          <w:color w:val="4A4A4A"/>
          <w:szCs w:val="24"/>
          <w:lang w:eastAsia="en-GB"/>
        </w:rPr>
        <w:tab/>
      </w:r>
      <w:r w:rsidRPr="006B475F">
        <w:rPr>
          <w:rFonts w:eastAsia="Times New Roman" w:cs="Times New Roman"/>
          <w:color w:val="4A4A4A"/>
          <w:szCs w:val="24"/>
          <w:lang w:eastAsia="en-GB"/>
        </w:rPr>
        <w:tab/>
      </w:r>
      <w:r w:rsidRPr="006B475F">
        <w:rPr>
          <w:rFonts w:eastAsia="Times New Roman" w:cs="Times New Roman"/>
          <w:color w:val="4A4A4A"/>
          <w:szCs w:val="24"/>
          <w:lang w:eastAsia="en-GB"/>
        </w:rPr>
        <w:tab/>
      </w:r>
      <w:hyperlink r:id="rId37" w:history="1">
        <w:r w:rsidRPr="006B475F">
          <w:rPr>
            <w:rStyle w:val="ac"/>
            <w:rFonts w:eastAsia="Times New Roman" w:cs="Times New Roman"/>
            <w:szCs w:val="24"/>
            <w:lang w:val="en-US" w:eastAsia="en-GB"/>
          </w:rPr>
          <w:t>https</w:t>
        </w:r>
        <w:r w:rsidRPr="006B475F">
          <w:rPr>
            <w:rStyle w:val="ac"/>
            <w:rFonts w:eastAsia="Times New Roman" w:cs="Times New Roman"/>
            <w:szCs w:val="24"/>
            <w:lang w:eastAsia="en-GB"/>
          </w:rPr>
          <w:t>://</w:t>
        </w:r>
        <w:r w:rsidRPr="006B475F">
          <w:rPr>
            <w:rStyle w:val="ac"/>
            <w:rFonts w:eastAsia="Times New Roman" w:cs="Times New Roman"/>
            <w:szCs w:val="24"/>
            <w:lang w:val="en-US" w:eastAsia="en-GB"/>
          </w:rPr>
          <w:t>www</w:t>
        </w:r>
        <w:r w:rsidRPr="006B475F">
          <w:rPr>
            <w:rStyle w:val="ac"/>
            <w:rFonts w:eastAsia="Times New Roman" w:cs="Times New Roman"/>
            <w:szCs w:val="24"/>
            <w:lang w:eastAsia="en-GB"/>
          </w:rPr>
          <w:t>.</w:t>
        </w:r>
        <w:r w:rsidRPr="006B475F">
          <w:rPr>
            <w:rStyle w:val="ac"/>
            <w:rFonts w:eastAsia="Times New Roman" w:cs="Times New Roman"/>
            <w:szCs w:val="24"/>
            <w:lang w:val="en-US" w:eastAsia="en-GB"/>
          </w:rPr>
          <w:t>iode</w:t>
        </w:r>
        <w:r w:rsidRPr="006B475F">
          <w:rPr>
            <w:rStyle w:val="ac"/>
            <w:rFonts w:eastAsia="Times New Roman" w:cs="Times New Roman"/>
            <w:szCs w:val="24"/>
            <w:lang w:eastAsia="en-GB"/>
          </w:rPr>
          <w:t>.</w:t>
        </w:r>
        <w:r w:rsidRPr="006B475F">
          <w:rPr>
            <w:rStyle w:val="ac"/>
            <w:rFonts w:eastAsia="Times New Roman" w:cs="Times New Roman"/>
            <w:szCs w:val="24"/>
            <w:lang w:val="en-US" w:eastAsia="en-GB"/>
          </w:rPr>
          <w:t>org</w:t>
        </w:r>
        <w:r w:rsidRPr="006B475F">
          <w:rPr>
            <w:rStyle w:val="ac"/>
            <w:rFonts w:eastAsia="Times New Roman" w:cs="Times New Roman"/>
            <w:szCs w:val="24"/>
            <w:lang w:eastAsia="en-GB"/>
          </w:rPr>
          <w:t>/</w:t>
        </w:r>
      </w:hyperlink>
      <w:r w:rsidRPr="006B475F">
        <w:rPr>
          <w:rStyle w:val="ac"/>
          <w:rFonts w:eastAsia="Times New Roman" w:cs="Times New Roman"/>
          <w:szCs w:val="24"/>
          <w:lang w:eastAsia="en-GB"/>
        </w:rPr>
        <w:t xml:space="preserve">; </w:t>
      </w:r>
      <w:r w:rsidRPr="006B475F">
        <w:rPr>
          <w:rStyle w:val="ac"/>
          <w:rFonts w:eastAsia="Times New Roman" w:cs="Times New Roman"/>
          <w:szCs w:val="24"/>
          <w:lang w:val="en-US" w:eastAsia="en-GB"/>
        </w:rPr>
        <w:t>https</w:t>
      </w:r>
      <w:r w:rsidRPr="006B475F">
        <w:rPr>
          <w:rStyle w:val="ac"/>
          <w:rFonts w:eastAsia="Times New Roman" w:cs="Times New Roman"/>
          <w:szCs w:val="24"/>
          <w:lang w:eastAsia="en-GB"/>
        </w:rPr>
        <w:t>://</w:t>
      </w:r>
      <w:r w:rsidRPr="006B475F">
        <w:rPr>
          <w:rStyle w:val="ac"/>
          <w:rFonts w:eastAsia="Times New Roman" w:cs="Times New Roman"/>
          <w:szCs w:val="24"/>
          <w:lang w:val="en-US" w:eastAsia="en-GB"/>
        </w:rPr>
        <w:t>oa</w:t>
      </w:r>
      <w:r w:rsidRPr="006B475F">
        <w:rPr>
          <w:rStyle w:val="ac"/>
          <w:rFonts w:eastAsia="Times New Roman" w:cs="Times New Roman"/>
          <w:szCs w:val="24"/>
          <w:lang w:eastAsia="en-GB"/>
        </w:rPr>
        <w:t>.</w:t>
      </w:r>
      <w:r w:rsidRPr="006B475F">
        <w:rPr>
          <w:rStyle w:val="ac"/>
          <w:rFonts w:eastAsia="Times New Roman" w:cs="Times New Roman"/>
          <w:szCs w:val="24"/>
          <w:lang w:val="en-US" w:eastAsia="en-GB"/>
        </w:rPr>
        <w:t>iode</w:t>
      </w:r>
      <w:r w:rsidRPr="006B475F">
        <w:rPr>
          <w:rStyle w:val="ac"/>
          <w:rFonts w:eastAsia="Times New Roman" w:cs="Times New Roman"/>
          <w:szCs w:val="24"/>
          <w:lang w:eastAsia="en-GB"/>
        </w:rPr>
        <w:t>.</w:t>
      </w:r>
      <w:r w:rsidRPr="006B475F">
        <w:rPr>
          <w:rStyle w:val="ac"/>
          <w:rFonts w:eastAsia="Times New Roman" w:cs="Times New Roman"/>
          <w:szCs w:val="24"/>
          <w:lang w:val="en-US" w:eastAsia="en-GB"/>
        </w:rPr>
        <w:t>org</w:t>
      </w:r>
    </w:p>
    <w:p w:rsidR="00297886" w:rsidRPr="006B475F" w:rsidRDefault="00297886" w:rsidP="006B475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/>
        <w:rPr>
          <w:rFonts w:eastAsia="Times New Roman" w:cs="Times New Roman"/>
          <w:color w:val="4A4A4A"/>
          <w:szCs w:val="24"/>
          <w:lang w:eastAsia="en-GB"/>
        </w:rPr>
      </w:pPr>
      <w:r w:rsidRPr="006B475F">
        <w:rPr>
          <w:rFonts w:eastAsia="Times New Roman" w:cs="Times New Roman"/>
          <w:color w:val="4A4A4A"/>
          <w:szCs w:val="24"/>
          <w:lang w:val="en-US" w:eastAsia="en-GB"/>
        </w:rPr>
        <w:t>GOA</w:t>
      </w:r>
      <w:r w:rsidRPr="006B475F">
        <w:rPr>
          <w:rFonts w:eastAsia="Times New Roman" w:cs="Times New Roman"/>
          <w:color w:val="4A4A4A"/>
          <w:szCs w:val="24"/>
          <w:lang w:eastAsia="en-GB"/>
        </w:rPr>
        <w:t>-</w:t>
      </w:r>
      <w:r w:rsidRPr="006B475F">
        <w:rPr>
          <w:rFonts w:eastAsia="Times New Roman" w:cs="Times New Roman"/>
          <w:color w:val="4A4A4A"/>
          <w:szCs w:val="24"/>
          <w:lang w:val="en-US" w:eastAsia="en-GB"/>
        </w:rPr>
        <w:t>ON</w:t>
      </w:r>
      <w:r w:rsidRPr="006B475F">
        <w:rPr>
          <w:rFonts w:eastAsia="Times New Roman" w:cs="Times New Roman"/>
          <w:color w:val="4A4A4A"/>
          <w:szCs w:val="24"/>
          <w:lang w:eastAsia="en-GB"/>
        </w:rPr>
        <w:tab/>
      </w:r>
      <w:r w:rsidRPr="006B475F">
        <w:rPr>
          <w:rFonts w:eastAsia="Times New Roman" w:cs="Times New Roman"/>
          <w:color w:val="4A4A4A"/>
          <w:szCs w:val="24"/>
          <w:lang w:eastAsia="en-GB"/>
        </w:rPr>
        <w:tab/>
      </w:r>
      <w:r w:rsidRPr="006B475F">
        <w:rPr>
          <w:rFonts w:eastAsia="Times New Roman" w:cs="Times New Roman"/>
          <w:color w:val="4A4A4A"/>
          <w:szCs w:val="24"/>
          <w:lang w:eastAsia="en-GB"/>
        </w:rPr>
        <w:tab/>
      </w:r>
      <w:r w:rsidRPr="006B475F">
        <w:rPr>
          <w:rFonts w:eastAsia="Times New Roman" w:cs="Times New Roman"/>
          <w:color w:val="4A4A4A"/>
          <w:szCs w:val="24"/>
          <w:lang w:eastAsia="en-GB"/>
        </w:rPr>
        <w:tab/>
      </w:r>
      <w:r w:rsidRPr="006B475F">
        <w:rPr>
          <w:rFonts w:eastAsia="Times New Roman" w:cs="Times New Roman"/>
          <w:color w:val="4A4A4A"/>
          <w:szCs w:val="24"/>
          <w:lang w:eastAsia="en-GB"/>
        </w:rPr>
        <w:tab/>
      </w:r>
      <w:r w:rsidRPr="006B475F">
        <w:rPr>
          <w:rFonts w:eastAsia="Times New Roman" w:cs="Times New Roman"/>
          <w:color w:val="4A4A4A"/>
          <w:szCs w:val="24"/>
          <w:lang w:eastAsia="en-GB"/>
        </w:rPr>
        <w:tab/>
      </w:r>
      <w:hyperlink r:id="rId38" w:history="1">
        <w:r w:rsidRPr="006B475F">
          <w:rPr>
            <w:rStyle w:val="ac"/>
            <w:rFonts w:eastAsia="Times New Roman" w:cs="Times New Roman"/>
            <w:szCs w:val="24"/>
            <w:lang w:val="en-US" w:eastAsia="en-GB"/>
          </w:rPr>
          <w:t>http</w:t>
        </w:r>
        <w:r w:rsidRPr="006B475F">
          <w:rPr>
            <w:rStyle w:val="ac"/>
            <w:rFonts w:eastAsia="Times New Roman" w:cs="Times New Roman"/>
            <w:szCs w:val="24"/>
            <w:lang w:eastAsia="en-GB"/>
          </w:rPr>
          <w:t>://</w:t>
        </w:r>
        <w:r w:rsidRPr="006B475F">
          <w:rPr>
            <w:rStyle w:val="ac"/>
            <w:rFonts w:eastAsia="Times New Roman" w:cs="Times New Roman"/>
            <w:szCs w:val="24"/>
            <w:lang w:val="en-US" w:eastAsia="en-GB"/>
          </w:rPr>
          <w:t>goa</w:t>
        </w:r>
        <w:r w:rsidRPr="006B475F">
          <w:rPr>
            <w:rStyle w:val="ac"/>
            <w:rFonts w:eastAsia="Times New Roman" w:cs="Times New Roman"/>
            <w:szCs w:val="24"/>
            <w:lang w:eastAsia="en-GB"/>
          </w:rPr>
          <w:t>-</w:t>
        </w:r>
        <w:r w:rsidRPr="006B475F">
          <w:rPr>
            <w:rStyle w:val="ac"/>
            <w:rFonts w:eastAsia="Times New Roman" w:cs="Times New Roman"/>
            <w:szCs w:val="24"/>
            <w:lang w:val="en-US" w:eastAsia="en-GB"/>
          </w:rPr>
          <w:t>on</w:t>
        </w:r>
        <w:r w:rsidRPr="006B475F">
          <w:rPr>
            <w:rStyle w:val="ac"/>
            <w:rFonts w:eastAsia="Times New Roman" w:cs="Times New Roman"/>
            <w:szCs w:val="24"/>
            <w:lang w:eastAsia="en-GB"/>
          </w:rPr>
          <w:t>.</w:t>
        </w:r>
        <w:r w:rsidRPr="006B475F">
          <w:rPr>
            <w:rStyle w:val="ac"/>
            <w:rFonts w:eastAsia="Times New Roman" w:cs="Times New Roman"/>
            <w:szCs w:val="24"/>
            <w:lang w:val="en-US" w:eastAsia="en-GB"/>
          </w:rPr>
          <w:t>org</w:t>
        </w:r>
        <w:r w:rsidRPr="006B475F">
          <w:rPr>
            <w:rStyle w:val="ac"/>
            <w:rFonts w:eastAsia="Times New Roman" w:cs="Times New Roman"/>
            <w:szCs w:val="24"/>
            <w:lang w:eastAsia="en-GB"/>
          </w:rPr>
          <w:t>/</w:t>
        </w:r>
      </w:hyperlink>
    </w:p>
    <w:p w:rsidR="00297886" w:rsidRPr="006B475F" w:rsidRDefault="00297886" w:rsidP="006B475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/>
        <w:rPr>
          <w:rFonts w:eastAsia="Times New Roman" w:cs="Times New Roman"/>
          <w:color w:val="4A4A4A"/>
          <w:szCs w:val="24"/>
          <w:lang w:val="en-US" w:eastAsia="en-GB"/>
        </w:rPr>
      </w:pPr>
      <w:r w:rsidRPr="006B475F">
        <w:rPr>
          <w:rFonts w:eastAsia="Times New Roman" w:cs="Times New Roman"/>
          <w:color w:val="4A4A4A"/>
          <w:szCs w:val="24"/>
          <w:lang w:val="en-US" w:eastAsia="en-GB"/>
        </w:rPr>
        <w:t xml:space="preserve">GOA-ON data portal </w:t>
      </w:r>
      <w:r w:rsidRPr="006B475F">
        <w:rPr>
          <w:rFonts w:eastAsia="Times New Roman" w:cs="Times New Roman"/>
          <w:color w:val="4A4A4A"/>
          <w:szCs w:val="24"/>
          <w:lang w:val="en-US" w:eastAsia="en-GB"/>
        </w:rPr>
        <w:tab/>
      </w:r>
      <w:r w:rsidRPr="006B475F">
        <w:rPr>
          <w:rFonts w:eastAsia="Times New Roman" w:cs="Times New Roman"/>
          <w:color w:val="4A4A4A"/>
          <w:szCs w:val="24"/>
          <w:lang w:val="en-US" w:eastAsia="en-GB"/>
        </w:rPr>
        <w:tab/>
      </w:r>
      <w:r w:rsidRPr="006B475F">
        <w:rPr>
          <w:rFonts w:eastAsia="Times New Roman" w:cs="Times New Roman"/>
          <w:color w:val="4A4A4A"/>
          <w:szCs w:val="24"/>
          <w:lang w:val="en-US" w:eastAsia="en-GB"/>
        </w:rPr>
        <w:tab/>
      </w:r>
      <w:r w:rsidRPr="006B475F">
        <w:rPr>
          <w:rFonts w:eastAsia="Times New Roman" w:cs="Times New Roman"/>
          <w:color w:val="4A4A4A"/>
          <w:szCs w:val="24"/>
          <w:lang w:val="en-US" w:eastAsia="en-GB"/>
        </w:rPr>
        <w:tab/>
      </w:r>
      <w:r w:rsidRPr="006B475F">
        <w:rPr>
          <w:rFonts w:eastAsia="Times New Roman" w:cs="Times New Roman"/>
          <w:color w:val="4A4A4A"/>
          <w:szCs w:val="24"/>
          <w:lang w:val="en-US" w:eastAsia="en-GB"/>
        </w:rPr>
        <w:tab/>
      </w:r>
      <w:hyperlink r:id="rId39" w:history="1">
        <w:r w:rsidRPr="006B475F">
          <w:rPr>
            <w:rStyle w:val="ac"/>
            <w:rFonts w:eastAsia="Times New Roman" w:cs="Times New Roman"/>
            <w:szCs w:val="24"/>
            <w:lang w:val="en-US" w:eastAsia="en-GB"/>
          </w:rPr>
          <w:t>http://portal.goa-on.org/</w:t>
        </w:r>
      </w:hyperlink>
    </w:p>
    <w:p w:rsidR="00297886" w:rsidRPr="006B475F" w:rsidRDefault="00297886" w:rsidP="002978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040" w:hanging="5040"/>
        <w:rPr>
          <w:szCs w:val="24"/>
          <w:lang w:val="fr-FR"/>
        </w:rPr>
      </w:pPr>
      <w:r w:rsidRPr="006B475F">
        <w:rPr>
          <w:color w:val="4A4A4A"/>
          <w:szCs w:val="24"/>
          <w:lang w:val="fr-FR"/>
        </w:rPr>
        <w:t>Document IOC/EC-LI/2 Annex 6 -14.3.1 Methodology</w:t>
      </w:r>
      <w:r w:rsidRPr="006B475F">
        <w:rPr>
          <w:bCs/>
          <w:szCs w:val="24"/>
          <w:lang w:val="fr-FR"/>
        </w:rPr>
        <w:tab/>
      </w:r>
      <w:hyperlink r:id="rId40" w:history="1">
        <w:r w:rsidRPr="006B475F">
          <w:rPr>
            <w:rStyle w:val="ac"/>
            <w:szCs w:val="24"/>
            <w:lang w:val="fr-FR"/>
          </w:rPr>
          <w:t>http://ioc-unesco.org/index.php?option=com_oe&amp;task=viewDocumentRecord&amp;docID=21938</w:t>
        </w:r>
      </w:hyperlink>
    </w:p>
    <w:p w:rsidR="005F0ADE" w:rsidRPr="006B475F" w:rsidRDefault="00297886" w:rsidP="002978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040" w:hanging="5040"/>
        <w:rPr>
          <w:szCs w:val="24"/>
          <w:lang w:val="en-US"/>
        </w:rPr>
      </w:pPr>
      <w:r w:rsidRPr="006B475F">
        <w:rPr>
          <w:color w:val="4A4A4A"/>
          <w:szCs w:val="24"/>
          <w:lang w:val="fr-FR"/>
        </w:rPr>
        <w:t>Document IOC-XXIX/2Annex 14</w:t>
      </w:r>
      <w:r w:rsidRPr="006B475F">
        <w:rPr>
          <w:szCs w:val="24"/>
          <w:lang w:val="fr-FR"/>
        </w:rPr>
        <w:tab/>
      </w:r>
      <w:hyperlink r:id="rId41" w:history="1">
        <w:r w:rsidRPr="006B475F">
          <w:rPr>
            <w:rStyle w:val="ac"/>
            <w:szCs w:val="24"/>
            <w:lang w:val="fr-FR"/>
          </w:rPr>
          <w:t>http://www.ioc-unesco.org/index.php?option=com_oe&amp;task=viewDocumentRecord&amp;docID=19589</w:t>
        </w:r>
      </w:hyperlink>
    </w:p>
    <w:p w:rsidR="005F0ADE" w:rsidRPr="00952183" w:rsidRDefault="00297886" w:rsidP="00297886">
      <w:pPr>
        <w:rPr>
          <w:b/>
          <w:lang w:val="en-US"/>
        </w:rPr>
      </w:pPr>
      <w:r>
        <w:rPr>
          <w:b/>
        </w:rPr>
        <w:t>Использованные</w:t>
      </w:r>
      <w:r w:rsidRPr="00952183">
        <w:rPr>
          <w:b/>
          <w:lang w:val="en-US"/>
        </w:rPr>
        <w:t xml:space="preserve"> </w:t>
      </w:r>
      <w:r>
        <w:rPr>
          <w:b/>
        </w:rPr>
        <w:t>документы</w:t>
      </w:r>
      <w:r w:rsidRPr="00952183">
        <w:rPr>
          <w:b/>
          <w:lang w:val="en-US"/>
        </w:rPr>
        <w:t>:</w:t>
      </w:r>
    </w:p>
    <w:p w:rsidR="005F0ADE" w:rsidRPr="00952183" w:rsidRDefault="005F0ADE" w:rsidP="00297886">
      <w:pPr>
        <w:rPr>
          <w:szCs w:val="24"/>
          <w:lang w:val="en-US"/>
        </w:rPr>
      </w:pPr>
      <w:proofErr w:type="gramStart"/>
      <w:r w:rsidRPr="00952183">
        <w:rPr>
          <w:szCs w:val="24"/>
          <w:lang w:val="en-US"/>
        </w:rPr>
        <w:t xml:space="preserve">Dickson, A.G., Sabine, C.L. and Christian, J.R. (Eds.) </w:t>
      </w:r>
      <w:r w:rsidRPr="00297886">
        <w:rPr>
          <w:szCs w:val="24"/>
        </w:rPr>
        <w:t xml:space="preserve">(2007) </w:t>
      </w:r>
      <w:r w:rsidR="00297886" w:rsidRPr="00297886">
        <w:rPr>
          <w:rStyle w:val="af4"/>
          <w:szCs w:val="24"/>
        </w:rPr>
        <w:t>Руководство по передовым методам измерения CO2 в океане.</w:t>
      </w:r>
      <w:proofErr w:type="gramEnd"/>
      <w:r w:rsidR="00297886" w:rsidRPr="00297886">
        <w:rPr>
          <w:rStyle w:val="af4"/>
          <w:szCs w:val="24"/>
        </w:rPr>
        <w:t xml:space="preserve"> Специальная</w:t>
      </w:r>
      <w:r w:rsidR="00297886" w:rsidRPr="00952183">
        <w:rPr>
          <w:rStyle w:val="af4"/>
          <w:szCs w:val="24"/>
          <w:lang w:val="en-US"/>
        </w:rPr>
        <w:t xml:space="preserve"> </w:t>
      </w:r>
      <w:r w:rsidR="00297886" w:rsidRPr="00297886">
        <w:rPr>
          <w:rStyle w:val="af4"/>
          <w:szCs w:val="24"/>
        </w:rPr>
        <w:t>публикация</w:t>
      </w:r>
      <w:r w:rsidR="00297886" w:rsidRPr="00952183">
        <w:rPr>
          <w:rStyle w:val="af4"/>
          <w:szCs w:val="24"/>
          <w:lang w:val="en-US"/>
        </w:rPr>
        <w:t xml:space="preserve"> PICES </w:t>
      </w:r>
      <w:r w:rsidRPr="00952183">
        <w:rPr>
          <w:szCs w:val="24"/>
          <w:lang w:val="en-US"/>
        </w:rPr>
        <w:t>3, 191 pp.</w:t>
      </w:r>
    </w:p>
    <w:p w:rsidR="005F0ADE" w:rsidRPr="00297886" w:rsidRDefault="005F0ADE" w:rsidP="00297886">
      <w:pPr>
        <w:rPr>
          <w:szCs w:val="24"/>
        </w:rPr>
      </w:pPr>
      <w:r w:rsidRPr="00952183">
        <w:rPr>
          <w:szCs w:val="24"/>
          <w:lang w:val="en-US"/>
        </w:rPr>
        <w:t xml:space="preserve">Feely, R. A., Byrne, R. H., Acker, J. G., </w:t>
      </w:r>
      <w:proofErr w:type="spellStart"/>
      <w:r w:rsidRPr="00952183">
        <w:rPr>
          <w:szCs w:val="24"/>
          <w:lang w:val="en-US"/>
        </w:rPr>
        <w:t>Betzer</w:t>
      </w:r>
      <w:proofErr w:type="spellEnd"/>
      <w:r w:rsidRPr="00952183">
        <w:rPr>
          <w:szCs w:val="24"/>
          <w:lang w:val="en-US"/>
        </w:rPr>
        <w:t xml:space="preserve">, P. R., Chen, C. T. A., </w:t>
      </w:r>
      <w:proofErr w:type="spellStart"/>
      <w:r w:rsidRPr="00952183">
        <w:rPr>
          <w:szCs w:val="24"/>
          <w:lang w:val="en-US"/>
        </w:rPr>
        <w:t>Gendron</w:t>
      </w:r>
      <w:proofErr w:type="spellEnd"/>
      <w:r w:rsidRPr="00952183">
        <w:rPr>
          <w:szCs w:val="24"/>
          <w:lang w:val="en-US"/>
        </w:rPr>
        <w:t xml:space="preserve">, J. F., &amp; Lamb, M. F. (1988). </w:t>
      </w:r>
      <w:r w:rsidR="00333E19" w:rsidRPr="00333E19">
        <w:rPr>
          <w:szCs w:val="24"/>
        </w:rPr>
        <w:t>Зимне-летние вариации насыщенности кальцитом и арагонитом в северо-восточной части Тихого океана. Морская химия</w:t>
      </w:r>
      <w:r w:rsidRPr="00297886">
        <w:rPr>
          <w:szCs w:val="24"/>
        </w:rPr>
        <w:t>, 25(3), 227-241.</w:t>
      </w:r>
    </w:p>
    <w:p w:rsidR="005F0ADE" w:rsidRPr="00297886" w:rsidRDefault="00333E19" w:rsidP="00297886">
      <w:pPr>
        <w:rPr>
          <w:szCs w:val="24"/>
        </w:rPr>
      </w:pPr>
      <w:r w:rsidRPr="00333E19">
        <w:rPr>
          <w:szCs w:val="24"/>
        </w:rPr>
        <w:t>Межправительственная океанографическая комиссия. Критерии и рекомендации МОК по передаче морских технологий (CGTMT)</w:t>
      </w:r>
      <w:r w:rsidR="005F0ADE" w:rsidRPr="00297886">
        <w:rPr>
          <w:i/>
          <w:szCs w:val="24"/>
        </w:rPr>
        <w:t xml:space="preserve">/ </w:t>
      </w:r>
      <w:proofErr w:type="spellStart"/>
      <w:r w:rsidR="005F0ADE" w:rsidRPr="00297886">
        <w:rPr>
          <w:i/>
          <w:szCs w:val="24"/>
        </w:rPr>
        <w:t>Critères</w:t>
      </w:r>
      <w:proofErr w:type="spellEnd"/>
      <w:r w:rsidR="005F0ADE" w:rsidRPr="00297886">
        <w:rPr>
          <w:i/>
          <w:szCs w:val="24"/>
        </w:rPr>
        <w:t xml:space="preserve"> </w:t>
      </w:r>
      <w:proofErr w:type="spellStart"/>
      <w:r w:rsidR="005F0ADE" w:rsidRPr="00297886">
        <w:rPr>
          <w:i/>
          <w:szCs w:val="24"/>
        </w:rPr>
        <w:t>et</w:t>
      </w:r>
      <w:proofErr w:type="spellEnd"/>
      <w:r w:rsidR="005F0ADE" w:rsidRPr="00297886">
        <w:rPr>
          <w:i/>
          <w:szCs w:val="24"/>
        </w:rPr>
        <w:t xml:space="preserve"> </w:t>
      </w:r>
      <w:proofErr w:type="spellStart"/>
      <w:r w:rsidR="005F0ADE" w:rsidRPr="00297886">
        <w:rPr>
          <w:i/>
          <w:szCs w:val="24"/>
        </w:rPr>
        <w:t>principes</w:t>
      </w:r>
      <w:proofErr w:type="spellEnd"/>
      <w:r w:rsidR="005F0ADE" w:rsidRPr="00297886">
        <w:rPr>
          <w:i/>
          <w:szCs w:val="24"/>
        </w:rPr>
        <w:t xml:space="preserve"> </w:t>
      </w:r>
      <w:proofErr w:type="spellStart"/>
      <w:r w:rsidR="005F0ADE" w:rsidRPr="00297886">
        <w:rPr>
          <w:i/>
          <w:szCs w:val="24"/>
        </w:rPr>
        <w:t>directeurs</w:t>
      </w:r>
      <w:proofErr w:type="spellEnd"/>
      <w:r w:rsidR="005F0ADE" w:rsidRPr="00297886">
        <w:rPr>
          <w:i/>
          <w:szCs w:val="24"/>
        </w:rPr>
        <w:t xml:space="preserve"> </w:t>
      </w:r>
      <w:proofErr w:type="spellStart"/>
      <w:r w:rsidR="005F0ADE" w:rsidRPr="00297886">
        <w:rPr>
          <w:i/>
          <w:szCs w:val="24"/>
        </w:rPr>
        <w:t>de</w:t>
      </w:r>
      <w:proofErr w:type="spellEnd"/>
      <w:r w:rsidR="005F0ADE" w:rsidRPr="00297886">
        <w:rPr>
          <w:i/>
          <w:szCs w:val="24"/>
        </w:rPr>
        <w:t xml:space="preserve"> </w:t>
      </w:r>
      <w:proofErr w:type="spellStart"/>
      <w:r w:rsidR="005F0ADE" w:rsidRPr="00297886">
        <w:rPr>
          <w:i/>
          <w:szCs w:val="24"/>
        </w:rPr>
        <w:t>la</w:t>
      </w:r>
      <w:proofErr w:type="spellEnd"/>
      <w:r w:rsidR="005F0ADE" w:rsidRPr="00297886">
        <w:rPr>
          <w:i/>
          <w:szCs w:val="24"/>
        </w:rPr>
        <w:t xml:space="preserve"> COI </w:t>
      </w:r>
      <w:proofErr w:type="spellStart"/>
      <w:r w:rsidR="005F0ADE" w:rsidRPr="00297886">
        <w:rPr>
          <w:i/>
          <w:szCs w:val="24"/>
        </w:rPr>
        <w:t>concernant</w:t>
      </w:r>
      <w:proofErr w:type="spellEnd"/>
      <w:r w:rsidR="005F0ADE" w:rsidRPr="00297886">
        <w:rPr>
          <w:i/>
          <w:szCs w:val="24"/>
        </w:rPr>
        <w:t xml:space="preserve"> </w:t>
      </w:r>
      <w:proofErr w:type="spellStart"/>
      <w:r w:rsidR="005F0ADE" w:rsidRPr="00297886">
        <w:rPr>
          <w:i/>
          <w:szCs w:val="24"/>
        </w:rPr>
        <w:t>le</w:t>
      </w:r>
      <w:proofErr w:type="spellEnd"/>
      <w:r w:rsidR="005F0ADE" w:rsidRPr="00297886">
        <w:rPr>
          <w:i/>
          <w:szCs w:val="24"/>
        </w:rPr>
        <w:t xml:space="preserve"> </w:t>
      </w:r>
      <w:proofErr w:type="spellStart"/>
      <w:r w:rsidR="005F0ADE" w:rsidRPr="00297886">
        <w:rPr>
          <w:i/>
          <w:szCs w:val="24"/>
        </w:rPr>
        <w:t>Transfert</w:t>
      </w:r>
      <w:proofErr w:type="spellEnd"/>
      <w:r w:rsidR="005F0ADE" w:rsidRPr="00297886">
        <w:rPr>
          <w:i/>
          <w:szCs w:val="24"/>
        </w:rPr>
        <w:t xml:space="preserve"> </w:t>
      </w:r>
      <w:proofErr w:type="spellStart"/>
      <w:r w:rsidR="005F0ADE" w:rsidRPr="00297886">
        <w:rPr>
          <w:i/>
          <w:szCs w:val="24"/>
        </w:rPr>
        <w:t>de</w:t>
      </w:r>
      <w:proofErr w:type="spellEnd"/>
      <w:r w:rsidR="005F0ADE" w:rsidRPr="00297886">
        <w:rPr>
          <w:i/>
          <w:szCs w:val="24"/>
        </w:rPr>
        <w:t xml:space="preserve"> </w:t>
      </w:r>
      <w:proofErr w:type="spellStart"/>
      <w:r w:rsidR="005F0ADE" w:rsidRPr="00297886">
        <w:rPr>
          <w:i/>
          <w:szCs w:val="24"/>
        </w:rPr>
        <w:t>Techniques</w:t>
      </w:r>
      <w:proofErr w:type="spellEnd"/>
      <w:r w:rsidR="005F0ADE" w:rsidRPr="00297886">
        <w:rPr>
          <w:i/>
          <w:szCs w:val="24"/>
        </w:rPr>
        <w:t xml:space="preserve"> Marines (CPTTM)</w:t>
      </w:r>
      <w:r w:rsidR="005F0ADE" w:rsidRPr="00297886">
        <w:rPr>
          <w:szCs w:val="24"/>
        </w:rPr>
        <w:t>. Paris, UNESCO, 2005. 68pp. (IOC Information document, 1203)</w:t>
      </w:r>
    </w:p>
    <w:p w:rsidR="005F0ADE" w:rsidRPr="00297886" w:rsidRDefault="005F0ADE" w:rsidP="00297886">
      <w:pPr>
        <w:rPr>
          <w:szCs w:val="24"/>
        </w:rPr>
      </w:pPr>
      <w:r w:rsidRPr="00297886">
        <w:rPr>
          <w:szCs w:val="24"/>
          <w:lang w:val="en-US"/>
        </w:rPr>
        <w:t>McLaughlin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K</w:t>
      </w:r>
      <w:r w:rsidRPr="00333E19">
        <w:rPr>
          <w:szCs w:val="24"/>
        </w:rPr>
        <w:t xml:space="preserve">., </w:t>
      </w:r>
      <w:r w:rsidRPr="00297886">
        <w:rPr>
          <w:szCs w:val="24"/>
          <w:lang w:val="en-US"/>
        </w:rPr>
        <w:t>Weisberg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S</w:t>
      </w:r>
      <w:r w:rsidRPr="00333E19">
        <w:rPr>
          <w:szCs w:val="24"/>
        </w:rPr>
        <w:t>.</w:t>
      </w:r>
      <w:r w:rsidRPr="00297886">
        <w:rPr>
          <w:szCs w:val="24"/>
          <w:lang w:val="en-US"/>
        </w:rPr>
        <w:t>B</w:t>
      </w:r>
      <w:r w:rsidRPr="00333E19">
        <w:rPr>
          <w:szCs w:val="24"/>
        </w:rPr>
        <w:t xml:space="preserve">., </w:t>
      </w:r>
      <w:r w:rsidRPr="00297886">
        <w:rPr>
          <w:szCs w:val="24"/>
          <w:lang w:val="en-US"/>
        </w:rPr>
        <w:t>Dickson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A</w:t>
      </w:r>
      <w:r w:rsidRPr="00333E19">
        <w:rPr>
          <w:szCs w:val="24"/>
        </w:rPr>
        <w:t>.</w:t>
      </w:r>
      <w:r w:rsidRPr="00297886">
        <w:rPr>
          <w:szCs w:val="24"/>
          <w:lang w:val="en-US"/>
        </w:rPr>
        <w:t>G</w:t>
      </w:r>
      <w:r w:rsidRPr="00333E19">
        <w:rPr>
          <w:szCs w:val="24"/>
        </w:rPr>
        <w:t xml:space="preserve">., </w:t>
      </w:r>
      <w:r w:rsidRPr="00297886">
        <w:rPr>
          <w:szCs w:val="24"/>
          <w:lang w:val="en-US"/>
        </w:rPr>
        <w:t>Hofmann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G</w:t>
      </w:r>
      <w:r w:rsidRPr="00333E19">
        <w:rPr>
          <w:szCs w:val="24"/>
        </w:rPr>
        <w:t>.</w:t>
      </w:r>
      <w:r w:rsidRPr="00297886">
        <w:rPr>
          <w:szCs w:val="24"/>
          <w:lang w:val="en-US"/>
        </w:rPr>
        <w:t>E</w:t>
      </w:r>
      <w:r w:rsidRPr="00333E19">
        <w:rPr>
          <w:szCs w:val="24"/>
        </w:rPr>
        <w:t xml:space="preserve">., </w:t>
      </w:r>
      <w:r w:rsidRPr="00297886">
        <w:rPr>
          <w:szCs w:val="24"/>
          <w:lang w:val="en-US"/>
        </w:rPr>
        <w:t>Newton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J</w:t>
      </w:r>
      <w:r w:rsidRPr="00333E19">
        <w:rPr>
          <w:szCs w:val="24"/>
        </w:rPr>
        <w:t>.</w:t>
      </w:r>
      <w:r w:rsidRPr="00297886">
        <w:rPr>
          <w:szCs w:val="24"/>
          <w:lang w:val="en-US"/>
        </w:rPr>
        <w:t>A</w:t>
      </w:r>
      <w:r w:rsidRPr="00333E19">
        <w:rPr>
          <w:szCs w:val="24"/>
        </w:rPr>
        <w:t xml:space="preserve">., </w:t>
      </w:r>
      <w:proofErr w:type="spellStart"/>
      <w:r w:rsidRPr="00297886">
        <w:rPr>
          <w:szCs w:val="24"/>
          <w:lang w:val="en-US"/>
        </w:rPr>
        <w:t>Aseltine</w:t>
      </w:r>
      <w:proofErr w:type="spellEnd"/>
      <w:r w:rsidRPr="00333E19">
        <w:rPr>
          <w:szCs w:val="24"/>
        </w:rPr>
        <w:t>-</w:t>
      </w:r>
      <w:r w:rsidRPr="00297886">
        <w:rPr>
          <w:szCs w:val="24"/>
          <w:lang w:val="en-US"/>
        </w:rPr>
        <w:t>Neilson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D</w:t>
      </w:r>
      <w:r w:rsidRPr="00333E19">
        <w:rPr>
          <w:szCs w:val="24"/>
        </w:rPr>
        <w:t xml:space="preserve">., </w:t>
      </w:r>
      <w:r w:rsidRPr="00297886">
        <w:rPr>
          <w:szCs w:val="24"/>
          <w:lang w:val="en-US"/>
        </w:rPr>
        <w:t>Barton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A</w:t>
      </w:r>
      <w:r w:rsidRPr="00333E19">
        <w:rPr>
          <w:szCs w:val="24"/>
        </w:rPr>
        <w:t xml:space="preserve">., </w:t>
      </w:r>
      <w:proofErr w:type="spellStart"/>
      <w:r w:rsidRPr="00297886">
        <w:rPr>
          <w:szCs w:val="24"/>
          <w:lang w:val="en-US"/>
        </w:rPr>
        <w:t>Cudd</w:t>
      </w:r>
      <w:proofErr w:type="spellEnd"/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S</w:t>
      </w:r>
      <w:r w:rsidRPr="00333E19">
        <w:rPr>
          <w:szCs w:val="24"/>
        </w:rPr>
        <w:t xml:space="preserve">., </w:t>
      </w:r>
      <w:r w:rsidRPr="00297886">
        <w:rPr>
          <w:szCs w:val="24"/>
          <w:lang w:val="en-US"/>
        </w:rPr>
        <w:t>Feely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R</w:t>
      </w:r>
      <w:r w:rsidRPr="00333E19">
        <w:rPr>
          <w:szCs w:val="24"/>
        </w:rPr>
        <w:t>.</w:t>
      </w:r>
      <w:r w:rsidRPr="00297886">
        <w:rPr>
          <w:szCs w:val="24"/>
          <w:lang w:val="en-US"/>
        </w:rPr>
        <w:t>A</w:t>
      </w:r>
      <w:r w:rsidRPr="00333E19">
        <w:rPr>
          <w:szCs w:val="24"/>
        </w:rPr>
        <w:t xml:space="preserve">., </w:t>
      </w:r>
      <w:r w:rsidRPr="00297886">
        <w:rPr>
          <w:szCs w:val="24"/>
          <w:lang w:val="en-US"/>
        </w:rPr>
        <w:t>R</w:t>
      </w:r>
      <w:r w:rsidRPr="00333E19">
        <w:rPr>
          <w:szCs w:val="24"/>
        </w:rPr>
        <w:t>.</w:t>
      </w:r>
      <w:r w:rsidRPr="00297886">
        <w:rPr>
          <w:szCs w:val="24"/>
          <w:lang w:val="en-US"/>
        </w:rPr>
        <w:t>A</w:t>
      </w:r>
      <w:r w:rsidRPr="00333E19">
        <w:rPr>
          <w:szCs w:val="24"/>
        </w:rPr>
        <w:t xml:space="preserve">. </w:t>
      </w:r>
      <w:proofErr w:type="spellStart"/>
      <w:r w:rsidRPr="00297886">
        <w:rPr>
          <w:szCs w:val="24"/>
          <w:lang w:val="en-US"/>
        </w:rPr>
        <w:t>Jefferds</w:t>
      </w:r>
      <w:proofErr w:type="spellEnd"/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R</w:t>
      </w:r>
      <w:r w:rsidRPr="00333E19">
        <w:rPr>
          <w:szCs w:val="24"/>
        </w:rPr>
        <w:t>.</w:t>
      </w:r>
      <w:r w:rsidRPr="00297886">
        <w:rPr>
          <w:szCs w:val="24"/>
          <w:lang w:val="en-US"/>
        </w:rPr>
        <w:t>A</w:t>
      </w:r>
      <w:r w:rsidRPr="00333E19">
        <w:rPr>
          <w:szCs w:val="24"/>
        </w:rPr>
        <w:t xml:space="preserve">., </w:t>
      </w:r>
      <w:r w:rsidRPr="00297886">
        <w:rPr>
          <w:szCs w:val="24"/>
          <w:lang w:val="en-US"/>
        </w:rPr>
        <w:t>Jewett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E</w:t>
      </w:r>
      <w:r w:rsidRPr="00333E19">
        <w:rPr>
          <w:szCs w:val="24"/>
        </w:rPr>
        <w:t>.</w:t>
      </w:r>
      <w:r w:rsidRPr="00297886">
        <w:rPr>
          <w:szCs w:val="24"/>
          <w:lang w:val="en-US"/>
        </w:rPr>
        <w:t>B</w:t>
      </w:r>
      <w:r w:rsidRPr="00333E19">
        <w:rPr>
          <w:szCs w:val="24"/>
        </w:rPr>
        <w:t xml:space="preserve">., </w:t>
      </w:r>
      <w:r w:rsidRPr="00297886">
        <w:rPr>
          <w:szCs w:val="24"/>
          <w:lang w:val="en-US"/>
        </w:rPr>
        <w:t>King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T</w:t>
      </w:r>
      <w:r w:rsidRPr="00333E19">
        <w:rPr>
          <w:szCs w:val="24"/>
        </w:rPr>
        <w:t xml:space="preserve">., </w:t>
      </w:r>
      <w:r w:rsidRPr="00297886">
        <w:rPr>
          <w:szCs w:val="24"/>
          <w:lang w:val="en-US"/>
        </w:rPr>
        <w:t>Langdon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C</w:t>
      </w:r>
      <w:r w:rsidRPr="00333E19">
        <w:rPr>
          <w:szCs w:val="24"/>
        </w:rPr>
        <w:t>.</w:t>
      </w:r>
      <w:r w:rsidRPr="00297886">
        <w:rPr>
          <w:szCs w:val="24"/>
          <w:lang w:val="en-US"/>
        </w:rPr>
        <w:t>J</w:t>
      </w:r>
      <w:r w:rsidRPr="00333E19">
        <w:rPr>
          <w:szCs w:val="24"/>
        </w:rPr>
        <w:t xml:space="preserve">., </w:t>
      </w:r>
      <w:r w:rsidRPr="00297886">
        <w:rPr>
          <w:szCs w:val="24"/>
          <w:lang w:val="en-US"/>
        </w:rPr>
        <w:t>McAfee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S</w:t>
      </w:r>
      <w:r w:rsidRPr="00333E19">
        <w:rPr>
          <w:szCs w:val="24"/>
        </w:rPr>
        <w:t xml:space="preserve">., </w:t>
      </w:r>
      <w:proofErr w:type="spellStart"/>
      <w:r w:rsidRPr="00297886">
        <w:rPr>
          <w:szCs w:val="24"/>
          <w:lang w:val="en-US"/>
        </w:rPr>
        <w:t>Pleschner</w:t>
      </w:r>
      <w:proofErr w:type="spellEnd"/>
      <w:r w:rsidRPr="00333E19">
        <w:rPr>
          <w:szCs w:val="24"/>
        </w:rPr>
        <w:t>-</w:t>
      </w:r>
      <w:r w:rsidRPr="00297886">
        <w:rPr>
          <w:szCs w:val="24"/>
          <w:lang w:val="en-US"/>
        </w:rPr>
        <w:t>Steele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D</w:t>
      </w:r>
      <w:r w:rsidRPr="00333E19">
        <w:rPr>
          <w:szCs w:val="24"/>
        </w:rPr>
        <w:t xml:space="preserve">. </w:t>
      </w:r>
      <w:r w:rsidRPr="00297886">
        <w:rPr>
          <w:szCs w:val="24"/>
          <w:lang w:val="en-US"/>
        </w:rPr>
        <w:t>and</w:t>
      </w:r>
      <w:r w:rsidRPr="00333E19">
        <w:rPr>
          <w:szCs w:val="24"/>
        </w:rPr>
        <w:t xml:space="preserve"> </w:t>
      </w:r>
      <w:r w:rsidRPr="00297886">
        <w:rPr>
          <w:szCs w:val="24"/>
          <w:lang w:val="en-US"/>
        </w:rPr>
        <w:t>Steele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B</w:t>
      </w:r>
      <w:r w:rsidRPr="00333E19">
        <w:rPr>
          <w:szCs w:val="24"/>
        </w:rPr>
        <w:t xml:space="preserve">. (2015) </w:t>
      </w:r>
      <w:r w:rsidR="00333E19" w:rsidRPr="00333E19">
        <w:rPr>
          <w:szCs w:val="24"/>
        </w:rPr>
        <w:t xml:space="preserve">Основные принципы Калифорнийской сети текущего окисления: связь химии, физики и экологических эффектов. Океанография </w:t>
      </w:r>
      <w:r w:rsidRPr="00297886">
        <w:rPr>
          <w:szCs w:val="24"/>
        </w:rPr>
        <w:t xml:space="preserve">28(2):160–169, </w:t>
      </w:r>
      <w:hyperlink r:id="rId42" w:history="1">
        <w:r w:rsidRPr="00297886">
          <w:rPr>
            <w:rStyle w:val="ac"/>
            <w:szCs w:val="24"/>
          </w:rPr>
          <w:t>http://dx.doi.org/10.5670/oceanog.2015.39</w:t>
        </w:r>
      </w:hyperlink>
      <w:r w:rsidRPr="00297886">
        <w:rPr>
          <w:szCs w:val="24"/>
        </w:rPr>
        <w:t xml:space="preserve">.  </w:t>
      </w:r>
    </w:p>
    <w:p w:rsidR="005F0ADE" w:rsidRPr="00333E19" w:rsidRDefault="005F0ADE" w:rsidP="00297886">
      <w:pPr>
        <w:rPr>
          <w:szCs w:val="24"/>
        </w:rPr>
      </w:pPr>
      <w:r w:rsidRPr="00297886">
        <w:rPr>
          <w:szCs w:val="24"/>
          <w:lang w:val="en-US"/>
        </w:rPr>
        <w:t>Newton</w:t>
      </w:r>
      <w:r w:rsidRPr="00333E19">
        <w:rPr>
          <w:szCs w:val="24"/>
        </w:rPr>
        <w:t xml:space="preserve"> </w:t>
      </w:r>
      <w:r w:rsidRPr="00297886">
        <w:rPr>
          <w:szCs w:val="24"/>
          <w:lang w:val="en-US"/>
        </w:rPr>
        <w:t>J</w:t>
      </w:r>
      <w:r w:rsidRPr="00333E19">
        <w:rPr>
          <w:szCs w:val="24"/>
        </w:rPr>
        <w:t xml:space="preserve">. </w:t>
      </w:r>
      <w:r w:rsidRPr="00297886">
        <w:rPr>
          <w:szCs w:val="24"/>
          <w:lang w:val="en-US"/>
        </w:rPr>
        <w:t>A</w:t>
      </w:r>
      <w:r w:rsidRPr="00333E19">
        <w:rPr>
          <w:szCs w:val="24"/>
        </w:rPr>
        <w:t xml:space="preserve">., </w:t>
      </w:r>
      <w:proofErr w:type="spellStart"/>
      <w:r w:rsidRPr="00297886">
        <w:rPr>
          <w:szCs w:val="24"/>
          <w:lang w:val="en-US"/>
        </w:rPr>
        <w:t>Feeley</w:t>
      </w:r>
      <w:proofErr w:type="spellEnd"/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R</w:t>
      </w:r>
      <w:r w:rsidRPr="00333E19">
        <w:rPr>
          <w:szCs w:val="24"/>
        </w:rPr>
        <w:t xml:space="preserve">. </w:t>
      </w:r>
      <w:r w:rsidRPr="00297886">
        <w:rPr>
          <w:szCs w:val="24"/>
          <w:lang w:val="en-US"/>
        </w:rPr>
        <w:t>A</w:t>
      </w:r>
      <w:r w:rsidRPr="00333E19">
        <w:rPr>
          <w:szCs w:val="24"/>
        </w:rPr>
        <w:t xml:space="preserve">., </w:t>
      </w:r>
      <w:r w:rsidRPr="00297886">
        <w:rPr>
          <w:szCs w:val="24"/>
          <w:lang w:val="en-US"/>
        </w:rPr>
        <w:t>Jewett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E</w:t>
      </w:r>
      <w:r w:rsidRPr="00333E19">
        <w:rPr>
          <w:szCs w:val="24"/>
        </w:rPr>
        <w:t xml:space="preserve">. </w:t>
      </w:r>
      <w:r w:rsidRPr="00297886">
        <w:rPr>
          <w:szCs w:val="24"/>
          <w:lang w:val="en-US"/>
        </w:rPr>
        <w:t>B</w:t>
      </w:r>
      <w:r w:rsidRPr="00333E19">
        <w:rPr>
          <w:szCs w:val="24"/>
        </w:rPr>
        <w:t xml:space="preserve">., </w:t>
      </w:r>
      <w:r w:rsidRPr="00297886">
        <w:rPr>
          <w:szCs w:val="24"/>
          <w:lang w:val="en-US"/>
        </w:rPr>
        <w:t>Williamson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P</w:t>
      </w:r>
      <w:r w:rsidRPr="00333E19">
        <w:rPr>
          <w:szCs w:val="24"/>
        </w:rPr>
        <w:t xml:space="preserve">. </w:t>
      </w:r>
      <w:r w:rsidRPr="00297886">
        <w:rPr>
          <w:szCs w:val="24"/>
          <w:lang w:val="en-US"/>
        </w:rPr>
        <w:t>and</w:t>
      </w:r>
      <w:r w:rsidRPr="00333E19">
        <w:rPr>
          <w:szCs w:val="24"/>
        </w:rPr>
        <w:t xml:space="preserve"> </w:t>
      </w:r>
      <w:r w:rsidRPr="00297886">
        <w:rPr>
          <w:szCs w:val="24"/>
          <w:lang w:val="en-US"/>
        </w:rPr>
        <w:t>Mathis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J</w:t>
      </w:r>
      <w:r w:rsidRPr="00333E19">
        <w:rPr>
          <w:szCs w:val="24"/>
        </w:rPr>
        <w:t xml:space="preserve">. (2015) </w:t>
      </w:r>
      <w:r w:rsidR="00333E19" w:rsidRPr="00333E19">
        <w:rPr>
          <w:szCs w:val="24"/>
        </w:rPr>
        <w:t>Глобальная сеть наблюдений за окислением океана: требования и план управления</w:t>
      </w:r>
      <w:r w:rsidRPr="00333E19">
        <w:rPr>
          <w:szCs w:val="24"/>
        </w:rPr>
        <w:t xml:space="preserve"> (2</w:t>
      </w:r>
      <w:proofErr w:type="spellStart"/>
      <w:r w:rsidRPr="00297886">
        <w:rPr>
          <w:szCs w:val="24"/>
          <w:vertAlign w:val="superscript"/>
          <w:lang w:val="en-US"/>
        </w:rPr>
        <w:t>nd</w:t>
      </w:r>
      <w:proofErr w:type="spellEnd"/>
      <w:r w:rsidRPr="00333E19">
        <w:rPr>
          <w:szCs w:val="24"/>
        </w:rPr>
        <w:t xml:space="preserve"> </w:t>
      </w:r>
      <w:r w:rsidRPr="00297886">
        <w:rPr>
          <w:szCs w:val="24"/>
          <w:lang w:val="en-US"/>
        </w:rPr>
        <w:t>edition</w:t>
      </w:r>
      <w:r w:rsidRPr="00333E19">
        <w:rPr>
          <w:szCs w:val="24"/>
        </w:rPr>
        <w:t>)</w:t>
      </w:r>
    </w:p>
    <w:p w:rsidR="005F0ADE" w:rsidRPr="00952183" w:rsidRDefault="005F0ADE" w:rsidP="00297886">
      <w:pPr>
        <w:rPr>
          <w:szCs w:val="24"/>
          <w:lang w:val="en-US"/>
        </w:rPr>
      </w:pPr>
      <w:proofErr w:type="spellStart"/>
      <w:r w:rsidRPr="00297886">
        <w:rPr>
          <w:szCs w:val="24"/>
        </w:rPr>
        <w:t>Pimenta</w:t>
      </w:r>
      <w:proofErr w:type="spellEnd"/>
      <w:r w:rsidRPr="00297886">
        <w:rPr>
          <w:szCs w:val="24"/>
        </w:rPr>
        <w:t xml:space="preserve">, A.R. </w:t>
      </w:r>
      <w:proofErr w:type="spellStart"/>
      <w:r w:rsidRPr="00297886">
        <w:rPr>
          <w:szCs w:val="24"/>
        </w:rPr>
        <w:t>and</w:t>
      </w:r>
      <w:proofErr w:type="spellEnd"/>
      <w:r w:rsidRPr="00297886">
        <w:rPr>
          <w:szCs w:val="24"/>
        </w:rPr>
        <w:t xml:space="preserve"> </w:t>
      </w:r>
      <w:proofErr w:type="spellStart"/>
      <w:r w:rsidRPr="00297886">
        <w:rPr>
          <w:szCs w:val="24"/>
        </w:rPr>
        <w:t>Grear</w:t>
      </w:r>
      <w:proofErr w:type="spellEnd"/>
      <w:r w:rsidRPr="00297886">
        <w:rPr>
          <w:szCs w:val="24"/>
        </w:rPr>
        <w:t xml:space="preserve">, J.S. (2018) EPA </w:t>
      </w:r>
      <w:r w:rsidR="00333E19" w:rsidRPr="00333E19">
        <w:rPr>
          <w:szCs w:val="24"/>
        </w:rPr>
        <w:t xml:space="preserve">Руководство по измерению изменений </w:t>
      </w:r>
      <w:proofErr w:type="spellStart"/>
      <w:r w:rsidR="00333E19" w:rsidRPr="00333E19">
        <w:rPr>
          <w:szCs w:val="24"/>
        </w:rPr>
        <w:t>pH</w:t>
      </w:r>
      <w:proofErr w:type="spellEnd"/>
      <w:r w:rsidR="00333E19" w:rsidRPr="00333E19">
        <w:rPr>
          <w:szCs w:val="24"/>
        </w:rPr>
        <w:t xml:space="preserve"> морской воды и связанного с ним химического состава карбонатов в прибрежной среде восточной части Соединенных Штатов. Управление исследований и разработок, Национальная лаборатория исследований воздействия на здоровье и окружающую среду</w:t>
      </w:r>
      <w:r w:rsidRPr="00297886">
        <w:rPr>
          <w:szCs w:val="24"/>
        </w:rPr>
        <w:t xml:space="preserve">. </w:t>
      </w:r>
      <w:r w:rsidRPr="00952183">
        <w:rPr>
          <w:szCs w:val="24"/>
          <w:lang w:val="en-US"/>
        </w:rPr>
        <w:t xml:space="preserve">EPA/600/R-17/483  </w:t>
      </w:r>
    </w:p>
    <w:p w:rsidR="005F0ADE" w:rsidRPr="00297886" w:rsidRDefault="005F0ADE" w:rsidP="00297886">
      <w:pPr>
        <w:rPr>
          <w:szCs w:val="24"/>
        </w:rPr>
      </w:pPr>
      <w:proofErr w:type="spellStart"/>
      <w:proofErr w:type="gramStart"/>
      <w:r w:rsidRPr="00952183">
        <w:rPr>
          <w:szCs w:val="24"/>
          <w:lang w:val="en-US"/>
        </w:rPr>
        <w:t>Riebesell</w:t>
      </w:r>
      <w:proofErr w:type="spellEnd"/>
      <w:r w:rsidRPr="00952183">
        <w:rPr>
          <w:szCs w:val="24"/>
          <w:lang w:val="en-US"/>
        </w:rPr>
        <w:t xml:space="preserve"> U., </w:t>
      </w:r>
      <w:proofErr w:type="spellStart"/>
      <w:r w:rsidRPr="00952183">
        <w:rPr>
          <w:szCs w:val="24"/>
          <w:lang w:val="en-US"/>
        </w:rPr>
        <w:t>Fabry</w:t>
      </w:r>
      <w:proofErr w:type="spellEnd"/>
      <w:r w:rsidRPr="00952183">
        <w:rPr>
          <w:szCs w:val="24"/>
          <w:lang w:val="en-US"/>
        </w:rPr>
        <w:t xml:space="preserve"> V. J., Hansson L. &amp; </w:t>
      </w:r>
      <w:proofErr w:type="spellStart"/>
      <w:r w:rsidRPr="00952183">
        <w:rPr>
          <w:szCs w:val="24"/>
          <w:lang w:val="en-US"/>
        </w:rPr>
        <w:t>Gattuso</w:t>
      </w:r>
      <w:proofErr w:type="spellEnd"/>
      <w:r w:rsidRPr="00952183">
        <w:rPr>
          <w:szCs w:val="24"/>
          <w:lang w:val="en-US"/>
        </w:rPr>
        <w:t xml:space="preserve"> J.-P.</w:t>
      </w:r>
      <w:proofErr w:type="gramEnd"/>
      <w:r w:rsidRPr="00952183">
        <w:rPr>
          <w:szCs w:val="24"/>
          <w:lang w:val="en-US"/>
        </w:rPr>
        <w:t xml:space="preserve"> (Eds.) </w:t>
      </w:r>
      <w:r w:rsidRPr="00297886">
        <w:rPr>
          <w:szCs w:val="24"/>
        </w:rPr>
        <w:t xml:space="preserve">(2011) </w:t>
      </w:r>
      <w:r w:rsidR="00333E19" w:rsidRPr="00333E19">
        <w:rPr>
          <w:szCs w:val="24"/>
        </w:rPr>
        <w:t xml:space="preserve">Руководство по передовым методам исследования </w:t>
      </w:r>
      <w:proofErr w:type="spellStart"/>
      <w:r w:rsidR="00333E19" w:rsidRPr="00333E19">
        <w:rPr>
          <w:szCs w:val="24"/>
        </w:rPr>
        <w:t>закисления</w:t>
      </w:r>
      <w:proofErr w:type="spellEnd"/>
      <w:r w:rsidR="00333E19" w:rsidRPr="00333E19">
        <w:rPr>
          <w:szCs w:val="24"/>
        </w:rPr>
        <w:t xml:space="preserve"> океана и представления данных. Люксембург, Издательское бюро Европейского Союза</w:t>
      </w:r>
      <w:r w:rsidRPr="00297886">
        <w:rPr>
          <w:szCs w:val="24"/>
        </w:rPr>
        <w:t xml:space="preserve">, 258pp. (EUR 24872 EN). </w:t>
      </w:r>
    </w:p>
    <w:p w:rsidR="005F0ADE" w:rsidRPr="00297886" w:rsidRDefault="005F0ADE" w:rsidP="00297886">
      <w:pPr>
        <w:rPr>
          <w:szCs w:val="24"/>
        </w:rPr>
      </w:pPr>
      <w:r w:rsidRPr="00297886">
        <w:rPr>
          <w:szCs w:val="24"/>
        </w:rPr>
        <w:lastRenderedPageBreak/>
        <w:t xml:space="preserve">Tilbrook, B., </w:t>
      </w:r>
      <w:proofErr w:type="spellStart"/>
      <w:r w:rsidRPr="00297886">
        <w:rPr>
          <w:szCs w:val="24"/>
        </w:rPr>
        <w:t>Jewett</w:t>
      </w:r>
      <w:proofErr w:type="spellEnd"/>
      <w:r w:rsidRPr="00297886">
        <w:rPr>
          <w:szCs w:val="24"/>
        </w:rPr>
        <w:t xml:space="preserve">, E.B., </w:t>
      </w:r>
      <w:proofErr w:type="spellStart"/>
      <w:r w:rsidRPr="00297886">
        <w:rPr>
          <w:szCs w:val="24"/>
        </w:rPr>
        <w:t>DeGrandpre</w:t>
      </w:r>
      <w:proofErr w:type="spellEnd"/>
      <w:r w:rsidRPr="00297886">
        <w:rPr>
          <w:szCs w:val="24"/>
        </w:rPr>
        <w:t xml:space="preserve">, M.D., </w:t>
      </w:r>
      <w:proofErr w:type="spellStart"/>
      <w:r w:rsidRPr="00297886">
        <w:rPr>
          <w:szCs w:val="24"/>
        </w:rPr>
        <w:t>Hernandez-Ayon</w:t>
      </w:r>
      <w:proofErr w:type="spellEnd"/>
      <w:r w:rsidRPr="00297886">
        <w:rPr>
          <w:szCs w:val="24"/>
        </w:rPr>
        <w:t xml:space="preserve">, J.M., </w:t>
      </w:r>
      <w:proofErr w:type="spellStart"/>
      <w:r w:rsidRPr="00297886">
        <w:rPr>
          <w:szCs w:val="24"/>
        </w:rPr>
        <w:t>Feely</w:t>
      </w:r>
      <w:proofErr w:type="spellEnd"/>
      <w:r w:rsidRPr="00297886">
        <w:rPr>
          <w:szCs w:val="24"/>
        </w:rPr>
        <w:t xml:space="preserve">, R.A., Gledhill, D.K., Hansson, L., </w:t>
      </w:r>
      <w:proofErr w:type="spellStart"/>
      <w:r w:rsidRPr="00297886">
        <w:rPr>
          <w:szCs w:val="24"/>
        </w:rPr>
        <w:t>Isensee</w:t>
      </w:r>
      <w:proofErr w:type="spellEnd"/>
      <w:r w:rsidRPr="00297886">
        <w:rPr>
          <w:szCs w:val="24"/>
        </w:rPr>
        <w:t xml:space="preserve">, K., </w:t>
      </w:r>
      <w:proofErr w:type="spellStart"/>
      <w:r w:rsidRPr="00297886">
        <w:rPr>
          <w:szCs w:val="24"/>
        </w:rPr>
        <w:t>Kurz</w:t>
      </w:r>
      <w:proofErr w:type="spellEnd"/>
      <w:r w:rsidRPr="00297886">
        <w:rPr>
          <w:szCs w:val="24"/>
        </w:rPr>
        <w:t xml:space="preserve">, M.L., </w:t>
      </w:r>
      <w:proofErr w:type="spellStart"/>
      <w:r w:rsidRPr="00297886">
        <w:rPr>
          <w:szCs w:val="24"/>
        </w:rPr>
        <w:t>Newton</w:t>
      </w:r>
      <w:proofErr w:type="spellEnd"/>
      <w:r w:rsidRPr="00297886">
        <w:rPr>
          <w:szCs w:val="24"/>
        </w:rPr>
        <w:t xml:space="preserve">, J.A. </w:t>
      </w:r>
      <w:proofErr w:type="spellStart"/>
      <w:r w:rsidRPr="00297886">
        <w:rPr>
          <w:szCs w:val="24"/>
        </w:rPr>
        <w:t>and</w:t>
      </w:r>
      <w:proofErr w:type="spellEnd"/>
      <w:r w:rsidRPr="00297886">
        <w:rPr>
          <w:szCs w:val="24"/>
        </w:rPr>
        <w:t xml:space="preserve"> </w:t>
      </w:r>
      <w:proofErr w:type="spellStart"/>
      <w:r w:rsidRPr="00297886">
        <w:rPr>
          <w:szCs w:val="24"/>
        </w:rPr>
        <w:t>Siedlecki</w:t>
      </w:r>
      <w:proofErr w:type="spellEnd"/>
      <w:r w:rsidRPr="00297886">
        <w:rPr>
          <w:szCs w:val="24"/>
        </w:rPr>
        <w:t xml:space="preserve">, S.A., 2019. </w:t>
      </w:r>
      <w:r w:rsidR="00333E19" w:rsidRPr="00333E19">
        <w:rPr>
          <w:szCs w:val="24"/>
        </w:rPr>
        <w:t>Усовершенствованная сеть наблюдений за подкислением океана: от людей к технологиям, к синтезу данных и обмену информацией. Границы морской науки</w:t>
      </w:r>
      <w:r w:rsidRPr="00297886">
        <w:rPr>
          <w:szCs w:val="24"/>
        </w:rPr>
        <w:t>, 6, p.337.</w:t>
      </w:r>
    </w:p>
    <w:p w:rsidR="005F0ADE" w:rsidRPr="00297886" w:rsidRDefault="005F0ADE" w:rsidP="00297886">
      <w:pPr>
        <w:rPr>
          <w:szCs w:val="24"/>
        </w:rPr>
      </w:pPr>
    </w:p>
    <w:sectPr w:rsidR="005F0ADE" w:rsidRPr="00297886">
      <w:head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FA" w:rsidRDefault="003D33FA" w:rsidP="00F73DBC">
      <w:pPr>
        <w:spacing w:after="0" w:line="240" w:lineRule="auto"/>
      </w:pPr>
      <w:r>
        <w:separator/>
      </w:r>
    </w:p>
  </w:endnote>
  <w:endnote w:type="continuationSeparator" w:id="0">
    <w:p w:rsidR="003D33FA" w:rsidRDefault="003D33F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FA" w:rsidRDefault="003D33FA" w:rsidP="00F73DBC">
      <w:pPr>
        <w:spacing w:after="0" w:line="240" w:lineRule="auto"/>
      </w:pPr>
      <w:r>
        <w:separator/>
      </w:r>
    </w:p>
  </w:footnote>
  <w:footnote w:type="continuationSeparator" w:id="0">
    <w:p w:rsidR="003D33FA" w:rsidRDefault="003D33FA" w:rsidP="00F73DBC">
      <w:pPr>
        <w:spacing w:after="0" w:line="240" w:lineRule="auto"/>
      </w:pPr>
      <w:r>
        <w:continuationSeparator/>
      </w:r>
    </w:p>
  </w:footnote>
  <w:footnote w:id="1">
    <w:p w:rsidR="00B23E99" w:rsidRPr="008A0371" w:rsidRDefault="00B23E99" w:rsidP="00B23E9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D4B37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gramStart"/>
      <w:r w:rsidRPr="00B23E99">
        <w:rPr>
          <w:rFonts w:ascii="Times New Roman" w:hAnsi="Times New Roman" w:cs="Times New Roman"/>
          <w:szCs w:val="20"/>
          <w:lang w:val="en-US"/>
        </w:rPr>
        <w:t>NOAA</w:t>
      </w:r>
      <w:r w:rsidRPr="00952183">
        <w:rPr>
          <w:rFonts w:ascii="Times New Roman" w:hAnsi="Times New Roman" w:cs="Times New Roman"/>
          <w:szCs w:val="20"/>
        </w:rPr>
        <w:t>.</w:t>
      </w:r>
      <w:proofErr w:type="gramEnd"/>
      <w:r w:rsidRPr="00952183">
        <w:rPr>
          <w:rFonts w:ascii="Times New Roman" w:hAnsi="Times New Roman" w:cs="Times New Roman"/>
          <w:szCs w:val="20"/>
        </w:rPr>
        <w:t xml:space="preserve"> </w:t>
      </w:r>
      <w:r w:rsidRPr="008A0371">
        <w:rPr>
          <w:rFonts w:ascii="Times New Roman" w:hAnsi="Times New Roman" w:cs="Times New Roman"/>
          <w:szCs w:val="20"/>
        </w:rPr>
        <w:t xml:space="preserve">Что такое </w:t>
      </w:r>
      <w:proofErr w:type="spellStart"/>
      <w:r w:rsidRPr="008A0371">
        <w:rPr>
          <w:rFonts w:ascii="Times New Roman" w:hAnsi="Times New Roman" w:cs="Times New Roman"/>
          <w:szCs w:val="20"/>
        </w:rPr>
        <w:t>закисление</w:t>
      </w:r>
      <w:proofErr w:type="spellEnd"/>
      <w:r w:rsidRPr="008A0371">
        <w:rPr>
          <w:rFonts w:ascii="Times New Roman" w:hAnsi="Times New Roman" w:cs="Times New Roman"/>
          <w:szCs w:val="20"/>
        </w:rPr>
        <w:t xml:space="preserve"> океана? Сайт Национальной океанской службы </w:t>
      </w:r>
      <w:hyperlink r:id="rId1" w:history="1">
        <w:r w:rsidR="00D122AC" w:rsidRPr="003B0C31">
          <w:rPr>
            <w:rStyle w:val="ac"/>
            <w:rFonts w:ascii="Times New Roman" w:hAnsi="Times New Roman" w:cs="Times New Roman"/>
            <w:szCs w:val="20"/>
            <w:lang w:val="en-US"/>
          </w:rPr>
          <w:t>https</w:t>
        </w:r>
        <w:r w:rsidR="00D122AC" w:rsidRPr="003B0C31">
          <w:rPr>
            <w:rStyle w:val="ac"/>
            <w:rFonts w:ascii="Times New Roman" w:hAnsi="Times New Roman" w:cs="Times New Roman"/>
            <w:szCs w:val="20"/>
          </w:rPr>
          <w:t>://</w:t>
        </w:r>
        <w:proofErr w:type="spellStart"/>
        <w:r w:rsidR="00D122AC" w:rsidRPr="003B0C31">
          <w:rPr>
            <w:rStyle w:val="ac"/>
            <w:rFonts w:ascii="Times New Roman" w:hAnsi="Times New Roman" w:cs="Times New Roman"/>
            <w:szCs w:val="20"/>
            <w:lang w:val="en-US"/>
          </w:rPr>
          <w:t>oceanservice</w:t>
        </w:r>
        <w:proofErr w:type="spellEnd"/>
        <w:r w:rsidR="00D122AC" w:rsidRPr="003B0C31">
          <w:rPr>
            <w:rStyle w:val="ac"/>
            <w:rFonts w:ascii="Times New Roman" w:hAnsi="Times New Roman" w:cs="Times New Roman"/>
            <w:szCs w:val="20"/>
          </w:rPr>
          <w:t>.</w:t>
        </w:r>
        <w:proofErr w:type="spellStart"/>
        <w:r w:rsidR="00D122AC" w:rsidRPr="003B0C31">
          <w:rPr>
            <w:rStyle w:val="ac"/>
            <w:rFonts w:ascii="Times New Roman" w:hAnsi="Times New Roman" w:cs="Times New Roman"/>
            <w:szCs w:val="20"/>
            <w:lang w:val="en-US"/>
          </w:rPr>
          <w:t>noaa</w:t>
        </w:r>
        <w:proofErr w:type="spellEnd"/>
        <w:r w:rsidR="00D122AC" w:rsidRPr="003B0C31">
          <w:rPr>
            <w:rStyle w:val="ac"/>
            <w:rFonts w:ascii="Times New Roman" w:hAnsi="Times New Roman" w:cs="Times New Roman"/>
            <w:szCs w:val="20"/>
          </w:rPr>
          <w:t>.</w:t>
        </w:r>
        <w:proofErr w:type="spellStart"/>
        <w:r w:rsidR="00D122AC" w:rsidRPr="003B0C31">
          <w:rPr>
            <w:rStyle w:val="ac"/>
            <w:rFonts w:ascii="Times New Roman" w:hAnsi="Times New Roman" w:cs="Times New Roman"/>
            <w:szCs w:val="20"/>
            <w:lang w:val="en-US"/>
          </w:rPr>
          <w:t>gov</w:t>
        </w:r>
        <w:proofErr w:type="spellEnd"/>
        <w:r w:rsidR="00D122AC" w:rsidRPr="003B0C31">
          <w:rPr>
            <w:rStyle w:val="ac"/>
            <w:rFonts w:ascii="Times New Roman" w:hAnsi="Times New Roman" w:cs="Times New Roman"/>
            <w:szCs w:val="20"/>
          </w:rPr>
          <w:t>/</w:t>
        </w:r>
        <w:r w:rsidR="00D122AC" w:rsidRPr="003B0C31">
          <w:rPr>
            <w:rStyle w:val="ac"/>
            <w:rFonts w:ascii="Times New Roman" w:hAnsi="Times New Roman" w:cs="Times New Roman"/>
            <w:szCs w:val="20"/>
            <w:lang w:val="en-US"/>
          </w:rPr>
          <w:t>facts</w:t>
        </w:r>
        <w:r w:rsidR="00D122AC" w:rsidRPr="003B0C31">
          <w:rPr>
            <w:rStyle w:val="ac"/>
            <w:rFonts w:ascii="Times New Roman" w:hAnsi="Times New Roman" w:cs="Times New Roman"/>
            <w:szCs w:val="20"/>
          </w:rPr>
          <w:t>/</w:t>
        </w:r>
        <w:r w:rsidR="00D122AC" w:rsidRPr="003B0C31">
          <w:rPr>
            <w:rStyle w:val="ac"/>
            <w:rFonts w:ascii="Times New Roman" w:hAnsi="Times New Roman" w:cs="Times New Roman"/>
            <w:szCs w:val="20"/>
            <w:lang w:val="en-US"/>
          </w:rPr>
          <w:t>acidification</w:t>
        </w:r>
        <w:r w:rsidR="00D122AC" w:rsidRPr="003B0C31">
          <w:rPr>
            <w:rStyle w:val="ac"/>
            <w:rFonts w:ascii="Times New Roman" w:hAnsi="Times New Roman" w:cs="Times New Roman"/>
            <w:szCs w:val="20"/>
          </w:rPr>
          <w:t>.</w:t>
        </w:r>
        <w:r w:rsidR="00D122AC" w:rsidRPr="003B0C31">
          <w:rPr>
            <w:rStyle w:val="ac"/>
            <w:rFonts w:ascii="Times New Roman" w:hAnsi="Times New Roman" w:cs="Times New Roman"/>
            <w:szCs w:val="20"/>
            <w:lang w:val="en-US"/>
          </w:rPr>
          <w:t>html</w:t>
        </w:r>
      </w:hyperlink>
      <w:r w:rsidRPr="008A0371">
        <w:rPr>
          <w:rFonts w:ascii="Times New Roman" w:hAnsi="Times New Roman" w:cs="Times New Roman"/>
          <w:szCs w:val="20"/>
        </w:rPr>
        <w:t xml:space="preserve">, 06/25/18  </w:t>
      </w:r>
    </w:p>
  </w:footnote>
  <w:footnote w:id="2">
    <w:p w:rsidR="0042681B" w:rsidRPr="0042681B" w:rsidRDefault="0042681B">
      <w:pPr>
        <w:pStyle w:val="a4"/>
      </w:pPr>
      <w:r>
        <w:rPr>
          <w:rStyle w:val="a6"/>
        </w:rPr>
        <w:footnoteRef/>
      </w:r>
      <w:r>
        <w:t xml:space="preserve"> </w:t>
      </w:r>
      <w:hyperlink r:id="rId2" w:history="1">
        <w:r w:rsidRPr="003B0C31">
          <w:rPr>
            <w:rStyle w:val="ac"/>
          </w:rPr>
          <w:t>https://www.iode.org/index.php?option=com_oe&amp;task=viewGroupRecord&amp;groupID=349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8F1760">
      <w:rPr>
        <w:rFonts w:cs="Times New Roman"/>
      </w:rPr>
      <w:t>июнь</w:t>
    </w:r>
    <w:r w:rsidR="00952183">
      <w:rPr>
        <w:rFonts w:cs="Times New Roman"/>
      </w:rPr>
      <w:t xml:space="preserve"> </w:t>
    </w:r>
    <w:r w:rsidR="00781DE7" w:rsidRPr="00087B96">
      <w:rPr>
        <w:rFonts w:cs="Times New Roman"/>
      </w:rPr>
      <w:t>202</w:t>
    </w:r>
    <w:r w:rsidR="008F1760">
      <w:rPr>
        <w:rFonts w:cs="Times New Roman"/>
      </w:rPr>
      <w:t>4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E6A"/>
    <w:multiLevelType w:val="hybridMultilevel"/>
    <w:tmpl w:val="448E6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D3CAC"/>
    <w:multiLevelType w:val="hybridMultilevel"/>
    <w:tmpl w:val="8E34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F0478"/>
    <w:multiLevelType w:val="hybridMultilevel"/>
    <w:tmpl w:val="3FBEB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F28F2"/>
    <w:multiLevelType w:val="hybridMultilevel"/>
    <w:tmpl w:val="F328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693B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D5855"/>
    <w:multiLevelType w:val="hybridMultilevel"/>
    <w:tmpl w:val="F240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77391"/>
    <w:rsid w:val="00087210"/>
    <w:rsid w:val="00087B96"/>
    <w:rsid w:val="000A210D"/>
    <w:rsid w:val="000A229E"/>
    <w:rsid w:val="000A3A18"/>
    <w:rsid w:val="000A4733"/>
    <w:rsid w:val="000C5EF5"/>
    <w:rsid w:val="000D53B9"/>
    <w:rsid w:val="000E74DA"/>
    <w:rsid w:val="000F3B83"/>
    <w:rsid w:val="00116248"/>
    <w:rsid w:val="0012601E"/>
    <w:rsid w:val="001470A2"/>
    <w:rsid w:val="00147D8F"/>
    <w:rsid w:val="00157F4E"/>
    <w:rsid w:val="001612F6"/>
    <w:rsid w:val="00165896"/>
    <w:rsid w:val="00171420"/>
    <w:rsid w:val="001762D0"/>
    <w:rsid w:val="0019315B"/>
    <w:rsid w:val="001A163A"/>
    <w:rsid w:val="001B3A2C"/>
    <w:rsid w:val="001E2FC9"/>
    <w:rsid w:val="002064C4"/>
    <w:rsid w:val="002306F8"/>
    <w:rsid w:val="00232E3B"/>
    <w:rsid w:val="00234611"/>
    <w:rsid w:val="00242C88"/>
    <w:rsid w:val="00291512"/>
    <w:rsid w:val="00291FA0"/>
    <w:rsid w:val="00297886"/>
    <w:rsid w:val="002C2D8A"/>
    <w:rsid w:val="002C7BF9"/>
    <w:rsid w:val="002D3E9F"/>
    <w:rsid w:val="002E122C"/>
    <w:rsid w:val="002E15F9"/>
    <w:rsid w:val="002F63E5"/>
    <w:rsid w:val="00303237"/>
    <w:rsid w:val="00303D71"/>
    <w:rsid w:val="003143BC"/>
    <w:rsid w:val="00333E19"/>
    <w:rsid w:val="0034376E"/>
    <w:rsid w:val="003746BC"/>
    <w:rsid w:val="003859BD"/>
    <w:rsid w:val="003A325C"/>
    <w:rsid w:val="003D33FA"/>
    <w:rsid w:val="003D58DC"/>
    <w:rsid w:val="003D7A38"/>
    <w:rsid w:val="00407AF0"/>
    <w:rsid w:val="00407E4E"/>
    <w:rsid w:val="004143B4"/>
    <w:rsid w:val="00421928"/>
    <w:rsid w:val="00424C81"/>
    <w:rsid w:val="0042681B"/>
    <w:rsid w:val="004344AC"/>
    <w:rsid w:val="00437F41"/>
    <w:rsid w:val="00456E71"/>
    <w:rsid w:val="004855D3"/>
    <w:rsid w:val="004A5509"/>
    <w:rsid w:val="004D2413"/>
    <w:rsid w:val="004E087E"/>
    <w:rsid w:val="00503B4A"/>
    <w:rsid w:val="005222C8"/>
    <w:rsid w:val="005225E5"/>
    <w:rsid w:val="00587D0B"/>
    <w:rsid w:val="005A20B1"/>
    <w:rsid w:val="005E47BD"/>
    <w:rsid w:val="005F0ADE"/>
    <w:rsid w:val="005F2C0B"/>
    <w:rsid w:val="005F4C1E"/>
    <w:rsid w:val="006553A8"/>
    <w:rsid w:val="006704C2"/>
    <w:rsid w:val="00682107"/>
    <w:rsid w:val="00694160"/>
    <w:rsid w:val="006B101F"/>
    <w:rsid w:val="006B260E"/>
    <w:rsid w:val="006B3939"/>
    <w:rsid w:val="006B475F"/>
    <w:rsid w:val="006C43F8"/>
    <w:rsid w:val="006D2C60"/>
    <w:rsid w:val="006D7049"/>
    <w:rsid w:val="00702333"/>
    <w:rsid w:val="00705161"/>
    <w:rsid w:val="00741A39"/>
    <w:rsid w:val="0075371E"/>
    <w:rsid w:val="00753F18"/>
    <w:rsid w:val="00780F08"/>
    <w:rsid w:val="00781DE7"/>
    <w:rsid w:val="00794969"/>
    <w:rsid w:val="007A5BC7"/>
    <w:rsid w:val="007B07B2"/>
    <w:rsid w:val="007B0CFD"/>
    <w:rsid w:val="007B32CE"/>
    <w:rsid w:val="007C27E0"/>
    <w:rsid w:val="007D1185"/>
    <w:rsid w:val="007D1FD7"/>
    <w:rsid w:val="007F06DF"/>
    <w:rsid w:val="007F438B"/>
    <w:rsid w:val="008138AD"/>
    <w:rsid w:val="00833AF5"/>
    <w:rsid w:val="00836F3E"/>
    <w:rsid w:val="00853C09"/>
    <w:rsid w:val="00864C1A"/>
    <w:rsid w:val="0088159F"/>
    <w:rsid w:val="008A0371"/>
    <w:rsid w:val="008F1760"/>
    <w:rsid w:val="00943436"/>
    <w:rsid w:val="009508D1"/>
    <w:rsid w:val="00952183"/>
    <w:rsid w:val="00957A62"/>
    <w:rsid w:val="00963238"/>
    <w:rsid w:val="009655B4"/>
    <w:rsid w:val="009737AE"/>
    <w:rsid w:val="00980F79"/>
    <w:rsid w:val="00982FE8"/>
    <w:rsid w:val="009C064B"/>
    <w:rsid w:val="009F3C97"/>
    <w:rsid w:val="009F43A6"/>
    <w:rsid w:val="00A110F9"/>
    <w:rsid w:val="00A509A3"/>
    <w:rsid w:val="00A53D4B"/>
    <w:rsid w:val="00A618FC"/>
    <w:rsid w:val="00A71EC6"/>
    <w:rsid w:val="00A82CD3"/>
    <w:rsid w:val="00A91FDE"/>
    <w:rsid w:val="00AB5271"/>
    <w:rsid w:val="00AC1A97"/>
    <w:rsid w:val="00AC7F4A"/>
    <w:rsid w:val="00B0378B"/>
    <w:rsid w:val="00B23E99"/>
    <w:rsid w:val="00B518DC"/>
    <w:rsid w:val="00B72F77"/>
    <w:rsid w:val="00BB623C"/>
    <w:rsid w:val="00BD29EC"/>
    <w:rsid w:val="00BE2C5D"/>
    <w:rsid w:val="00BE415C"/>
    <w:rsid w:val="00C27013"/>
    <w:rsid w:val="00C47A4A"/>
    <w:rsid w:val="00C515AF"/>
    <w:rsid w:val="00C8596F"/>
    <w:rsid w:val="00C90708"/>
    <w:rsid w:val="00C95AB2"/>
    <w:rsid w:val="00CA1CB1"/>
    <w:rsid w:val="00CA53CA"/>
    <w:rsid w:val="00CD4F99"/>
    <w:rsid w:val="00D05466"/>
    <w:rsid w:val="00D122AC"/>
    <w:rsid w:val="00D174C2"/>
    <w:rsid w:val="00D2619D"/>
    <w:rsid w:val="00D85EC8"/>
    <w:rsid w:val="00DA19D7"/>
    <w:rsid w:val="00DC18AA"/>
    <w:rsid w:val="00DD6838"/>
    <w:rsid w:val="00E037AD"/>
    <w:rsid w:val="00E123F7"/>
    <w:rsid w:val="00E21B43"/>
    <w:rsid w:val="00E27922"/>
    <w:rsid w:val="00E33CA8"/>
    <w:rsid w:val="00E366BB"/>
    <w:rsid w:val="00E559F9"/>
    <w:rsid w:val="00E90BD4"/>
    <w:rsid w:val="00EA139A"/>
    <w:rsid w:val="00EA206F"/>
    <w:rsid w:val="00EB362A"/>
    <w:rsid w:val="00EB389E"/>
    <w:rsid w:val="00EE0900"/>
    <w:rsid w:val="00EF2C8C"/>
    <w:rsid w:val="00F374BA"/>
    <w:rsid w:val="00F53A75"/>
    <w:rsid w:val="00F5412C"/>
    <w:rsid w:val="00F6371F"/>
    <w:rsid w:val="00F645F9"/>
    <w:rsid w:val="00F73DBC"/>
    <w:rsid w:val="00F84FF1"/>
    <w:rsid w:val="00F85991"/>
    <w:rsid w:val="00F92D6F"/>
    <w:rsid w:val="00FA0BA0"/>
    <w:rsid w:val="00FB66D9"/>
    <w:rsid w:val="00FC5800"/>
    <w:rsid w:val="00FC73E6"/>
    <w:rsid w:val="00FD0B4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B23E99"/>
  </w:style>
  <w:style w:type="paragraph" w:customStyle="1" w:styleId="MSubHeader">
    <w:name w:val="M.Sub.Header"/>
    <w:basedOn w:val="a"/>
    <w:link w:val="MSubHeaderChar"/>
    <w:qFormat/>
    <w:rsid w:val="005F0ADE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character" w:customStyle="1" w:styleId="MSubHeaderChar">
    <w:name w:val="M.Sub.Header Char"/>
    <w:basedOn w:val="a0"/>
    <w:link w:val="MSubHeader"/>
    <w:rsid w:val="005F0ADE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character" w:styleId="af4">
    <w:name w:val="Emphasis"/>
    <w:basedOn w:val="a0"/>
    <w:uiPriority w:val="20"/>
    <w:qFormat/>
    <w:rsid w:val="005F0ADE"/>
    <w:rPr>
      <w:i/>
      <w:iCs/>
    </w:rPr>
  </w:style>
  <w:style w:type="paragraph" w:styleId="af5">
    <w:name w:val="No Spacing"/>
    <w:uiPriority w:val="1"/>
    <w:qFormat/>
    <w:rsid w:val="007F438B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B23E99"/>
  </w:style>
  <w:style w:type="paragraph" w:customStyle="1" w:styleId="MSubHeader">
    <w:name w:val="M.Sub.Header"/>
    <w:basedOn w:val="a"/>
    <w:link w:val="MSubHeaderChar"/>
    <w:qFormat/>
    <w:rsid w:val="005F0ADE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character" w:customStyle="1" w:styleId="MSubHeaderChar">
    <w:name w:val="M.Sub.Header Char"/>
    <w:basedOn w:val="a0"/>
    <w:link w:val="MSubHeader"/>
    <w:rsid w:val="005F0ADE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character" w:styleId="af4">
    <w:name w:val="Emphasis"/>
    <w:basedOn w:val="a0"/>
    <w:uiPriority w:val="20"/>
    <w:qFormat/>
    <w:rsid w:val="005F0ADE"/>
    <w:rPr>
      <w:i/>
      <w:iCs/>
    </w:rPr>
  </w:style>
  <w:style w:type="paragraph" w:styleId="af5">
    <w:name w:val="No Spacing"/>
    <w:uiPriority w:val="1"/>
    <w:qFormat/>
    <w:rsid w:val="007F438B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ocat.info/" TargetMode="External"/><Relationship Id="rId18" Type="http://schemas.openxmlformats.org/officeDocument/2006/relationships/hyperlink" Target="https://oceanexpert.org/document/26312" TargetMode="External"/><Relationship Id="rId26" Type="http://schemas.openxmlformats.org/officeDocument/2006/relationships/hyperlink" Target="https://unesdoc.unesco.org/ark:/48223/pf0000265127?3=null&amp;queryId=f3a23122-f713-4f5c-aa88-5e73275ff5f6" TargetMode="External"/><Relationship Id="rId39" Type="http://schemas.openxmlformats.org/officeDocument/2006/relationships/hyperlink" Target="http://portal.goa-on.org/" TargetMode="External"/><Relationship Id="rId21" Type="http://schemas.openxmlformats.org/officeDocument/2006/relationships/hyperlink" Target="http://oa.iode.org" TargetMode="External"/><Relationship Id="rId34" Type="http://schemas.openxmlformats.org/officeDocument/2006/relationships/hyperlink" Target="https://oceanexpert.org/events/calendar" TargetMode="External"/><Relationship Id="rId42" Type="http://schemas.openxmlformats.org/officeDocument/2006/relationships/hyperlink" Target="http://dx.doi.org/10.5670/oceanog.2015.39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ortal.goa-on.org/" TargetMode="External"/><Relationship Id="rId29" Type="http://schemas.openxmlformats.org/officeDocument/2006/relationships/hyperlink" Target="http://www.iaea.org/ocean-acidifica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s://oa.iode.org" TargetMode="External"/><Relationship Id="rId32" Type="http://schemas.openxmlformats.org/officeDocument/2006/relationships/hyperlink" Target="http://www.whoi.edu/courses/OCB-OA/" TargetMode="External"/><Relationship Id="rId37" Type="http://schemas.openxmlformats.org/officeDocument/2006/relationships/hyperlink" Target="https://www.iode.org/" TargetMode="External"/><Relationship Id="rId40" Type="http://schemas.openxmlformats.org/officeDocument/2006/relationships/hyperlink" Target="http://ioc-unesco.org/index.php?option=com_oe&amp;task=viewDocumentRecord&amp;docID=21938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oa.iode.org" TargetMode="External"/><Relationship Id="rId23" Type="http://schemas.openxmlformats.org/officeDocument/2006/relationships/hyperlink" Target="https://unesdoc.unesco.org/ark:/48223/pf0000265127?3=null&amp;queryId=f3a23122-f713-4f5c-aa88-5e73275ff5f6" TargetMode="External"/><Relationship Id="rId28" Type="http://schemas.openxmlformats.org/officeDocument/2006/relationships/hyperlink" Target="https://unesdoc.unesco.org/ark:/48223/pf0000265127?3=null&amp;queryId=f3a23122-f713-4f5c-aa88-5e73275ff5f6" TargetMode="External"/><Relationship Id="rId36" Type="http://schemas.openxmlformats.org/officeDocument/2006/relationships/hyperlink" Target="http://www.ioc-unesco.org/" TargetMode="External"/><Relationship Id="rId10" Type="http://schemas.openxmlformats.org/officeDocument/2006/relationships/hyperlink" Target="http://www.ioc-unesco.org/index.php?option=com_oe&amp;task=viewDocumentRecord&amp;docID=19589" TargetMode="External"/><Relationship Id="rId19" Type="http://schemas.openxmlformats.org/officeDocument/2006/relationships/hyperlink" Target="https://oceanexpert.org/document/27502" TargetMode="External"/><Relationship Id="rId31" Type="http://schemas.openxmlformats.org/officeDocument/2006/relationships/hyperlink" Target="http://www.ioc-cd.org/index.php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x.doi.org/10.25607/OBP-655" TargetMode="External"/><Relationship Id="rId14" Type="http://schemas.openxmlformats.org/officeDocument/2006/relationships/hyperlink" Target="https://public.wmo.int/en/programmes/global-climate-observing-system" TargetMode="External"/><Relationship Id="rId22" Type="http://schemas.openxmlformats.org/officeDocument/2006/relationships/hyperlink" Target="http://goa-on.org" TargetMode="External"/><Relationship Id="rId27" Type="http://schemas.openxmlformats.org/officeDocument/2006/relationships/hyperlink" Target="http://www.ioccp.org/index.php/documents/standards-and-methods" TargetMode="External"/><Relationship Id="rId30" Type="http://schemas.openxmlformats.org/officeDocument/2006/relationships/hyperlink" Target="http://ioccp.org" TargetMode="External"/><Relationship Id="rId35" Type="http://schemas.openxmlformats.org/officeDocument/2006/relationships/hyperlink" Target="http://goa-on.org/news/news.php" TargetMode="External"/><Relationship Id="rId43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go-ship.org/" TargetMode="External"/><Relationship Id="rId17" Type="http://schemas.openxmlformats.org/officeDocument/2006/relationships/hyperlink" Target="http://goa-on.org/sdg_14.3.1/sdg_14.3.1.php" TargetMode="External"/><Relationship Id="rId25" Type="http://schemas.openxmlformats.org/officeDocument/2006/relationships/hyperlink" Target="https://oceanexpert.org/document/26001" TargetMode="External"/><Relationship Id="rId33" Type="http://schemas.openxmlformats.org/officeDocument/2006/relationships/hyperlink" Target="http://oa.iode.org" TargetMode="External"/><Relationship Id="rId38" Type="http://schemas.openxmlformats.org/officeDocument/2006/relationships/hyperlink" Target="http://goa-on.org/" TargetMode="External"/><Relationship Id="rId20" Type="http://schemas.openxmlformats.org/officeDocument/2006/relationships/hyperlink" Target="https://unesdoc.unesco.org/ark:/48223/pf0000379637" TargetMode="External"/><Relationship Id="rId41" Type="http://schemas.openxmlformats.org/officeDocument/2006/relationships/hyperlink" Target="http://www.ioc-unesco.org/index.php?option=com_oe&amp;task=viewDocumentRecord&amp;docID=19589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ode.org/index.php?option=com_oe&amp;task=viewGroupRecord&amp;groupID=349" TargetMode="External"/><Relationship Id="rId1" Type="http://schemas.openxmlformats.org/officeDocument/2006/relationships/hyperlink" Target="https://oceanservice.noaa.gov/facts/acidificat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26A4-152A-48F4-99E8-B0C23284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15</Pages>
  <Words>5386</Words>
  <Characters>30702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Гусев Иван Евгеньевич</cp:lastModifiedBy>
  <cp:revision>49</cp:revision>
  <dcterms:created xsi:type="dcterms:W3CDTF">2022-07-26T12:47:00Z</dcterms:created>
  <dcterms:modified xsi:type="dcterms:W3CDTF">2024-06-11T13:48:00Z</dcterms:modified>
</cp:coreProperties>
</file>