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AF483F">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2652D0">
        <w:rPr>
          <w:rFonts w:cs="Times New Roman"/>
          <w:szCs w:val="24"/>
        </w:rPr>
        <w:t>3</w:t>
      </w:r>
      <w:r w:rsidR="00780F08" w:rsidRPr="00BD29EC">
        <w:rPr>
          <w:rFonts w:cs="Times New Roman"/>
          <w:szCs w:val="24"/>
        </w:rPr>
        <w:t xml:space="preserve">.  </w:t>
      </w:r>
      <w:r w:rsidR="005C6119">
        <w:t xml:space="preserve">Содействовать верховенству права на национальном и международном </w:t>
      </w:r>
      <w:proofErr w:type="gramStart"/>
      <w:r w:rsidR="005C6119">
        <w:t>уровнях</w:t>
      </w:r>
      <w:proofErr w:type="gramEnd"/>
      <w:r w:rsidR="005C6119">
        <w:t xml:space="preserve"> и обеспечить всем равный доступ к правосудию.</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B26D92">
      <w:r w:rsidRPr="00BD29EC">
        <w:t xml:space="preserve">Показатель </w:t>
      </w:r>
      <w:r w:rsidR="00741A39">
        <w:t>1</w:t>
      </w:r>
      <w:r w:rsidR="00107A08">
        <w:t>6</w:t>
      </w:r>
      <w:r w:rsidR="00780F08" w:rsidRPr="00BD29EC">
        <w:t>.</w:t>
      </w:r>
      <w:r w:rsidR="002652D0">
        <w:t>3</w:t>
      </w:r>
      <w:r w:rsidR="002064C4">
        <w:t>.</w:t>
      </w:r>
      <w:r w:rsidR="002652D0">
        <w:t>1</w:t>
      </w:r>
      <w:r w:rsidR="00C95AB2">
        <w:t>.</w:t>
      </w:r>
      <w:r w:rsidR="00780F08" w:rsidRPr="00BD29EC">
        <w:t xml:space="preserve"> </w:t>
      </w:r>
      <w:r w:rsidR="00B26D92">
        <w:t>Доля жертв a) физического, b) психологического и/или с) сексуального насилия, которые в последние 12 месяцев подали соответствующую жалобу в компетентные органы или другие официально признанные механизмы урегулирования конфликтов</w:t>
      </w:r>
      <w:r w:rsidR="00724018">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AB2844" w:rsidRPr="009C5CE0" w:rsidRDefault="00AB2844" w:rsidP="00AB2844">
      <w:pPr>
        <w:pBdr>
          <w:top w:val="nil"/>
          <w:left w:val="nil"/>
          <w:bottom w:val="nil"/>
          <w:right w:val="nil"/>
          <w:between w:val="nil"/>
          <w:bar w:val="nil"/>
        </w:pBdr>
        <w:tabs>
          <w:tab w:val="left" w:pos="284"/>
        </w:tabs>
        <w:spacing w:after="0"/>
      </w:pPr>
      <w:r w:rsidRPr="00AB2844">
        <w:rPr>
          <w:lang w:val="en-GB"/>
        </w:rPr>
        <w:t>VC</w:t>
      </w:r>
      <w:r w:rsidRPr="009C5CE0">
        <w:t>_</w:t>
      </w:r>
      <w:r w:rsidRPr="00AB2844">
        <w:rPr>
          <w:lang w:val="en-GB"/>
        </w:rPr>
        <w:t>PRR</w:t>
      </w:r>
      <w:r w:rsidRPr="009C5CE0">
        <w:t>_</w:t>
      </w:r>
      <w:r w:rsidRPr="00AB2844">
        <w:rPr>
          <w:lang w:val="en-GB"/>
        </w:rPr>
        <w:t>PHYV</w:t>
      </w:r>
      <w:r w:rsidRPr="003D79B4">
        <w:t xml:space="preserve"> </w:t>
      </w:r>
      <w:r w:rsidR="009C5CE0">
        <w:t>–</w:t>
      </w:r>
      <w:r w:rsidRPr="003D79B4">
        <w:t xml:space="preserve"> Количество сообщений в полицию о физическом насилии</w:t>
      </w:r>
      <w:r w:rsidR="009C5CE0" w:rsidRPr="009C5CE0">
        <w:t xml:space="preserve"> </w:t>
      </w:r>
      <w:r w:rsidR="009C5CE0">
        <w:t>за последние 12 месяцев</w:t>
      </w:r>
      <w:r w:rsidR="003D79B4" w:rsidRPr="003D79B4">
        <w:t xml:space="preserve"> в разбивке по полу </w:t>
      </w:r>
      <w:r w:rsidRPr="009C5CE0">
        <w:t>(%) [16.3.1]</w:t>
      </w:r>
    </w:p>
    <w:p w:rsidR="003A325C" w:rsidRDefault="00AB2844" w:rsidP="00004BE3">
      <w:pPr>
        <w:pBdr>
          <w:top w:val="nil"/>
          <w:left w:val="nil"/>
          <w:bottom w:val="nil"/>
          <w:right w:val="nil"/>
          <w:between w:val="nil"/>
          <w:bar w:val="nil"/>
        </w:pBdr>
        <w:tabs>
          <w:tab w:val="left" w:pos="284"/>
        </w:tabs>
        <w:spacing w:after="0"/>
        <w:rPr>
          <w:vertAlign w:val="superscript"/>
        </w:rPr>
      </w:pPr>
      <w:r w:rsidRPr="00AB2844">
        <w:rPr>
          <w:lang w:val="en-GB"/>
        </w:rPr>
        <w:t>VC</w:t>
      </w:r>
      <w:r w:rsidRPr="009C5CE0">
        <w:t>_</w:t>
      </w:r>
      <w:r w:rsidRPr="00AB2844">
        <w:rPr>
          <w:lang w:val="en-GB"/>
        </w:rPr>
        <w:t>PRR</w:t>
      </w:r>
      <w:r w:rsidRPr="009C5CE0">
        <w:t>_</w:t>
      </w:r>
      <w:r w:rsidRPr="00AB2844">
        <w:rPr>
          <w:lang w:val="en-GB"/>
        </w:rPr>
        <w:t>SEXV</w:t>
      </w:r>
      <w:r w:rsidRPr="009C5CE0">
        <w:t xml:space="preserve"> </w:t>
      </w:r>
      <w:r w:rsidRPr="003D79B4">
        <w:t xml:space="preserve">- </w:t>
      </w:r>
      <w:r w:rsidR="003D79B4" w:rsidRPr="003D79B4">
        <w:t>Количество сообщений в полицию о сексуальном насилии</w:t>
      </w:r>
      <w:r w:rsidR="00B30292">
        <w:t xml:space="preserve"> </w:t>
      </w:r>
      <w:r w:rsidR="00B30292" w:rsidRPr="00B30292">
        <w:t>за последние 12 месяцев</w:t>
      </w:r>
      <w:r w:rsidR="003D79B4" w:rsidRPr="003D79B4">
        <w:t xml:space="preserve"> в разбивке по полу</w:t>
      </w:r>
      <w:r w:rsidR="003D79B4" w:rsidRPr="009C5CE0">
        <w:t xml:space="preserve"> </w:t>
      </w:r>
      <w:r w:rsidRPr="003D79B4">
        <w:t>(%) [16.3.1]</w:t>
      </w:r>
    </w:p>
    <w:p w:rsidR="00B30292" w:rsidRPr="009C5CE0" w:rsidRDefault="00B30292" w:rsidP="00B30292">
      <w:pPr>
        <w:pBdr>
          <w:top w:val="nil"/>
          <w:left w:val="nil"/>
          <w:bottom w:val="nil"/>
          <w:right w:val="nil"/>
          <w:between w:val="nil"/>
          <w:bar w:val="nil"/>
        </w:pBdr>
        <w:tabs>
          <w:tab w:val="left" w:pos="284"/>
        </w:tabs>
        <w:spacing w:after="0"/>
      </w:pPr>
      <w:r w:rsidRPr="00AB2844">
        <w:rPr>
          <w:lang w:val="en-GB"/>
        </w:rPr>
        <w:t>VC</w:t>
      </w:r>
      <w:r w:rsidRPr="009C5CE0">
        <w:t>_</w:t>
      </w:r>
      <w:r w:rsidRPr="00AB2844">
        <w:rPr>
          <w:lang w:val="en-GB"/>
        </w:rPr>
        <w:t>PRR</w:t>
      </w:r>
      <w:r w:rsidRPr="009C5CE0">
        <w:t>_</w:t>
      </w:r>
      <w:r w:rsidRPr="00AB2844">
        <w:rPr>
          <w:lang w:val="en-GB"/>
        </w:rPr>
        <w:t>ROBB</w:t>
      </w:r>
      <w:r w:rsidRPr="009C5CE0">
        <w:t xml:space="preserve"> </w:t>
      </w:r>
      <w:r>
        <w:t>–</w:t>
      </w:r>
      <w:r w:rsidRPr="009C5CE0">
        <w:t xml:space="preserve"> </w:t>
      </w:r>
      <w:r>
        <w:t xml:space="preserve">Количество сообщений в полицию </w:t>
      </w:r>
      <w:r w:rsidRPr="003D79B4">
        <w:t>о грабежах</w:t>
      </w:r>
      <w:r>
        <w:t xml:space="preserve"> за последние 12 </w:t>
      </w:r>
      <w:r w:rsidRPr="00B30292">
        <w:t>месяцев</w:t>
      </w:r>
      <w:r w:rsidRPr="003D79B4">
        <w:t xml:space="preserve"> в разбивке по полу (%) </w:t>
      </w:r>
      <w:r w:rsidRPr="009C5CE0">
        <w:t>[16.3.1]</w:t>
      </w:r>
    </w:p>
    <w:p w:rsidR="006E228A" w:rsidRDefault="006E228A" w:rsidP="006E228A">
      <w:pPr>
        <w:pBdr>
          <w:top w:val="nil"/>
          <w:left w:val="nil"/>
          <w:bottom w:val="nil"/>
          <w:right w:val="nil"/>
          <w:between w:val="nil"/>
          <w:bar w:val="nil"/>
        </w:pBdr>
        <w:tabs>
          <w:tab w:val="left" w:pos="284"/>
        </w:tabs>
        <w:spacing w:after="0"/>
      </w:pPr>
      <w:r>
        <w:t xml:space="preserve">VC_PRR_PSYCHV – </w:t>
      </w:r>
      <w:r w:rsidR="00C9589E" w:rsidRPr="00C9589E">
        <w:t xml:space="preserve">Количество сообщений в полицию </w:t>
      </w:r>
      <w:r>
        <w:t xml:space="preserve">о психологическом насилии за </w:t>
      </w:r>
      <w:r w:rsidR="00846111">
        <w:t xml:space="preserve">последние </w:t>
      </w:r>
      <w:r>
        <w:t>12 месяцев в разбивке по полу (%) [16.3.1]</w:t>
      </w:r>
    </w:p>
    <w:p w:rsidR="006E228A" w:rsidRDefault="006E228A" w:rsidP="006E228A">
      <w:pPr>
        <w:pBdr>
          <w:top w:val="nil"/>
          <w:left w:val="nil"/>
          <w:bottom w:val="nil"/>
          <w:right w:val="nil"/>
          <w:between w:val="nil"/>
          <w:bar w:val="nil"/>
        </w:pBdr>
        <w:tabs>
          <w:tab w:val="left" w:pos="284"/>
        </w:tabs>
        <w:spacing w:after="0"/>
      </w:pPr>
      <w:r>
        <w:t>VC_PRR_PHY_VIO –</w:t>
      </w:r>
      <w:r w:rsidR="00C9589E">
        <w:t xml:space="preserve"> </w:t>
      </w:r>
      <w:r w:rsidR="00C9589E" w:rsidRPr="00C9589E">
        <w:t xml:space="preserve">Количество сообщений в полицию </w:t>
      </w:r>
      <w:r>
        <w:t>о физическом насилии за последние 12 месяцев в разбивке по полу (%) [16.3.1]</w:t>
      </w:r>
    </w:p>
    <w:p w:rsidR="00B30292" w:rsidRPr="00B30292" w:rsidRDefault="00C9589E" w:rsidP="006E228A">
      <w:pPr>
        <w:pBdr>
          <w:top w:val="nil"/>
          <w:left w:val="nil"/>
          <w:bottom w:val="nil"/>
          <w:right w:val="nil"/>
          <w:between w:val="nil"/>
          <w:bar w:val="nil"/>
        </w:pBdr>
        <w:tabs>
          <w:tab w:val="left" w:pos="284"/>
        </w:tabs>
        <w:spacing w:after="0"/>
      </w:pPr>
      <w:r>
        <w:t xml:space="preserve">VC_PRR_SEX_VIO </w:t>
      </w:r>
      <w:r w:rsidR="006E228A">
        <w:t xml:space="preserve">– </w:t>
      </w:r>
      <w:r w:rsidRPr="00C9589E">
        <w:t xml:space="preserve">Количество сообщений в полицию </w:t>
      </w:r>
      <w:r w:rsidR="006E228A">
        <w:t xml:space="preserve">о сексуальном насилии за </w:t>
      </w:r>
      <w:r w:rsidR="00846111">
        <w:t xml:space="preserve">последние </w:t>
      </w:r>
      <w:r w:rsidR="006E228A">
        <w:t>12 месяцев, в разбивке по полу (%) [16.3.1]</w:t>
      </w:r>
    </w:p>
    <w:p w:rsidR="00004BE3" w:rsidRPr="009C5CE0"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proofErr w:type="gramStart"/>
      <w:r w:rsidRPr="009C5CE0">
        <w:rPr>
          <w:rFonts w:eastAsia="Arial Unicode MS" w:cs="Times New Roman"/>
          <w:b/>
          <w:szCs w:val="24"/>
          <w:bdr w:val="nil"/>
          <w:lang w:val="en-US" w:eastAsia="ru-RU"/>
        </w:rPr>
        <w:t>0.</w:t>
      </w:r>
      <w:r w:rsidRPr="00BD29EC">
        <w:rPr>
          <w:rFonts w:eastAsia="Arial Unicode MS" w:cs="Times New Roman"/>
          <w:b/>
          <w:szCs w:val="24"/>
          <w:bdr w:val="nil"/>
          <w:lang w:val="en-US" w:eastAsia="ru-RU"/>
        </w:rPr>
        <w:t>e</w:t>
      </w:r>
      <w:proofErr w:type="gramEnd"/>
      <w:r w:rsidRPr="009C5CE0">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Обновление</w:t>
      </w:r>
      <w:r w:rsidRPr="009C5CE0">
        <w:rPr>
          <w:rFonts w:eastAsia="Arial Unicode MS" w:cs="Times New Roman"/>
          <w:b/>
          <w:szCs w:val="24"/>
          <w:bdr w:val="nil"/>
          <w:lang w:val="en-US" w:eastAsia="ru-RU"/>
        </w:rPr>
        <w:t xml:space="preserve"> </w:t>
      </w:r>
      <w:r w:rsidRPr="00BD29EC">
        <w:rPr>
          <w:rFonts w:eastAsia="Arial Unicode MS" w:cs="Times New Roman"/>
          <w:b/>
          <w:szCs w:val="24"/>
          <w:bdr w:val="nil"/>
          <w:lang w:eastAsia="ru-RU"/>
        </w:rPr>
        <w:t>данных</w:t>
      </w:r>
      <w:r w:rsidRPr="009C5CE0">
        <w:rPr>
          <w:rFonts w:eastAsia="Arial Unicode MS" w:cs="Times New Roman"/>
          <w:b/>
          <w:szCs w:val="24"/>
          <w:bdr w:val="nil"/>
          <w:lang w:val="en-US" w:eastAsia="ru-RU"/>
        </w:rPr>
        <w:t xml:space="preserve"> </w:t>
      </w:r>
    </w:p>
    <w:p w:rsidR="00A36FA2" w:rsidRPr="009C5CE0" w:rsidRDefault="003A25AB" w:rsidP="00A83A86">
      <w:pPr>
        <w:spacing w:after="0"/>
        <w:rPr>
          <w:lang w:val="en-US"/>
        </w:rPr>
      </w:pPr>
      <w:r>
        <w:t>28.03.2024</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52B00" w:rsidRPr="00C52B00" w:rsidRDefault="00C52B00" w:rsidP="00C52B00">
      <w:pPr>
        <w:pBdr>
          <w:top w:val="nil"/>
          <w:left w:val="nil"/>
          <w:bottom w:val="nil"/>
          <w:right w:val="nil"/>
          <w:between w:val="nil"/>
          <w:bar w:val="nil"/>
        </w:pBdr>
        <w:tabs>
          <w:tab w:val="left" w:pos="284"/>
        </w:tabs>
        <w:spacing w:after="0"/>
      </w:pPr>
      <w:r>
        <w:t>Показатель</w:t>
      </w:r>
      <w:r w:rsidRPr="00C52B00">
        <w:t xml:space="preserve"> 5.2.1: Доля когда-либо имевших партнера женщин и девочек в возрасте 15 лет и старше, подвергавшихся физическому, сексуальному или психологическому насилию со стороны нынешнего или бывшего интимного партнера в последние 12 месяцев, в разбивке по формам насилия и возрасту</w:t>
      </w:r>
      <w:r>
        <w:t>.</w:t>
      </w:r>
    </w:p>
    <w:p w:rsidR="00C52B00" w:rsidRPr="00C52B00" w:rsidRDefault="00C52B00" w:rsidP="00C52B00">
      <w:pPr>
        <w:pBdr>
          <w:top w:val="nil"/>
          <w:left w:val="nil"/>
          <w:bottom w:val="nil"/>
          <w:right w:val="nil"/>
          <w:between w:val="nil"/>
          <w:bar w:val="nil"/>
        </w:pBdr>
        <w:tabs>
          <w:tab w:val="left" w:pos="284"/>
        </w:tabs>
        <w:spacing w:after="0"/>
      </w:pPr>
      <w:r>
        <w:t>Показатель</w:t>
      </w:r>
      <w:r w:rsidRPr="00C52B00">
        <w:t xml:space="preserve"> 5.2.2: </w:t>
      </w:r>
      <w:r>
        <w:t>Доля женщин и девочек в возрасте 15 лет и старше, подвергавшихся сексуальному насилию со стороны кого-либо, кроме интимных партнеров, в последние 12 месяцев, в разбивке по возрасту и месту происшествия.</w:t>
      </w:r>
    </w:p>
    <w:p w:rsidR="00C52B00" w:rsidRPr="00C52B00" w:rsidRDefault="00C52B00" w:rsidP="00563627">
      <w:pPr>
        <w:pBdr>
          <w:top w:val="nil"/>
          <w:left w:val="nil"/>
          <w:bottom w:val="nil"/>
          <w:right w:val="nil"/>
          <w:between w:val="nil"/>
          <w:bar w:val="nil"/>
        </w:pBdr>
        <w:tabs>
          <w:tab w:val="left" w:pos="284"/>
        </w:tabs>
        <w:spacing w:after="0"/>
      </w:pPr>
      <w:r>
        <w:t>Показатель</w:t>
      </w:r>
      <w:r w:rsidRPr="00C52B00">
        <w:t xml:space="preserve"> 11.7.2: </w:t>
      </w:r>
      <w:r w:rsidR="00563627">
        <w:t xml:space="preserve">Доля лиц, подвергшихся несексуальным или сексуальным домогательствам, в разбивке по полу, возрасту, признаку инвалидности и месту происшествия </w:t>
      </w:r>
      <w:proofErr w:type="gramStart"/>
      <w:r w:rsidR="00563627">
        <w:t>за</w:t>
      </w:r>
      <w:proofErr w:type="gramEnd"/>
      <w:r w:rsidR="00563627">
        <w:t xml:space="preserve"> последние 12 месяцев</w:t>
      </w:r>
      <w:r>
        <w:t>.</w:t>
      </w:r>
    </w:p>
    <w:p w:rsidR="00C52B00" w:rsidRPr="00C52B00" w:rsidRDefault="00C52B00" w:rsidP="00C52B00">
      <w:pPr>
        <w:pBdr>
          <w:top w:val="nil"/>
          <w:left w:val="nil"/>
          <w:bottom w:val="nil"/>
          <w:right w:val="nil"/>
          <w:between w:val="nil"/>
          <w:bar w:val="nil"/>
        </w:pBdr>
        <w:tabs>
          <w:tab w:val="left" w:pos="284"/>
        </w:tabs>
        <w:spacing w:after="0"/>
      </w:pPr>
      <w:r>
        <w:lastRenderedPageBreak/>
        <w:t>Показатель</w:t>
      </w:r>
      <w:r w:rsidRPr="00C52B00">
        <w:t xml:space="preserve"> 16.2.3: </w:t>
      </w:r>
      <w:r>
        <w:t>Доля молодых женщин и мужчин в возрасте от 18 до 29 лет, подвергшихся сексуальному насилию до достижения ими 18-летнего возраста.</w:t>
      </w:r>
    </w:p>
    <w:p w:rsidR="00C52B00" w:rsidRDefault="00C52B00" w:rsidP="00C52B00">
      <w:pPr>
        <w:pBdr>
          <w:top w:val="nil"/>
          <w:left w:val="nil"/>
          <w:bottom w:val="nil"/>
          <w:right w:val="nil"/>
          <w:between w:val="nil"/>
          <w:bar w:val="nil"/>
        </w:pBdr>
        <w:tabs>
          <w:tab w:val="left" w:pos="284"/>
        </w:tabs>
        <w:spacing w:after="0"/>
      </w:pPr>
      <w:r>
        <w:t>Показатель</w:t>
      </w:r>
      <w:r w:rsidRPr="00C52B00">
        <w:t xml:space="preserve"> 16.1.3: </w:t>
      </w:r>
      <w:r>
        <w:t xml:space="preserve">Доля населения, </w:t>
      </w:r>
      <w:proofErr w:type="gramStart"/>
      <w:r>
        <w:t>в</w:t>
      </w:r>
      <w:proofErr w:type="gramEnd"/>
      <w:r>
        <w:t xml:space="preserve"> последние 12 месяцев подвергшегося a) физическому, b) психологическому и</w:t>
      </w:r>
      <w:r w:rsidR="00F23CF4">
        <w:t>/или</w:t>
      </w:r>
      <w:r>
        <w:t xml:space="preserve"> c) сексуальному насилию.</w:t>
      </w:r>
    </w:p>
    <w:p w:rsidR="00C52B00" w:rsidRPr="00C52B00" w:rsidRDefault="00C52B00" w:rsidP="00C52B00">
      <w:pPr>
        <w:pBdr>
          <w:top w:val="nil"/>
          <w:left w:val="nil"/>
          <w:bottom w:val="nil"/>
          <w:right w:val="nil"/>
          <w:between w:val="nil"/>
          <w:bar w:val="nil"/>
        </w:pBdr>
        <w:tabs>
          <w:tab w:val="left" w:pos="284"/>
        </w:tabs>
        <w:spacing w:after="0"/>
      </w:pPr>
      <w:r>
        <w:t>Показатель</w:t>
      </w:r>
      <w:r w:rsidRPr="00C52B00">
        <w:t xml:space="preserve"> 16.</w:t>
      </w:r>
      <w:r w:rsidRPr="00C52B00">
        <w:rPr>
          <w:lang w:val="en-GB"/>
        </w:rPr>
        <w:t>a</w:t>
      </w:r>
      <w:r w:rsidRPr="00C52B00">
        <w:t xml:space="preserve">.1: </w:t>
      </w:r>
      <w:r>
        <w:t>Наличие независимых национальных правозащитных институтов, действующих в соответствии с Парижскими принципами.</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36FA2" w:rsidRDefault="00A36FA2" w:rsidP="00A36FA2">
      <w:pPr>
        <w:rPr>
          <w:bdr w:val="nil"/>
          <w:lang w:eastAsia="ru-RU"/>
        </w:rPr>
      </w:pPr>
      <w:r w:rsidRPr="00A36FA2">
        <w:rPr>
          <w:bdr w:val="nil"/>
          <w:lang w:eastAsia="ru-RU"/>
        </w:rPr>
        <w:t>Управление Организации Объединенных Наций по наркотикам и преступности (УНП ООН)</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36FA2" w:rsidRDefault="00A36FA2" w:rsidP="00A36FA2">
      <w:r w:rsidRPr="00A36FA2">
        <w:t>Управление Организации Объединенных Наций по наркотикам и преступности (УНП 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9B5E02" w:rsidRDefault="00DA19D7" w:rsidP="001366AD">
      <w:pPr>
        <w:rPr>
          <w:b/>
        </w:rPr>
      </w:pPr>
      <w:r w:rsidRPr="009B5E02">
        <w:rPr>
          <w:b/>
        </w:rPr>
        <w:t>Определение:</w:t>
      </w:r>
    </w:p>
    <w:p w:rsidR="001366AD" w:rsidRDefault="001366AD" w:rsidP="001366AD">
      <w:r w:rsidRPr="001366AD">
        <w:t>Количество жертв насильственных преступлений за предыдущие 12 ме</w:t>
      </w:r>
      <w:r>
        <w:t xml:space="preserve">сяцев, которые сообщили об этом </w:t>
      </w:r>
      <w:r w:rsidRPr="001366AD">
        <w:t>в компетентные органы или другие официально признанные механизмы разрешения конфликтов, в процентах от всех жертв насильственных преступлений за предыдущие 12 месяцев.</w:t>
      </w:r>
      <w:r w:rsidR="00AB2844">
        <w:t xml:space="preserve"> </w:t>
      </w:r>
    </w:p>
    <w:p w:rsidR="00FD79FA" w:rsidRDefault="00FD79FA" w:rsidP="001366AD">
      <w:r w:rsidRPr="00FD79FA">
        <w:t xml:space="preserve">Показатели отчетности должны рассчитываться отдельно по физическому, сексуальному и психологическому насилию. Для каждого из показателей насилия (физического, психологического и сексуального) странам следует рассчитать долю жертв, сообщивших </w:t>
      </w:r>
      <w:r w:rsidR="00F23CF4">
        <w:t>о насилии</w:t>
      </w:r>
      <w:r w:rsidRPr="00FD79FA">
        <w:t>. Эти показатели отчетности публикуются отдельно.</w:t>
      </w:r>
    </w:p>
    <w:p w:rsidR="00DA19D7" w:rsidRPr="009B5E02" w:rsidRDefault="003859BD" w:rsidP="00DA19D7">
      <w:pPr>
        <w:pStyle w:val="MText"/>
        <w:rPr>
          <w:b/>
          <w:color w:val="000000" w:themeColor="text1"/>
          <w:sz w:val="24"/>
          <w:szCs w:val="24"/>
          <w:lang w:val="ru-RU"/>
        </w:rPr>
      </w:pPr>
      <w:r w:rsidRPr="009B5E02">
        <w:rPr>
          <w:b/>
          <w:color w:val="000000" w:themeColor="text1"/>
          <w:sz w:val="24"/>
          <w:szCs w:val="24"/>
          <w:lang w:val="ru-RU"/>
        </w:rPr>
        <w:t>Основные понятия</w:t>
      </w:r>
      <w:r w:rsidR="009B5E02" w:rsidRPr="009B5E02">
        <w:rPr>
          <w:b/>
          <w:color w:val="000000" w:themeColor="text1"/>
          <w:sz w:val="24"/>
          <w:szCs w:val="24"/>
          <w:lang w:val="ru-RU"/>
        </w:rPr>
        <w:t>:</w:t>
      </w:r>
    </w:p>
    <w:p w:rsidR="001366AD" w:rsidRPr="00BA2C50" w:rsidRDefault="001366AD" w:rsidP="001366AD">
      <w:pPr>
        <w:rPr>
          <w:szCs w:val="24"/>
        </w:rPr>
      </w:pPr>
      <w:r w:rsidRPr="00BA2C50">
        <w:rPr>
          <w:b/>
          <w:szCs w:val="24"/>
        </w:rPr>
        <w:t>Компетентные органы</w:t>
      </w:r>
      <w:r w:rsidRPr="00BA2C50">
        <w:rPr>
          <w:szCs w:val="24"/>
        </w:rPr>
        <w:t xml:space="preserve"> включают полицию, прокуратуру или другие органы, уполномоченные расследовать соответствующие преступления, в то время как «другие официально признанные механизмы разрешения конфликтов» могут включать различные учреждения, играющие роль в неформальном правосудии или процессе разрешения споров (например, племенные или религиозные лидеры, деревенские старейшины, общественные деятели) при условии, что их роль официально признана государственными органами.</w:t>
      </w:r>
      <w:r w:rsidR="0083122B" w:rsidRPr="00BA2C50">
        <w:rPr>
          <w:szCs w:val="24"/>
        </w:rPr>
        <w:t xml:space="preserve"> Практическая реализация этих концепций должна быть обеспечена национальными группами по внедрению путем добавления соответствующих категорий реагирования для органов власти и механизмов, в которые жертвы могут сообщать о насилии, которому они подверглись.</w:t>
      </w:r>
    </w:p>
    <w:p w:rsidR="00BA2C50" w:rsidRPr="00BA2C50" w:rsidRDefault="00BA2C50" w:rsidP="00BA2C50">
      <w:pPr>
        <w:shd w:val="clear" w:color="auto" w:fill="FFFFFF"/>
        <w:spacing w:after="0"/>
        <w:rPr>
          <w:rFonts w:eastAsia="Times New Roman" w:cs="Times New Roman"/>
          <w:szCs w:val="24"/>
          <w:lang w:eastAsia="en-GB"/>
        </w:rPr>
      </w:pPr>
      <w:r w:rsidRPr="00BA2C50">
        <w:rPr>
          <w:rFonts w:eastAsia="Times New Roman" w:cs="Times New Roman"/>
          <w:b/>
          <w:bCs/>
          <w:szCs w:val="24"/>
          <w:lang w:eastAsia="en-GB"/>
        </w:rPr>
        <w:t>(а) Физическое насилие:</w:t>
      </w:r>
      <w:r w:rsidRPr="00BA2C50">
        <w:rPr>
          <w:rFonts w:eastAsia="Times New Roman" w:cs="Times New Roman"/>
          <w:szCs w:val="24"/>
          <w:lang w:eastAsia="en-GB"/>
        </w:rPr>
        <w:t xml:space="preserve">  эта концепция во многом соответствует физическому насилию и ограблению.</w:t>
      </w:r>
    </w:p>
    <w:p w:rsidR="00BA2C50" w:rsidRPr="00BA2C50" w:rsidRDefault="00BA2C50" w:rsidP="00BA2C50">
      <w:pPr>
        <w:shd w:val="clear" w:color="auto" w:fill="FFFFFF"/>
        <w:spacing w:after="0"/>
        <w:rPr>
          <w:rFonts w:eastAsia="Times New Roman" w:cs="Times New Roman"/>
          <w:szCs w:val="24"/>
          <w:lang w:eastAsia="en-GB"/>
        </w:rPr>
      </w:pPr>
    </w:p>
    <w:p w:rsidR="00BA2C50" w:rsidRPr="00BA2C50" w:rsidRDefault="00BA2C50" w:rsidP="00BA2C50">
      <w:pPr>
        <w:shd w:val="clear" w:color="auto" w:fill="FFFFFF"/>
        <w:spacing w:after="0"/>
        <w:rPr>
          <w:rFonts w:eastAsia="Times New Roman" w:cs="Times New Roman"/>
          <w:szCs w:val="24"/>
          <w:lang w:eastAsia="en-GB"/>
        </w:rPr>
      </w:pPr>
      <w:r w:rsidRPr="00BA2C50">
        <w:rPr>
          <w:rFonts w:eastAsia="Times New Roman" w:cs="Times New Roman"/>
          <w:szCs w:val="24"/>
          <w:lang w:eastAsia="en-GB"/>
        </w:rPr>
        <w:lastRenderedPageBreak/>
        <w:t>В Международной классификации преступлений для статистических целей (МКПС) нападение определяется как: умышленное или неосторожное применение физической силы к телу человека</w:t>
      </w:r>
      <w:r w:rsidRPr="00BA2C50">
        <w:rPr>
          <w:rStyle w:val="a6"/>
          <w:rFonts w:eastAsia="Times New Roman" w:cs="Times New Roman"/>
          <w:szCs w:val="24"/>
          <w:lang w:eastAsia="en-GB"/>
        </w:rPr>
        <w:footnoteReference w:id="1"/>
      </w:r>
      <w:r w:rsidR="00A62205">
        <w:rPr>
          <w:rFonts w:eastAsia="Times New Roman" w:cs="Times New Roman"/>
          <w:szCs w:val="24"/>
          <w:lang w:eastAsia="en-GB"/>
        </w:rPr>
        <w:t>.</w:t>
      </w:r>
      <w:r w:rsidRPr="00BA2C50">
        <w:rPr>
          <w:rFonts w:eastAsia="Times New Roman" w:cs="Times New Roman"/>
          <w:szCs w:val="24"/>
          <w:lang w:eastAsia="en-GB"/>
        </w:rPr>
        <w:t xml:space="preserve"> Сюда входит умышленное или неосторожное применение серьезной физической силы, приводящее к серьезным телесным повреждениям, а также умышленное или неосторожное применение незначительной физической силы, не приводящее к травмам или легким телесным повреждениям. Согласно МКПС, они определяются как:</w:t>
      </w:r>
    </w:p>
    <w:p w:rsidR="00BA2C50" w:rsidRPr="00BA2C50" w:rsidRDefault="00BA2C50" w:rsidP="00BA2C50">
      <w:pPr>
        <w:shd w:val="clear" w:color="auto" w:fill="FFFFFF"/>
        <w:spacing w:after="0"/>
        <w:rPr>
          <w:rFonts w:eastAsia="Times New Roman" w:cs="Times New Roman"/>
          <w:szCs w:val="24"/>
          <w:lang w:eastAsia="en-GB"/>
        </w:rPr>
      </w:pPr>
    </w:p>
    <w:p w:rsidR="00BA2C50" w:rsidRPr="00BA2C50" w:rsidRDefault="00BA2C50" w:rsidP="00BA2C50">
      <w:pPr>
        <w:pStyle w:val="ab"/>
        <w:numPr>
          <w:ilvl w:val="0"/>
          <w:numId w:val="7"/>
        </w:numPr>
        <w:shd w:val="clear" w:color="auto" w:fill="FFFFFF"/>
        <w:spacing w:after="0"/>
        <w:rPr>
          <w:rFonts w:eastAsia="Times New Roman" w:cs="Times New Roman"/>
          <w:szCs w:val="24"/>
          <w:lang w:eastAsia="en-GB"/>
        </w:rPr>
      </w:pPr>
      <w:r w:rsidRPr="00BA2C50">
        <w:rPr>
          <w:rFonts w:eastAsia="Times New Roman" w:cs="Times New Roman"/>
          <w:szCs w:val="24"/>
          <w:lang w:eastAsia="en-GB"/>
        </w:rPr>
        <w:t>Тяжкие телесные повреждения включают как минимум огнестрельные или пулевые ранения; ножевые или колотые ранения; раздробленные конечности; переломы костей или выбитые зубы; повреждения внутренних органов; потерю сознания от удара; а также другие серьезные и тяжкие повреждения.</w:t>
      </w:r>
    </w:p>
    <w:p w:rsidR="00BA2C50" w:rsidRPr="00A62205" w:rsidRDefault="00BA2C50" w:rsidP="00BA2C50">
      <w:pPr>
        <w:pStyle w:val="ab"/>
        <w:numPr>
          <w:ilvl w:val="0"/>
          <w:numId w:val="7"/>
        </w:numPr>
        <w:shd w:val="clear" w:color="auto" w:fill="FFFFFF"/>
        <w:spacing w:after="0"/>
        <w:rPr>
          <w:rFonts w:eastAsia="Times New Roman" w:cs="Times New Roman"/>
          <w:szCs w:val="24"/>
          <w:lang w:eastAsia="en-GB"/>
        </w:rPr>
      </w:pPr>
      <w:r w:rsidRPr="00BA2C50">
        <w:rPr>
          <w:rFonts w:eastAsia="Times New Roman" w:cs="Times New Roman"/>
          <w:szCs w:val="24"/>
          <w:lang w:eastAsia="en-GB"/>
        </w:rPr>
        <w:t>Серьезная физическая сила включает, как минимум, совершение выстрела, удар колотым предметом или ножом; удар предметом; нанесение удара брошенным предметом; отравление и другое применение силы с возможностью причинения тяжких телесных повреждений.</w:t>
      </w:r>
    </w:p>
    <w:p w:rsidR="00BA2C50" w:rsidRPr="00A62205" w:rsidRDefault="00BA2C50" w:rsidP="00BA2C50">
      <w:pPr>
        <w:pStyle w:val="ab"/>
        <w:numPr>
          <w:ilvl w:val="0"/>
          <w:numId w:val="7"/>
        </w:numPr>
        <w:shd w:val="clear" w:color="auto" w:fill="FFFFFF"/>
        <w:spacing w:after="0"/>
        <w:rPr>
          <w:rFonts w:eastAsia="Times New Roman" w:cs="Times New Roman"/>
          <w:szCs w:val="24"/>
          <w:lang w:eastAsia="en-GB"/>
        </w:rPr>
      </w:pPr>
      <w:r w:rsidRPr="00BA2C50">
        <w:rPr>
          <w:rFonts w:eastAsia="Times New Roman" w:cs="Times New Roman"/>
          <w:szCs w:val="24"/>
          <w:lang w:eastAsia="en-GB"/>
        </w:rPr>
        <w:t>Легкие телесные повреждения включают, как минимум, ушибы, порезы, царапины, сломанные зубы, отеки, синяки под глазом и другие легкие телесные повреждения.</w:t>
      </w:r>
    </w:p>
    <w:p w:rsidR="00BA2C50" w:rsidRPr="00BA2C50" w:rsidRDefault="00BA2C50" w:rsidP="00BA2C50">
      <w:pPr>
        <w:pStyle w:val="ab"/>
        <w:numPr>
          <w:ilvl w:val="0"/>
          <w:numId w:val="7"/>
        </w:numPr>
        <w:shd w:val="clear" w:color="auto" w:fill="FFFFFF"/>
        <w:spacing w:after="0"/>
        <w:rPr>
          <w:rFonts w:eastAsia="Times New Roman" w:cs="Times New Roman"/>
          <w:szCs w:val="24"/>
          <w:lang w:eastAsia="en-GB"/>
        </w:rPr>
      </w:pPr>
      <w:r w:rsidRPr="00BA2C50">
        <w:rPr>
          <w:rFonts w:eastAsia="Times New Roman" w:cs="Times New Roman"/>
          <w:szCs w:val="24"/>
          <w:lang w:eastAsia="en-GB"/>
        </w:rPr>
        <w:t>Легкая физическая сила включает, как минимум, нанесение ударов, шлепков, толкание, подножка, сбивание с ног и другие формы применения силы с возможностью причинить легкие телесные повреждения.</w:t>
      </w:r>
    </w:p>
    <w:p w:rsidR="00BA2C50" w:rsidRPr="00BA2C50" w:rsidRDefault="00BA2C50" w:rsidP="00BA2C50">
      <w:pPr>
        <w:shd w:val="clear" w:color="auto" w:fill="FFFFFF"/>
        <w:spacing w:after="0"/>
        <w:rPr>
          <w:rFonts w:eastAsia="Times New Roman" w:cs="Times New Roman"/>
          <w:szCs w:val="24"/>
          <w:lang w:eastAsia="en-GB"/>
        </w:rPr>
      </w:pPr>
    </w:p>
    <w:p w:rsidR="00BA2C50" w:rsidRPr="00BA2C50" w:rsidRDefault="00BA2C50" w:rsidP="00BA2C50">
      <w:pPr>
        <w:spacing w:after="0"/>
        <w:rPr>
          <w:rFonts w:eastAsia="Times New Roman" w:cs="Times New Roman"/>
          <w:szCs w:val="24"/>
          <w:lang w:eastAsia="en-GB"/>
        </w:rPr>
      </w:pPr>
      <w:r w:rsidRPr="00BA2C50">
        <w:rPr>
          <w:rFonts w:eastAsia="Times New Roman" w:cs="Times New Roman"/>
          <w:szCs w:val="24"/>
          <w:lang w:eastAsia="en-GB"/>
        </w:rPr>
        <w:t>Помимо актов нападения, в определение физического насилия также включены действия, представляющие собой серьезную физическую угрозу. Согласно определению в ICCS, под серьезными физическими угрозами понимаются угрозы с намерением причинить смерть или причинить серьезные телесные повреждения.</w:t>
      </w:r>
      <w:r w:rsidRPr="00BA2C50">
        <w:rPr>
          <w:rStyle w:val="a6"/>
          <w:rFonts w:eastAsia="Times New Roman" w:cs="Times New Roman"/>
          <w:szCs w:val="24"/>
          <w:lang w:eastAsia="en-GB"/>
        </w:rPr>
        <w:footnoteReference w:id="2"/>
      </w:r>
    </w:p>
    <w:p w:rsidR="00BA2C50" w:rsidRPr="00BA2C50" w:rsidRDefault="00BA2C50" w:rsidP="00BA2C50">
      <w:pPr>
        <w:spacing w:after="0"/>
        <w:rPr>
          <w:rFonts w:eastAsia="Times New Roman" w:cs="Times New Roman"/>
          <w:szCs w:val="24"/>
          <w:lang w:eastAsia="en-GB"/>
        </w:rPr>
      </w:pPr>
      <w:r w:rsidRPr="00BA2C50">
        <w:rPr>
          <w:rFonts w:eastAsia="Times New Roman" w:cs="Times New Roman"/>
          <w:szCs w:val="24"/>
          <w:lang w:eastAsia="en-GB"/>
        </w:rPr>
        <w:t>Кроме того, физическое насилие также охватывает акты грабежа, определяемые в Незаконное завладение или получение имущества с применением силы или угрозы силой в отношении лица с намерением постоянно или временно отобрать его у лица или организации.</w:t>
      </w:r>
      <w:r w:rsidRPr="00BA2C50">
        <w:rPr>
          <w:rStyle w:val="a6"/>
          <w:rFonts w:eastAsia="Times New Roman" w:cs="Times New Roman"/>
          <w:szCs w:val="24"/>
          <w:lang w:eastAsia="en-GB"/>
        </w:rPr>
        <w:footnoteReference w:id="3"/>
      </w:r>
      <w:r w:rsidR="00A62205">
        <w:rPr>
          <w:rFonts w:eastAsia="Times New Roman" w:cs="Times New Roman"/>
          <w:szCs w:val="24"/>
          <w:lang w:eastAsia="en-GB"/>
        </w:rPr>
        <w:t xml:space="preserve"> </w:t>
      </w:r>
    </w:p>
    <w:p w:rsidR="00BA2C50" w:rsidRPr="00BA2C50" w:rsidRDefault="00BA2C50" w:rsidP="00BA2C50">
      <w:pPr>
        <w:spacing w:after="0"/>
        <w:rPr>
          <w:rFonts w:eastAsia="Times New Roman" w:cs="Times New Roman"/>
          <w:szCs w:val="24"/>
          <w:lang w:eastAsia="en-GB"/>
        </w:rPr>
      </w:pPr>
      <w:r w:rsidRPr="00BA2C50">
        <w:rPr>
          <w:rFonts w:eastAsia="Times New Roman" w:cs="Times New Roman"/>
          <w:szCs w:val="24"/>
          <w:lang w:eastAsia="en-GB"/>
        </w:rPr>
        <w:t>Физическое насилие считается таковым только в том случае, если оно происходит без согласия, например, акты физического насилия (удары руками, ногами и т. д.), совершённые во время занятий регулируемыми единоборствами или боевых тренировок, не будут учитываться при определении р</w:t>
      </w:r>
      <w:r w:rsidR="00A62205">
        <w:rPr>
          <w:rFonts w:eastAsia="Times New Roman" w:cs="Times New Roman"/>
          <w:szCs w:val="24"/>
          <w:lang w:eastAsia="en-GB"/>
        </w:rPr>
        <w:t xml:space="preserve">аспространенности </w:t>
      </w:r>
      <w:proofErr w:type="spellStart"/>
      <w:r w:rsidR="00A62205">
        <w:rPr>
          <w:rFonts w:eastAsia="Times New Roman" w:cs="Times New Roman"/>
          <w:szCs w:val="24"/>
          <w:lang w:eastAsia="en-GB"/>
        </w:rPr>
        <w:t>виктимизации</w:t>
      </w:r>
      <w:proofErr w:type="spellEnd"/>
      <w:r w:rsidR="00A62205">
        <w:rPr>
          <w:rFonts w:eastAsia="Times New Roman" w:cs="Times New Roman"/>
          <w:szCs w:val="24"/>
          <w:lang w:eastAsia="en-GB"/>
        </w:rPr>
        <w:t>.</w:t>
      </w:r>
    </w:p>
    <w:p w:rsidR="00BA2C50" w:rsidRPr="00BA2C50" w:rsidRDefault="00BA2C50" w:rsidP="00BA2C50">
      <w:pPr>
        <w:spacing w:after="0"/>
        <w:rPr>
          <w:rFonts w:eastAsia="Times New Roman" w:cs="Times New Roman"/>
          <w:szCs w:val="24"/>
          <w:lang w:eastAsia="en-GB"/>
        </w:rPr>
      </w:pPr>
      <w:r w:rsidRPr="00BA2C50">
        <w:rPr>
          <w:rFonts w:eastAsia="Times New Roman" w:cs="Times New Roman"/>
          <w:szCs w:val="24"/>
          <w:lang w:eastAsia="en-GB"/>
        </w:rPr>
        <w:t xml:space="preserve">При отсутствии подходящих данных о физическом насилии можно использовать данные о физическом нападении или грабеже, поскольку оба они являются компонентом физического насилия. </w:t>
      </w:r>
    </w:p>
    <w:p w:rsidR="00BA2C50" w:rsidRPr="00BA2C50" w:rsidRDefault="00BA2C50" w:rsidP="00BA2C50">
      <w:pPr>
        <w:spacing w:after="0"/>
        <w:rPr>
          <w:rFonts w:eastAsia="Times New Roman" w:cs="Times New Roman"/>
          <w:szCs w:val="24"/>
          <w:lang w:eastAsia="en-GB"/>
        </w:rPr>
      </w:pPr>
    </w:p>
    <w:p w:rsidR="00BA2C50" w:rsidRPr="00BA2C50" w:rsidRDefault="00BA2C50" w:rsidP="00BA2C50">
      <w:pPr>
        <w:spacing w:after="0"/>
        <w:rPr>
          <w:rFonts w:eastAsia="Times New Roman" w:cs="Times New Roman"/>
          <w:szCs w:val="24"/>
          <w:lang w:eastAsia="en-GB"/>
        </w:rPr>
      </w:pPr>
      <w:r w:rsidRPr="00BA2C50">
        <w:rPr>
          <w:rFonts w:eastAsia="Times New Roman" w:cs="Times New Roman"/>
          <w:b/>
          <w:szCs w:val="24"/>
          <w:lang w:eastAsia="en-GB"/>
        </w:rPr>
        <w:t>Психологическое насилие:</w:t>
      </w:r>
      <w:r w:rsidRPr="00BA2C50">
        <w:rPr>
          <w:rFonts w:eastAsia="Times New Roman" w:cs="Times New Roman"/>
          <w:szCs w:val="24"/>
          <w:lang w:eastAsia="en-GB"/>
        </w:rPr>
        <w:t xml:space="preserve"> На международном уровне нет единого мнения относительно точного определения психологического насилия. Психологическое насилие можно </w:t>
      </w:r>
      <w:r w:rsidRPr="00BA2C50">
        <w:rPr>
          <w:rFonts w:eastAsia="Times New Roman" w:cs="Times New Roman"/>
          <w:szCs w:val="24"/>
          <w:lang w:eastAsia="en-GB"/>
        </w:rPr>
        <w:lastRenderedPageBreak/>
        <w:t xml:space="preserve">определить как любое преднамеренное и безрассудное действие, причиняющее человеку психологический стресс. Психологическое насилие может принимать форму, например, принуждения, клеветы, унижения, запугивания, реальных угроз насилия, чрезмерных словесных нападок или запугивания или преследования. Зачастую психологическое насилие представляет собой модель поведения, но может быть и отдельным инцидентом. Психологическое насилие часто встречается в быту. </w:t>
      </w:r>
      <w:proofErr w:type="gramStart"/>
      <w:r w:rsidRPr="00BA2C50">
        <w:rPr>
          <w:rFonts w:eastAsia="Times New Roman" w:cs="Times New Roman"/>
          <w:szCs w:val="24"/>
          <w:lang w:eastAsia="en-GB"/>
        </w:rPr>
        <w:t>Стандартизированная и протестированная на международном уровне анкета для обследования по ЦУР 16 предоставляет методологию и основной набор вопросов для измерения психологического насилия (см. Раздел 4.</w:t>
      </w:r>
      <w:r w:rsidRPr="00BA2C50">
        <w:rPr>
          <w:rFonts w:eastAsia="Times New Roman" w:cs="Times New Roman"/>
          <w:szCs w:val="24"/>
          <w:lang w:val="en-US" w:eastAsia="en-GB"/>
        </w:rPr>
        <w:t>c</w:t>
      </w:r>
      <w:r w:rsidRPr="00BA2C50">
        <w:rPr>
          <w:rFonts w:eastAsia="Times New Roman" w:cs="Times New Roman"/>
          <w:szCs w:val="24"/>
          <w:lang w:eastAsia="en-GB"/>
        </w:rPr>
        <w:t>.</w:t>
      </w:r>
      <w:proofErr w:type="gramEnd"/>
      <w:r w:rsidRPr="00BA2C50">
        <w:rPr>
          <w:rFonts w:eastAsia="Times New Roman" w:cs="Times New Roman"/>
          <w:szCs w:val="24"/>
          <w:lang w:eastAsia="en-GB"/>
        </w:rPr>
        <w:t xml:space="preserve"> </w:t>
      </w:r>
      <w:proofErr w:type="gramStart"/>
      <w:r w:rsidRPr="00BA2C50">
        <w:rPr>
          <w:rFonts w:eastAsia="Times New Roman" w:cs="Times New Roman"/>
          <w:szCs w:val="24"/>
          <w:lang w:eastAsia="en-GB"/>
        </w:rPr>
        <w:t>Метод расчета).</w:t>
      </w:r>
      <w:proofErr w:type="gramEnd"/>
    </w:p>
    <w:p w:rsidR="00BA2C50" w:rsidRPr="00BA2C50" w:rsidRDefault="00BA2C50" w:rsidP="00BA2C50">
      <w:pPr>
        <w:pStyle w:val="MText"/>
        <w:shd w:val="clear" w:color="auto" w:fill="auto"/>
        <w:rPr>
          <w:color w:val="auto"/>
          <w:sz w:val="24"/>
          <w:szCs w:val="24"/>
          <w:lang w:val="ru-RU"/>
        </w:rPr>
      </w:pPr>
    </w:p>
    <w:p w:rsidR="00BA2C50" w:rsidRPr="00BA2C50" w:rsidRDefault="00BA2C50" w:rsidP="00BA2C50">
      <w:pPr>
        <w:spacing w:after="0"/>
        <w:rPr>
          <w:rFonts w:eastAsia="Times New Roman" w:cs="Times New Roman"/>
          <w:szCs w:val="24"/>
          <w:lang w:eastAsia="en-GB"/>
        </w:rPr>
      </w:pPr>
      <w:r w:rsidRPr="00BA2C50">
        <w:rPr>
          <w:rFonts w:eastAsia="Times New Roman" w:cs="Times New Roman"/>
          <w:b/>
          <w:szCs w:val="24"/>
          <w:lang w:eastAsia="en-GB"/>
        </w:rPr>
        <w:t>Сексуальное насилие:</w:t>
      </w:r>
      <w:r w:rsidRPr="00BA2C50">
        <w:rPr>
          <w:rFonts w:eastAsia="Times New Roman" w:cs="Times New Roman"/>
          <w:szCs w:val="24"/>
          <w:lang w:eastAsia="en-GB"/>
        </w:rPr>
        <w:t xml:space="preserve"> </w:t>
      </w:r>
      <w:proofErr w:type="gramStart"/>
      <w:r w:rsidRPr="00BA2C50">
        <w:rPr>
          <w:rFonts w:eastAsia="Times New Roman" w:cs="Times New Roman"/>
          <w:szCs w:val="24"/>
          <w:lang w:eastAsia="en-GB"/>
        </w:rPr>
        <w:t>Согласно определению Международной классификации преступлений для статистических целей (МКПС), сексуальное насилие включает нежелательные половые акты, попытки добиться полового акта или контакт или общение с нежелательным сексуальным вниманием без полноценного согласия или с согласия в результате запугивания, применения силы, мошенничества, принуждения, угрозы, обмана, использования наркотиков или алкоголя, или злоупотребления властью либо уязвимым положением.</w:t>
      </w:r>
      <w:proofErr w:type="gramEnd"/>
      <w:r w:rsidRPr="00BA2C50">
        <w:rPr>
          <w:rFonts w:eastAsia="Times New Roman" w:cs="Times New Roman"/>
          <w:szCs w:val="24"/>
          <w:lang w:eastAsia="en-GB"/>
        </w:rPr>
        <w:t xml:space="preserve"> Сюда входят изнасилование и другие формы сексуального насилия, за исключением нефизического сексуального насилия (например, сексуального домогательства). Сексуальное насилие может совершаться случайными партнерами, знакомыми или незнакомцами, но такие действия происходят и в устоявшихся или даже официально оформленных интимных партнерствах, в том числе в браках. Сексуальное насилие чаще всего, но не исключительно, направлено против женщин. Сексуальное насилие может также иметь место в однополом контексте.</w:t>
      </w:r>
    </w:p>
    <w:p w:rsidR="00BA2C50" w:rsidRPr="00BA2C50" w:rsidRDefault="00BA2C50" w:rsidP="00BA2C50">
      <w:pPr>
        <w:pStyle w:val="MText"/>
        <w:shd w:val="clear" w:color="auto" w:fill="auto"/>
        <w:rPr>
          <w:color w:val="auto"/>
          <w:sz w:val="24"/>
          <w:szCs w:val="24"/>
          <w:lang w:val="ru-RU"/>
        </w:rPr>
      </w:pPr>
    </w:p>
    <w:p w:rsidR="00BA2C50" w:rsidRDefault="00BA2C50" w:rsidP="00BA2C50">
      <w:pPr>
        <w:pStyle w:val="MText"/>
        <w:shd w:val="clear" w:color="auto" w:fill="auto"/>
        <w:rPr>
          <w:color w:val="auto"/>
          <w:sz w:val="24"/>
          <w:szCs w:val="24"/>
          <w:lang w:val="ru-RU"/>
        </w:rPr>
      </w:pPr>
      <w:r w:rsidRPr="00BA2C50">
        <w:rPr>
          <w:color w:val="auto"/>
          <w:sz w:val="24"/>
          <w:szCs w:val="24"/>
          <w:lang w:val="ru-RU"/>
        </w:rPr>
        <w:t>Более подробная информация о наборе моделей поведения, которые будут использоваться для измерения физического, психологического и сексуального насилия, представлена в разделе 4.</w:t>
      </w:r>
      <w:r w:rsidRPr="00BA2C50">
        <w:rPr>
          <w:color w:val="auto"/>
          <w:sz w:val="24"/>
          <w:szCs w:val="24"/>
        </w:rPr>
        <w:t>c</w:t>
      </w:r>
      <w:r w:rsidRPr="00BA2C50">
        <w:rPr>
          <w:color w:val="auto"/>
          <w:sz w:val="24"/>
          <w:szCs w:val="24"/>
          <w:lang w:val="ru-RU"/>
        </w:rPr>
        <w:t>. Метод расчета.</w:t>
      </w:r>
    </w:p>
    <w:p w:rsidR="00A62205" w:rsidRPr="00BA2C50" w:rsidRDefault="00A62205" w:rsidP="00BA2C50">
      <w:pPr>
        <w:pStyle w:val="MText"/>
        <w:shd w:val="clear" w:color="auto" w:fill="auto"/>
        <w:rPr>
          <w:color w:val="auto"/>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135002"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135002" w:rsidP="0075371E">
      <w:pPr>
        <w:pStyle w:val="MText"/>
        <w:rPr>
          <w:color w:val="auto"/>
          <w:sz w:val="24"/>
          <w:szCs w:val="24"/>
          <w:lang w:val="ru-RU"/>
        </w:rPr>
      </w:pPr>
      <w:r>
        <w:rPr>
          <w:color w:val="auto"/>
          <w:sz w:val="24"/>
          <w:szCs w:val="24"/>
          <w:lang w:val="ru-RU"/>
        </w:rPr>
        <w:t>УНП ООН.2015.</w:t>
      </w:r>
      <w:r w:rsidRPr="00135002">
        <w:rPr>
          <w:lang w:val="ru-RU"/>
        </w:rPr>
        <w:t xml:space="preserve"> </w:t>
      </w:r>
      <w:hyperlink r:id="rId9" w:history="1">
        <w:r w:rsidRPr="00135002">
          <w:rPr>
            <w:rStyle w:val="ac"/>
            <w:sz w:val="24"/>
            <w:szCs w:val="24"/>
            <w:lang w:val="ru-RU"/>
          </w:rPr>
          <w:t>Международная классификация преступлений для статистических целей</w:t>
        </w:r>
      </w:hyperlink>
      <w:r w:rsidRPr="00135002">
        <w:rPr>
          <w:color w:val="auto"/>
          <w:sz w:val="24"/>
          <w:szCs w:val="24"/>
          <w:lang w:val="ru-RU"/>
        </w:rPr>
        <w:t xml:space="preserve"> (</w:t>
      </w:r>
      <w:r>
        <w:rPr>
          <w:color w:val="auto"/>
          <w:sz w:val="24"/>
          <w:szCs w:val="24"/>
          <w:lang w:val="ru-RU"/>
        </w:rPr>
        <w:t>МКПС</w:t>
      </w:r>
      <w:r w:rsidRPr="00135002">
        <w:rPr>
          <w:color w:val="auto"/>
          <w:sz w:val="24"/>
          <w:szCs w:val="24"/>
          <w:lang w:val="ru-RU"/>
        </w:rPr>
        <w:t>)</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3089C" w:rsidRDefault="0043089C" w:rsidP="0043089C">
      <w:r>
        <w:t>Информация об актах насилия сильно занижается властями, поэтому этот показатель должен быть получен на основе обследований населения, а не из административных источников данных.</w:t>
      </w:r>
    </w:p>
    <w:p w:rsidR="0043089C" w:rsidRDefault="00C648C5" w:rsidP="0043089C">
      <w:proofErr w:type="gramStart"/>
      <w:r>
        <w:t>Информация об о</w:t>
      </w:r>
      <w:r w:rsidR="0043089C">
        <w:t>пыт</w:t>
      </w:r>
      <w:r>
        <w:t>е</w:t>
      </w:r>
      <w:r w:rsidR="0043089C">
        <w:t xml:space="preserve"> </w:t>
      </w:r>
      <w:proofErr w:type="spellStart"/>
      <w:r w:rsidR="0043089C">
        <w:t>виктимизации</w:t>
      </w:r>
      <w:proofErr w:type="spellEnd"/>
      <w:r w:rsidR="0043089C">
        <w:t xml:space="preserve"> и сообщения о таком опыте компетентным органам собира</w:t>
      </w:r>
      <w:r>
        <w:t>е</w:t>
      </w:r>
      <w:r w:rsidR="0043089C">
        <w:t>тся с помощью серии вопросов о конкретных актах насилия, которым подвергся респондент, и о том, сообщалось ли о них (см. раздел 4.c.</w:t>
      </w:r>
      <w:proofErr w:type="gramEnd"/>
      <w:r w:rsidR="0043089C">
        <w:t xml:space="preserve"> </w:t>
      </w:r>
      <w:proofErr w:type="gramStart"/>
      <w:r w:rsidR="0043089C">
        <w:t>Метод расчета).</w:t>
      </w:r>
      <w:proofErr w:type="gramEnd"/>
    </w:p>
    <w:p w:rsidR="0043089C" w:rsidRDefault="0043089C" w:rsidP="0043089C">
      <w:r>
        <w:lastRenderedPageBreak/>
        <w:t xml:space="preserve">Вопросы могут быть частью дополнительного модуля, посвященного физическому, психологическому и сексуальному насилию, для включения в другие текущие обследования населения в целом (такие как обследования качества жизни, </w:t>
      </w:r>
      <w:r w:rsidR="00C648C5">
        <w:t xml:space="preserve">опросы </w:t>
      </w:r>
      <w:r>
        <w:t xml:space="preserve">общественного </w:t>
      </w:r>
      <w:r w:rsidR="00C648C5">
        <w:t>мнения или обследования</w:t>
      </w:r>
      <w:r>
        <w:t xml:space="preserve"> по другим темам) или быть частью специальных обследовани</w:t>
      </w:r>
      <w:r w:rsidR="00C648C5">
        <w:t xml:space="preserve">й </w:t>
      </w:r>
      <w:proofErr w:type="spellStart"/>
      <w:r w:rsidR="00C648C5">
        <w:t>виктимизации</w:t>
      </w:r>
      <w:proofErr w:type="spellEnd"/>
      <w:r w:rsidR="00C648C5">
        <w:t>.</w:t>
      </w:r>
    </w:p>
    <w:p w:rsidR="0043089C" w:rsidRPr="00BD29EC" w:rsidRDefault="0043089C" w:rsidP="0043089C">
      <w:r>
        <w:t>Данные должны собираться как часть национально репрезентативной выборки взрослого населения, проживающего в стране, независимо от законного статуса проживания. Структура выборки и дизайн выборки должны обеспечивать возможность дезагрег</w:t>
      </w:r>
      <w:r w:rsidR="00D95B0C">
        <w:t>ации</w:t>
      </w:r>
      <w:r>
        <w:t xml:space="preserve"> результатов на субнациональном уровне. Размер выборки должен быть достаточно большим, чтобы охватить соответствующие события и рассчитать необходимые дезагрегации.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155070" w:rsidRDefault="001366AD" w:rsidP="00155070">
      <w:r w:rsidRPr="001366AD">
        <w:t xml:space="preserve">Данные для мониторинга ЦУР будут </w:t>
      </w:r>
      <w:r w:rsidR="00155070">
        <w:t>на</w:t>
      </w:r>
      <w:r w:rsidRPr="001366AD">
        <w:t>правлены в страны для консультаций перед публикацией.</w:t>
      </w:r>
      <w:r w:rsidR="00155070" w:rsidRPr="00155070">
        <w:t xml:space="preserve"> </w:t>
      </w:r>
      <w:r w:rsidR="00155070">
        <w:t xml:space="preserve">На международном уровне УНП ООН регулярно собирает данные </w:t>
      </w:r>
      <w:r w:rsidR="00DB7ADF">
        <w:t xml:space="preserve"> о </w:t>
      </w:r>
      <w:r w:rsidR="00155070">
        <w:t>физическом, психологическом и сексуальном насилии в рамках ежегодного обзора тенденций преступности и функционирования систем уголовного правосудия ООН (UN-CTS). По просьбе Комисс</w:t>
      </w:r>
      <w:proofErr w:type="gramStart"/>
      <w:r w:rsidR="00155070">
        <w:t>ии ОО</w:t>
      </w:r>
      <w:proofErr w:type="gramEnd"/>
      <w:r w:rsidR="00155070">
        <w:t xml:space="preserve">Н по предупреждению преступности и уголовному правосудию более 140 государств-членов уже назначили национального координатора UN-CTS, который предоставляет данные UN-CTS в УНП ООН. В большинстве случаев этими координаторами являются национальные учреждения, ответственные за подготовку данных в области преступности и уголовного правосудия (Национальные статистические </w:t>
      </w:r>
      <w:r w:rsidR="00D95B0C">
        <w:t>службы</w:t>
      </w:r>
      <w:r w:rsidR="00155070">
        <w:t>, Министерство внутренних дел, Министерство юстиции и т.д.). Для стран, которые не назначили координатора, запрос о предоставлении данных направляется в постоянные представительства в Вене. Когда страна не отчитывается перед УНП ООН, используются другие официальные источники, такие как авторитетные веб-сайты, публикации или другие формы коммуникации. После консолидации данные передаются странам для проверки их точности и достоверности.</w:t>
      </w:r>
    </w:p>
    <w:p w:rsidR="001366AD" w:rsidRPr="00BD29EC" w:rsidRDefault="00155070" w:rsidP="00155070">
      <w:r>
        <w:t>CTS ООН содержит конкретные определения данных, подлежащих сбору, в соответствии с Международной классификацией преступлений для статистических целей (</w:t>
      </w:r>
      <w:r w:rsidR="00C307B2">
        <w:t>МКПС</w:t>
      </w:r>
      <w:r>
        <w:t>). Он также собирает набор метаданных для выявления возможных расхождений со стандартными определениями и оценки общего качества данных (например, размер выборки, целевая группа населения, учреждение, ответственное за сбор данных, и т.д.).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307B2" w:rsidRDefault="00C307B2" w:rsidP="00C307B2">
      <w:r>
        <w:t xml:space="preserve">Странам рекомендуется проводить обследования </w:t>
      </w:r>
      <w:proofErr w:type="spellStart"/>
      <w:r>
        <w:t>виктимизации</w:t>
      </w:r>
      <w:proofErr w:type="spellEnd"/>
      <w:r>
        <w:t xml:space="preserve"> через регулярные промежутки времени, но не реже одного раза в четыре года, чтобы отражать прогресс между каждым из четырехгодичных обзоров достижения цели 16 на Политическом форуме высокого уровня (ПФВУ).</w:t>
      </w:r>
    </w:p>
    <w:p w:rsidR="00C307B2" w:rsidRDefault="00C307B2" w:rsidP="00C307B2">
      <w:r>
        <w:t>УНП ООН собирает данные по этому показателю в соответствии со следующим графиком:</w:t>
      </w:r>
    </w:p>
    <w:p w:rsidR="001366AD" w:rsidRPr="00BD29EC" w:rsidRDefault="00C307B2" w:rsidP="00C307B2">
      <w:r>
        <w:lastRenderedPageBreak/>
        <w:t>III-IV квартал года n</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307B2" w:rsidRDefault="00C307B2" w:rsidP="00C307B2">
      <w:r>
        <w:t>Данные по соответствующим показателям ЦУР собираются, компилируются и ежегодно направляются странам для анализа. Затем данные ежегодно передаются в Статистический отдел ООН (СОООН) по обычным каналам отчетности.</w:t>
      </w:r>
    </w:p>
    <w:p w:rsidR="001366AD" w:rsidRPr="00BD29EC" w:rsidRDefault="00C307B2" w:rsidP="00C307B2">
      <w:r>
        <w:t>II квартал года n+1 (данные за год n-1). Например, данные за 2023 год собираются в III-IV кварталах 2024 года и публикуются во II квартале 2025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FD5F36" w:rsidRDefault="00FD5F36" w:rsidP="00FD5F36">
      <w:r>
        <w:t xml:space="preserve">Данные собираются с помощью официальных национальных репрезентативных обследований. В большинстве стран и в большинстве случаев такие обследования проводятся Национальными статистическими службами (НСС). В некоторых случаях другие национальные учреждения или иные субъекты могут проводить обследования </w:t>
      </w:r>
      <w:proofErr w:type="spellStart"/>
      <w:r>
        <w:t>виктимизации</w:t>
      </w:r>
      <w:proofErr w:type="spellEnd"/>
      <w:r>
        <w:t xml:space="preserve"> в соответствии с теми же методологическими стандартами.</w:t>
      </w:r>
    </w:p>
    <w:p w:rsidR="001366AD" w:rsidRPr="00A71EC6" w:rsidRDefault="00FD5F36" w:rsidP="00FD5F36">
      <w:proofErr w:type="gramStart"/>
      <w:r>
        <w:t>Данные направляются в УНП ООН государствами-членами, как правило, через национальные координационные центры ООН по обзору тенденций в области преступности и функционирования систем уголовного правосудия (UN-CTS), которые в большинстве случаев являются национальными учреждениями, ответственными за подготовку данных в области преступности и уголовного правосудия (Национальные статистические службы, Министерство внутренних дел, Министерство правосудия и т.д.).</w:t>
      </w:r>
      <w:proofErr w:type="gramEnd"/>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366AD" w:rsidRPr="00BD29EC" w:rsidRDefault="00FD5F36" w:rsidP="005B109C">
      <w:r w:rsidRPr="00291E49">
        <w:t>Управление Организации Объединенных Наций по наркотикам и преступности (УНП 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5B109C" w:rsidRDefault="005B109C" w:rsidP="005B109C">
      <w:r w:rsidRPr="00291E49">
        <w:t xml:space="preserve">Управление Организации Объединенных Наций по наркотикам и преступности (УНП ООН), являясь куратором стандартов и норм ООН в области предупреждения преступности и уголовного правосудия, оказывает помощь государствам-членам в реформировании их систем уголовного правосудия, с </w:t>
      </w:r>
      <w:proofErr w:type="gramStart"/>
      <w:r w:rsidRPr="00291E49">
        <w:t>тем</w:t>
      </w:r>
      <w:proofErr w:type="gramEnd"/>
      <w:r w:rsidRPr="00291E49">
        <w:t xml:space="preserve"> чтобы они были эффективными, справедливыми и гуманными для всего населения. УНП ООН разрабатывает технические инструменты для оказания помощи государствам-членам во внедрении стандартов и норм ООН и поддерживает государства-члены путем предоставления технической помощи в области предупреждения преступности и реформы уголовного правосудия. Оно осуществляет это через несколько глобальных программ и сеть отделений УНП ООН на местах.</w:t>
      </w:r>
    </w:p>
    <w:p w:rsidR="00980F79" w:rsidRPr="005B109C" w:rsidRDefault="005B109C" w:rsidP="005B109C">
      <w:r>
        <w:t xml:space="preserve">УНП ООН отвечает за проведение Обзора тенденций в области преступности и функционирования систем уголовного правосудия Организации Объединенных Наций (UN-CTS), который был представлен резолюцией Генеральной Ассамблеи </w:t>
      </w:r>
      <w:hyperlink r:id="rId10" w:history="1">
        <w:r w:rsidR="00B60CCD">
          <w:rPr>
            <w:rStyle w:val="ac"/>
          </w:rPr>
          <w:t>A/RES/3021(XXVII)</w:t>
        </w:r>
      </w:hyperlink>
      <w:r>
        <w:t xml:space="preserve"> в 1972 году. Экономический и Социальный Совет в своей резолюции 1984/48 от 25 мая 1984 года далее просил Генерального секретаря поддерживать и </w:t>
      </w:r>
      <w:r>
        <w:lastRenderedPageBreak/>
        <w:t>развивать базу данных Организации Объединенных Наций, связанную с преступностью, продолжая проводить обзоры тенденций в области преступности и функционирования систем уголовного правосудия.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5D343A" w:rsidRPr="00CE5C47" w:rsidRDefault="005B109C" w:rsidP="005D343A">
      <w:r w:rsidRPr="005B109C">
        <w:t>Обращение в компетентные органы является первым шагом для же</w:t>
      </w:r>
      <w:proofErr w:type="gramStart"/>
      <w:r w:rsidRPr="005B109C">
        <w:t>ртв пр</w:t>
      </w:r>
      <w:proofErr w:type="gramEnd"/>
      <w:r w:rsidRPr="005B109C">
        <w:t xml:space="preserve">еступлений в поисках правосудия: если компетентные органы не будут предупреждены, они </w:t>
      </w:r>
      <w:r w:rsidR="00BF6FC6">
        <w:t xml:space="preserve">будут </w:t>
      </w:r>
      <w:r w:rsidRPr="005B109C">
        <w:t>не в состоянии провести надлежащие расследования и вершить правосудие. Однако отсутствие доверия и уверенности в способности полиции или других органов власти обеспечить эффективное возмещение ущерба или объективные и субъективные трудности в доступе к органам власти могут негативно повлиять на поведение жертв, сообщающих о преступлениях. Таким образом, показатели отчетности являются прямым показателем уверенности же</w:t>
      </w:r>
      <w:proofErr w:type="gramStart"/>
      <w:r w:rsidRPr="005B109C">
        <w:t>ртв пр</w:t>
      </w:r>
      <w:proofErr w:type="gramEnd"/>
      <w:r w:rsidRPr="005B109C">
        <w:t xml:space="preserve">еступлений в способности полиции или других органов власти оказать помощь и привлечь виновных к ответственности. Показатели отчетности также позволяют оценить </w:t>
      </w:r>
      <w:r w:rsidR="00B60CCD">
        <w:t>«</w:t>
      </w:r>
      <w:r w:rsidRPr="005B109C">
        <w:t>скрытую цифру</w:t>
      </w:r>
      <w:r w:rsidR="00B60CCD">
        <w:t>»</w:t>
      </w:r>
      <w:r w:rsidRPr="005B109C">
        <w:t xml:space="preserve"> преступности, то есть долю преступлений, о которых не сообщается в полицию. Тенденции в показателях отчетности о насильственных преступлениях могут использоваться для мониторинга общественного доверия к компетентным органам на основе фактического поведения, а не представлений.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5B109C" w:rsidRDefault="005B109C" w:rsidP="005B109C">
      <w:r>
        <w:t xml:space="preserve">Обследования </w:t>
      </w:r>
      <w:proofErr w:type="spellStart"/>
      <w:r>
        <w:t>виктимизации</w:t>
      </w:r>
      <w:proofErr w:type="spellEnd"/>
      <w:r>
        <w:t xml:space="preserve"> способны охватить опыт и сообщения о насилии, которым подвергается взрослое население обоих полов; однако из-за сложности сбора информации об опыте насилия, вероятно, не все случаи и сообщения о насилии должным образом охвачены этими обследованиями, которые направлены на охват нескольких видов преступлений. Другие специализированные обследования, посвященные насилию, обычно фокусируются на отдельных группах населения (как правило, женщинах, детях или пожилых людях) или конкретных контекстах (бытовое насилие, школы, тюрьмы и т.д.), но они не в состоянии отразить уровни и тенденции насилия среди всего населения.</w:t>
      </w:r>
    </w:p>
    <w:p w:rsidR="005B109C" w:rsidRDefault="005B109C" w:rsidP="005B109C">
      <w:r>
        <w:t xml:space="preserve">Обследования </w:t>
      </w:r>
      <w:proofErr w:type="spellStart"/>
      <w:r>
        <w:t>виктимизации</w:t>
      </w:r>
      <w:proofErr w:type="spellEnd"/>
      <w:r>
        <w:t xml:space="preserve"> (в виде специализированных обследований или в качестве модулей обследований домашних хозяйств) обычно проводятся только среди населения в целом, проживающего в домашних хозяйствах старше определенного возраста (обычно 15 или 18 лет и старше), хотя иногда также применяется верхний возрастной предел (обычно 65, 70 или 75 лет).</w:t>
      </w:r>
    </w:p>
    <w:p w:rsidR="005D343A" w:rsidRPr="005D343A" w:rsidRDefault="005B109C" w:rsidP="005B109C">
      <w:r>
        <w:t>Вопросы, касающиеся сообщений о насилии, требуют национальной адаптации официальных органов власти, которые в национальном контексте имеют на это право и обычно функционируют в качестве правоохранительных органов (различные подразделения полиции, специализированные подразделения вооруженных сил, отвечающие за обеспечение правопорядка, или религиозная полиция) или других соответствующих национальному уровню механизмов, включая неформальные органы власти, которые широко используются для получения возмещения ущерба для жертв насилия. НС</w:t>
      </w:r>
      <w:r w:rsidR="000418AE">
        <w:t>С</w:t>
      </w:r>
      <w:r>
        <w:t xml:space="preserve"> рекомендуется оставить полицию и медицинские службы на первых двух позициях, и они должны быть включены по умолчанию. Среди неформальных </w:t>
      </w:r>
      <w:r>
        <w:lastRenderedPageBreak/>
        <w:t>компетентных органов НС</w:t>
      </w:r>
      <w:r w:rsidR="000418AE">
        <w:t>С</w:t>
      </w:r>
      <w:r>
        <w:t xml:space="preserve"> могут рассмотреть механизмы в государственных и частных учреждениях для решения проблем, связанных с насилием (например, управления внутренних дел или внутренний дисциплинарный контроль), или традиционные руководящие структуры, такие как племенные или религиозные лидеры или старейшины общин.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810C8" w:rsidRDefault="000810C8" w:rsidP="000810C8">
      <w:proofErr w:type="gramStart"/>
      <w:r>
        <w:t xml:space="preserve">Показатель рассчитывается как число респондентов обследования, которые стали жертвами (а) физического, (б) психологического и (в) сексуального насилия за предыдущие 12 месяцев и которые сообщили об этом компетентным органам или другим </w:t>
      </w:r>
      <w:r w:rsidRPr="000810C8">
        <w:t>официально признанны</w:t>
      </w:r>
      <w:r w:rsidR="00BF6FC6">
        <w:t>м</w:t>
      </w:r>
      <w:r w:rsidRPr="000810C8">
        <w:t xml:space="preserve"> механизм</w:t>
      </w:r>
      <w:r w:rsidR="00BF6FC6">
        <w:t>ам</w:t>
      </w:r>
      <w:r w:rsidRPr="000810C8">
        <w:t xml:space="preserve"> урегулирования конфликтов</w:t>
      </w:r>
      <w:r>
        <w:t xml:space="preserve">, деленное на общее число респондентов </w:t>
      </w:r>
      <w:r w:rsidR="00041C4B" w:rsidRPr="00041C4B">
        <w:t>обследования</w:t>
      </w:r>
      <w:r>
        <w:t xml:space="preserve">, которые были жертвами (а) физического, (б) психологического и (в) сексуального насилия за предыдущие 12 месяцев (также называемого </w:t>
      </w:r>
      <w:r w:rsidR="00437178">
        <w:t>«</w:t>
      </w:r>
      <w:r>
        <w:t>уровнем сообщений</w:t>
      </w:r>
      <w:proofErr w:type="gramEnd"/>
      <w:r>
        <w:t xml:space="preserve"> о преступлениях</w:t>
      </w:r>
      <w:r w:rsidR="00437178">
        <w:t>»</w:t>
      </w:r>
      <w:r>
        <w:t>).</w:t>
      </w:r>
      <w:r w:rsidR="00041C4B">
        <w:t xml:space="preserve"> </w:t>
      </w:r>
    </w:p>
    <w:p w:rsidR="000810C8" w:rsidRDefault="000810C8" w:rsidP="000810C8">
      <w:r>
        <w:t>Следует рассчитать три отдельных показателя, по о</w:t>
      </w:r>
      <w:r w:rsidR="00041C4B">
        <w:t>дному для каждого вида насилия.</w:t>
      </w:r>
    </w:p>
    <w:p w:rsidR="000810C8" w:rsidRDefault="000810C8" w:rsidP="000810C8">
      <w:r>
        <w:t>Показатели относятся к индивидуальному (“непосредственному”) опыту и сообщениям респондента, который должен быть случайным образом выбран из числа подходящих членов домохозяйства. Опыт и сообщения о насилии со стороны других членов домохозяйства</w:t>
      </w:r>
      <w:r w:rsidR="00041C4B">
        <w:t xml:space="preserve"> не должны включаться в расчет.</w:t>
      </w:r>
    </w:p>
    <w:p w:rsidR="000810C8" w:rsidRDefault="000810C8" w:rsidP="000810C8">
      <w:r>
        <w:t xml:space="preserve">Стандартизированный и апробированный на международном уровне </w:t>
      </w:r>
      <w:hyperlink r:id="rId11" w:history="1">
        <w:r w:rsidR="00DD200E">
          <w:rPr>
            <w:rStyle w:val="ac"/>
          </w:rPr>
          <w:t>Вопросник</w:t>
        </w:r>
        <w:r w:rsidRPr="00041C4B">
          <w:rPr>
            <w:rStyle w:val="ac"/>
          </w:rPr>
          <w:t xml:space="preserve"> по ЦУР 16</w:t>
        </w:r>
      </w:hyperlink>
      <w:r>
        <w:t xml:space="preserve"> и </w:t>
      </w:r>
      <w:hyperlink r:id="rId12" w:history="1">
        <w:r w:rsidRPr="00041C4B">
          <w:rPr>
            <w:rStyle w:val="ac"/>
          </w:rPr>
          <w:t xml:space="preserve">прилагаемое руководство по </w:t>
        </w:r>
        <w:r w:rsidR="00DD200E">
          <w:rPr>
            <w:rStyle w:val="ac"/>
          </w:rPr>
          <w:t xml:space="preserve">его </w:t>
        </w:r>
        <w:r w:rsidRPr="00041C4B">
          <w:rPr>
            <w:rStyle w:val="ac"/>
          </w:rPr>
          <w:t>внедрению</w:t>
        </w:r>
      </w:hyperlink>
      <w:r>
        <w:t xml:space="preserve">, которые могут использоваться странами для сбора данных по показателю ЦУР 16.3.1, содержат основной набор вопросов о конкретных формах поведения, которые позволяют измерить уровень сообщений о физическом, сексуальном и психологическом насилии среди населения. Инициатива по обследованию </w:t>
      </w:r>
      <w:proofErr w:type="spellStart"/>
      <w:r>
        <w:t>виктимизации</w:t>
      </w:r>
      <w:proofErr w:type="spellEnd"/>
      <w:r>
        <w:t xml:space="preserve"> в Латинской Америке и Карибском бассейне (LACSI) также предлагает стандартизированную методологию оценки сообщений о насилии. Хотя точная формулировка соответствующих вопросов обследования может потребовать адаптации к национальным условиям, был определен основной набор форм поведения, свидетельствующих о физическом, психологическом и сексуальном насилии, совершаемом по отношению к человеку.</w:t>
      </w:r>
    </w:p>
    <w:p w:rsidR="000810C8" w:rsidRDefault="000810C8" w:rsidP="000810C8">
      <w:r>
        <w:t>Вопросы о физическом, психологическом и сексуальном насилии должны оцениваться отдельно. Как числитель, так и знаменатель измеряются с помощью выборочных обследований населения в целом.</w:t>
      </w:r>
    </w:p>
    <w:p w:rsidR="00041C4B" w:rsidRPr="00041C4B" w:rsidRDefault="00041C4B" w:rsidP="00041C4B">
      <w:pPr>
        <w:shd w:val="clear" w:color="auto" w:fill="FFFFFF"/>
        <w:spacing w:after="0"/>
        <w:rPr>
          <w:rFonts w:eastAsia="Times New Roman" w:cstheme="minorHAnsi"/>
          <w:b/>
          <w:bCs/>
          <w:color w:val="4A4A4A"/>
          <w:sz w:val="21"/>
          <w:szCs w:val="21"/>
          <w:lang w:eastAsia="en-GB"/>
        </w:rPr>
      </w:pPr>
      <w:r>
        <w:rPr>
          <w:rFonts w:eastAsia="Times New Roman" w:cstheme="minorHAnsi"/>
          <w:b/>
          <w:bCs/>
          <w:color w:val="4A4A4A"/>
          <w:sz w:val="21"/>
          <w:szCs w:val="21"/>
          <w:lang w:eastAsia="en-GB"/>
        </w:rPr>
        <w:t>Таблица</w:t>
      </w:r>
      <w:r w:rsidRPr="00041C4B">
        <w:rPr>
          <w:rFonts w:eastAsia="Times New Roman" w:cstheme="minorHAnsi"/>
          <w:b/>
          <w:bCs/>
          <w:color w:val="4A4A4A"/>
          <w:sz w:val="21"/>
          <w:szCs w:val="21"/>
          <w:lang w:eastAsia="en-GB"/>
        </w:rPr>
        <w:t xml:space="preserve"> 1: </w:t>
      </w:r>
      <w:r>
        <w:rPr>
          <w:rFonts w:eastAsia="Times New Roman" w:cstheme="minorHAnsi"/>
          <w:b/>
          <w:bCs/>
          <w:color w:val="4A4A4A"/>
          <w:sz w:val="21"/>
          <w:szCs w:val="21"/>
          <w:lang w:eastAsia="en-GB"/>
        </w:rPr>
        <w:t>Перечень</w:t>
      </w:r>
      <w:r w:rsidRPr="00041C4B">
        <w:rPr>
          <w:rFonts w:eastAsia="Times New Roman" w:cstheme="minorHAnsi"/>
          <w:b/>
          <w:bCs/>
          <w:color w:val="4A4A4A"/>
          <w:sz w:val="21"/>
          <w:szCs w:val="21"/>
          <w:lang w:eastAsia="en-GB"/>
        </w:rPr>
        <w:t xml:space="preserve"> вопросов для оценки опыта и отчетности о насилии</w:t>
      </w:r>
    </w:p>
    <w:tbl>
      <w:tblPr>
        <w:tblStyle w:val="TableGrid1"/>
        <w:tblW w:w="5000" w:type="pct"/>
        <w:tblInd w:w="0" w:type="dxa"/>
        <w:tblLook w:val="04A0" w:firstRow="1" w:lastRow="0" w:firstColumn="1" w:lastColumn="0" w:noHBand="0" w:noVBand="1"/>
      </w:tblPr>
      <w:tblGrid>
        <w:gridCol w:w="4785"/>
        <w:gridCol w:w="4786"/>
      </w:tblGrid>
      <w:tr w:rsidR="00041C4B" w:rsidRPr="008C068A" w:rsidTr="00A0288C">
        <w:tc>
          <w:tcPr>
            <w:tcW w:w="2500"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041C4B" w:rsidRPr="00041C4B" w:rsidRDefault="00041C4B" w:rsidP="00A0288C">
            <w:pPr>
              <w:spacing w:line="276" w:lineRule="auto"/>
              <w:jc w:val="center"/>
              <w:rPr>
                <w:rFonts w:asciiTheme="minorHAnsi" w:hAnsiTheme="minorHAnsi" w:cstheme="minorHAnsi"/>
                <w:b/>
                <w:bCs/>
                <w:sz w:val="21"/>
                <w:szCs w:val="21"/>
                <w:lang w:val="ru-RU" w:eastAsia="en-US"/>
              </w:rPr>
            </w:pPr>
            <w:r>
              <w:rPr>
                <w:rFonts w:cstheme="minorHAnsi"/>
                <w:b/>
                <w:bCs/>
                <w:sz w:val="21"/>
                <w:szCs w:val="21"/>
                <w:lang w:val="ru-RU" w:eastAsia="en-US"/>
              </w:rPr>
              <w:t>Содержание вопроса</w:t>
            </w:r>
          </w:p>
        </w:tc>
        <w:tc>
          <w:tcPr>
            <w:tcW w:w="2500"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041C4B" w:rsidRPr="00041C4B" w:rsidRDefault="00041C4B" w:rsidP="00A0288C">
            <w:pPr>
              <w:spacing w:line="276" w:lineRule="auto"/>
              <w:jc w:val="center"/>
              <w:rPr>
                <w:rFonts w:asciiTheme="minorHAnsi" w:hAnsiTheme="minorHAnsi" w:cstheme="minorHAnsi"/>
                <w:b/>
                <w:bCs/>
                <w:sz w:val="21"/>
                <w:szCs w:val="21"/>
                <w:lang w:val="ru-RU" w:eastAsia="en-US"/>
              </w:rPr>
            </w:pPr>
            <w:r>
              <w:rPr>
                <w:rFonts w:cstheme="minorHAnsi"/>
                <w:b/>
                <w:bCs/>
                <w:sz w:val="21"/>
                <w:szCs w:val="21"/>
                <w:lang w:val="ru-RU" w:eastAsia="en-US"/>
              </w:rPr>
              <w:t>Инструкции</w:t>
            </w:r>
          </w:p>
        </w:tc>
      </w:tr>
      <w:tr w:rsidR="00041C4B" w:rsidRPr="00F50DE1"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spacing w:line="276" w:lineRule="auto"/>
              <w:contextualSpacing/>
              <w:jc w:val="left"/>
              <w:rPr>
                <w:rFonts w:asciiTheme="minorHAnsi" w:hAnsiTheme="minorHAnsi" w:cstheme="minorHAnsi"/>
                <w:sz w:val="21"/>
                <w:szCs w:val="21"/>
                <w:lang w:val="ru-RU" w:eastAsia="en-US"/>
              </w:rPr>
            </w:pPr>
            <w:r w:rsidRPr="004E0E1C">
              <w:rPr>
                <w:rFonts w:cstheme="minorHAnsi"/>
                <w:sz w:val="21"/>
                <w:szCs w:val="21"/>
                <w:lang w:val="ru-RU" w:eastAsia="en-US"/>
              </w:rPr>
              <w:t>Опыт физического насилия за 12 месяцев в разбивке по видам физического насилия (набор действий/моделей поведения, указывающих на физическое насилие, приведен в таблице 2)</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F50DE1" w:rsidRDefault="00F50DE1" w:rsidP="00A0288C">
            <w:pPr>
              <w:spacing w:line="276" w:lineRule="auto"/>
              <w:rPr>
                <w:rFonts w:asciiTheme="minorHAnsi" w:hAnsiTheme="minorHAnsi" w:cstheme="minorHAnsi"/>
                <w:sz w:val="21"/>
                <w:szCs w:val="21"/>
                <w:lang w:val="ru-RU" w:eastAsia="en-US"/>
              </w:rPr>
            </w:pPr>
            <w:r w:rsidRPr="00F50DE1">
              <w:rPr>
                <w:rFonts w:cstheme="minorHAnsi"/>
                <w:sz w:val="21"/>
                <w:szCs w:val="21"/>
                <w:lang w:val="ru-RU" w:eastAsia="en-US"/>
              </w:rPr>
              <w:t>Если физического насилия не было, перейдите к пункту 4, в противном случае перейдите к пункту 2.</w:t>
            </w:r>
          </w:p>
        </w:tc>
      </w:tr>
      <w:tr w:rsidR="00041C4B" w:rsidRPr="00E55EA2"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spacing w:line="276" w:lineRule="auto"/>
              <w:contextualSpacing/>
              <w:jc w:val="left"/>
              <w:rPr>
                <w:rFonts w:asciiTheme="minorHAnsi" w:hAnsiTheme="minorHAnsi" w:cstheme="minorHAnsi"/>
                <w:sz w:val="21"/>
                <w:szCs w:val="21"/>
                <w:lang w:val="ru-RU" w:eastAsia="en-US"/>
              </w:rPr>
            </w:pPr>
            <w:r w:rsidRPr="004E0E1C">
              <w:rPr>
                <w:rFonts w:cstheme="minorHAnsi"/>
                <w:sz w:val="21"/>
                <w:szCs w:val="21"/>
                <w:lang w:val="ru-RU" w:eastAsia="en-US"/>
              </w:rPr>
              <w:t xml:space="preserve">Самый последний вид физического насилия, которому </w:t>
            </w:r>
            <w:r>
              <w:rPr>
                <w:rFonts w:cstheme="minorHAnsi"/>
                <w:sz w:val="21"/>
                <w:szCs w:val="21"/>
                <w:lang w:val="ru-RU" w:eastAsia="en-US"/>
              </w:rPr>
              <w:t>вы подверглись</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F50DE1" w:rsidRDefault="00F50DE1" w:rsidP="00A0288C">
            <w:pPr>
              <w:spacing w:line="276" w:lineRule="auto"/>
              <w:rPr>
                <w:rFonts w:asciiTheme="minorHAnsi" w:hAnsiTheme="minorHAnsi" w:cstheme="minorHAnsi"/>
                <w:sz w:val="21"/>
                <w:szCs w:val="21"/>
                <w:lang w:val="ru-RU" w:eastAsia="en-US"/>
              </w:rPr>
            </w:pPr>
            <w:r>
              <w:rPr>
                <w:rFonts w:cstheme="minorHAnsi"/>
                <w:sz w:val="21"/>
                <w:szCs w:val="21"/>
                <w:lang w:val="ru-RU" w:eastAsia="en-US"/>
              </w:rPr>
              <w:t>Перейдите к пункту 3.</w:t>
            </w:r>
          </w:p>
        </w:tc>
      </w:tr>
      <w:tr w:rsidR="00041C4B" w:rsidRPr="00E55EA2"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spacing w:line="276" w:lineRule="auto"/>
              <w:contextualSpacing/>
              <w:jc w:val="left"/>
              <w:rPr>
                <w:rFonts w:asciiTheme="minorHAnsi" w:hAnsiTheme="minorHAnsi" w:cstheme="minorHAnsi"/>
                <w:sz w:val="21"/>
                <w:szCs w:val="21"/>
                <w:lang w:val="ru-RU" w:eastAsia="en-US"/>
              </w:rPr>
            </w:pPr>
            <w:r w:rsidRPr="004E0E1C">
              <w:rPr>
                <w:rFonts w:cstheme="minorHAnsi"/>
                <w:sz w:val="21"/>
                <w:szCs w:val="21"/>
                <w:lang w:val="ru-RU" w:eastAsia="en-US"/>
              </w:rPr>
              <w:lastRenderedPageBreak/>
              <w:t>Сообщили ли вы об этом последнем инциденте в полицию или в какой-либо другой компетентный орган, куда вы могли бы обратиться за помощью или правосудием?</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8C068A" w:rsidRDefault="00F50DE1" w:rsidP="00F50DE1">
            <w:pPr>
              <w:spacing w:line="276" w:lineRule="auto"/>
              <w:rPr>
                <w:rFonts w:asciiTheme="minorHAnsi" w:hAnsiTheme="minorHAnsi" w:cstheme="minorHAnsi"/>
                <w:sz w:val="21"/>
                <w:szCs w:val="21"/>
                <w:lang w:val="en-US" w:eastAsia="en-US"/>
              </w:rPr>
            </w:pPr>
            <w:r>
              <w:rPr>
                <w:rFonts w:cstheme="minorHAnsi"/>
                <w:sz w:val="21"/>
                <w:szCs w:val="21"/>
                <w:lang w:val="ru-RU" w:eastAsia="en-US"/>
              </w:rPr>
              <w:t>Перейдите к пункту 4.</w:t>
            </w:r>
          </w:p>
        </w:tc>
      </w:tr>
      <w:tr w:rsidR="00041C4B" w:rsidRPr="00F50DE1"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spacing w:line="276" w:lineRule="auto"/>
              <w:contextualSpacing/>
              <w:jc w:val="left"/>
              <w:rPr>
                <w:rFonts w:asciiTheme="minorHAnsi" w:hAnsiTheme="minorHAnsi" w:cstheme="minorHAnsi"/>
                <w:sz w:val="21"/>
                <w:szCs w:val="21"/>
                <w:lang w:val="ru-RU" w:eastAsia="en-US"/>
              </w:rPr>
            </w:pPr>
            <w:r w:rsidRPr="004E0E1C">
              <w:rPr>
                <w:rFonts w:cstheme="minorHAnsi"/>
                <w:sz w:val="21"/>
                <w:szCs w:val="21"/>
                <w:lang w:val="ru-RU" w:eastAsia="en-US"/>
              </w:rPr>
              <w:t>Опыт психологического насилия за 12 месяцев в разбивке по видам психологического насилия (набор действий/моделей поведения, указывающих на психологическое насилие, приведен в таблице 2)</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F50DE1" w:rsidRDefault="00F50DE1" w:rsidP="00A0288C">
            <w:pPr>
              <w:spacing w:line="276" w:lineRule="auto"/>
              <w:rPr>
                <w:rFonts w:asciiTheme="minorHAnsi" w:hAnsiTheme="minorHAnsi" w:cstheme="minorHAnsi"/>
                <w:sz w:val="21"/>
                <w:szCs w:val="21"/>
                <w:lang w:val="ru-RU" w:eastAsia="en-US"/>
              </w:rPr>
            </w:pPr>
            <w:r w:rsidRPr="00F50DE1">
              <w:rPr>
                <w:rFonts w:cstheme="minorHAnsi"/>
                <w:sz w:val="21"/>
                <w:szCs w:val="21"/>
                <w:lang w:val="ru-RU" w:eastAsia="en-US"/>
              </w:rPr>
              <w:t xml:space="preserve">Если психологического насилия не было, перейдите к 7, в противном случае перейдите к </w:t>
            </w:r>
            <w:r>
              <w:rPr>
                <w:rFonts w:cstheme="minorHAnsi"/>
                <w:sz w:val="21"/>
                <w:szCs w:val="21"/>
                <w:lang w:val="ru-RU" w:eastAsia="en-US"/>
              </w:rPr>
              <w:t xml:space="preserve">пункту </w:t>
            </w:r>
            <w:r w:rsidRPr="00F50DE1">
              <w:rPr>
                <w:rFonts w:cstheme="minorHAnsi"/>
                <w:sz w:val="21"/>
                <w:szCs w:val="21"/>
                <w:lang w:val="ru-RU" w:eastAsia="en-US"/>
              </w:rPr>
              <w:t>5.</w:t>
            </w:r>
          </w:p>
        </w:tc>
      </w:tr>
      <w:tr w:rsidR="00041C4B" w:rsidRPr="00E55EA2"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spacing w:line="276" w:lineRule="auto"/>
              <w:contextualSpacing/>
              <w:jc w:val="left"/>
              <w:rPr>
                <w:rFonts w:asciiTheme="minorHAnsi" w:hAnsiTheme="minorHAnsi" w:cstheme="minorHAnsi"/>
                <w:sz w:val="21"/>
                <w:szCs w:val="21"/>
                <w:lang w:val="ru-RU" w:eastAsia="en-US"/>
              </w:rPr>
            </w:pPr>
            <w:r w:rsidRPr="004E0E1C">
              <w:rPr>
                <w:rFonts w:cstheme="minorHAnsi"/>
                <w:sz w:val="21"/>
                <w:szCs w:val="21"/>
                <w:lang w:val="ru-RU" w:eastAsia="en-US"/>
              </w:rPr>
              <w:t xml:space="preserve">Самый последний вид психологического насилия, которому </w:t>
            </w:r>
            <w:r>
              <w:rPr>
                <w:rFonts w:cstheme="minorHAnsi"/>
                <w:sz w:val="21"/>
                <w:szCs w:val="21"/>
                <w:lang w:val="ru-RU" w:eastAsia="en-US"/>
              </w:rPr>
              <w:t>вы подверглись</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8C068A" w:rsidRDefault="00F50DE1" w:rsidP="00A0288C">
            <w:pPr>
              <w:spacing w:line="276" w:lineRule="auto"/>
              <w:rPr>
                <w:rFonts w:asciiTheme="minorHAnsi" w:hAnsiTheme="minorHAnsi" w:cstheme="minorHAnsi"/>
                <w:sz w:val="21"/>
                <w:szCs w:val="21"/>
                <w:lang w:val="en-US" w:eastAsia="en-US"/>
              </w:rPr>
            </w:pPr>
            <w:r>
              <w:rPr>
                <w:rFonts w:cstheme="minorHAnsi"/>
                <w:sz w:val="21"/>
                <w:szCs w:val="21"/>
                <w:lang w:val="ru-RU" w:eastAsia="en-US"/>
              </w:rPr>
              <w:t xml:space="preserve">Перейдите к пункту </w:t>
            </w:r>
            <w:r w:rsidR="00041C4B" w:rsidRPr="008C068A">
              <w:rPr>
                <w:rFonts w:cstheme="minorHAnsi"/>
                <w:sz w:val="21"/>
                <w:szCs w:val="21"/>
                <w:lang w:val="en-US" w:eastAsia="en-US"/>
              </w:rPr>
              <w:t>6.</w:t>
            </w:r>
          </w:p>
        </w:tc>
      </w:tr>
      <w:tr w:rsidR="00041C4B" w:rsidRPr="00E55EA2"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spacing w:line="276" w:lineRule="auto"/>
              <w:contextualSpacing/>
              <w:jc w:val="left"/>
              <w:rPr>
                <w:rFonts w:asciiTheme="minorHAnsi" w:hAnsiTheme="minorHAnsi" w:cstheme="minorHAnsi"/>
                <w:sz w:val="21"/>
                <w:szCs w:val="21"/>
                <w:lang w:val="ru-RU" w:eastAsia="en-US"/>
              </w:rPr>
            </w:pPr>
            <w:r w:rsidRPr="004E0E1C">
              <w:rPr>
                <w:rFonts w:cstheme="minorHAnsi"/>
                <w:sz w:val="21"/>
                <w:szCs w:val="21"/>
                <w:lang w:val="ru-RU" w:eastAsia="en-US"/>
              </w:rPr>
              <w:t>Сообщили ли вы об этом последнем инциденте в полицию или в какой-либо другой компетентный орган, куда вы могли бы обратиться за помощью или правосудием?</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8C068A" w:rsidRDefault="00F50DE1" w:rsidP="00A0288C">
            <w:pPr>
              <w:spacing w:line="276" w:lineRule="auto"/>
              <w:rPr>
                <w:rFonts w:asciiTheme="minorHAnsi" w:hAnsiTheme="minorHAnsi" w:cstheme="minorHAnsi"/>
                <w:sz w:val="21"/>
                <w:szCs w:val="21"/>
                <w:lang w:val="en-US" w:eastAsia="en-US"/>
              </w:rPr>
            </w:pPr>
            <w:r>
              <w:rPr>
                <w:rFonts w:cstheme="minorHAnsi"/>
                <w:sz w:val="21"/>
                <w:szCs w:val="21"/>
                <w:lang w:val="ru-RU" w:eastAsia="en-US"/>
              </w:rPr>
              <w:t xml:space="preserve">Перейдите к пункту </w:t>
            </w:r>
            <w:r w:rsidR="00041C4B" w:rsidRPr="008C068A">
              <w:rPr>
                <w:rFonts w:cstheme="minorHAnsi"/>
                <w:sz w:val="21"/>
                <w:szCs w:val="21"/>
                <w:lang w:val="en-US" w:eastAsia="en-US"/>
              </w:rPr>
              <w:t>7.</w:t>
            </w:r>
          </w:p>
        </w:tc>
      </w:tr>
      <w:tr w:rsidR="00041C4B" w:rsidRPr="00F50DE1"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contextualSpacing/>
              <w:jc w:val="left"/>
              <w:rPr>
                <w:rFonts w:cstheme="minorHAnsi"/>
                <w:sz w:val="21"/>
                <w:szCs w:val="21"/>
                <w:lang w:val="ru-RU" w:eastAsia="en-US"/>
              </w:rPr>
            </w:pPr>
            <w:r w:rsidRPr="004E0E1C">
              <w:rPr>
                <w:rFonts w:cstheme="minorHAnsi"/>
                <w:sz w:val="21"/>
                <w:szCs w:val="21"/>
                <w:lang w:val="ru-RU" w:eastAsia="en-US"/>
              </w:rPr>
              <w:t>Опыт сексуального насилия за 12 месяцев в разбивке по видам сексуального насилия (набор действий/моделей поведения, указывающих на сексуальное насилие, приведен в таблице 2)</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F50DE1" w:rsidRDefault="00F50DE1" w:rsidP="00F50DE1">
            <w:pPr>
              <w:rPr>
                <w:rFonts w:cstheme="minorHAnsi"/>
                <w:sz w:val="21"/>
                <w:szCs w:val="21"/>
                <w:lang w:val="ru-RU" w:eastAsia="en-US"/>
              </w:rPr>
            </w:pPr>
            <w:r w:rsidRPr="00F50DE1">
              <w:rPr>
                <w:rFonts w:cstheme="minorHAnsi"/>
                <w:sz w:val="21"/>
                <w:szCs w:val="21"/>
                <w:lang w:val="ru-RU" w:eastAsia="en-US"/>
              </w:rPr>
              <w:t xml:space="preserve">Если сексуального насилия не было, </w:t>
            </w:r>
            <w:r>
              <w:rPr>
                <w:rFonts w:cstheme="minorHAnsi"/>
                <w:sz w:val="21"/>
                <w:szCs w:val="21"/>
                <w:lang w:val="ru-RU" w:eastAsia="en-US"/>
              </w:rPr>
              <w:t>завершите заполнение</w:t>
            </w:r>
            <w:r w:rsidRPr="00F50DE1">
              <w:rPr>
                <w:rFonts w:cstheme="minorHAnsi"/>
                <w:sz w:val="21"/>
                <w:szCs w:val="21"/>
                <w:lang w:val="ru-RU" w:eastAsia="en-US"/>
              </w:rPr>
              <w:t>, в противном случае перейдите к пункту 8.</w:t>
            </w:r>
          </w:p>
        </w:tc>
      </w:tr>
      <w:tr w:rsidR="00041C4B" w:rsidRPr="00E55EA2"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contextualSpacing/>
              <w:jc w:val="left"/>
              <w:rPr>
                <w:rFonts w:cstheme="minorHAnsi"/>
                <w:sz w:val="21"/>
                <w:szCs w:val="21"/>
                <w:lang w:val="ru-RU" w:eastAsia="en-US"/>
              </w:rPr>
            </w:pPr>
            <w:r w:rsidRPr="004E0E1C">
              <w:rPr>
                <w:rFonts w:cstheme="minorHAnsi"/>
                <w:sz w:val="21"/>
                <w:szCs w:val="21"/>
                <w:lang w:val="ru-RU" w:eastAsia="en-US"/>
              </w:rPr>
              <w:t xml:space="preserve">Самый последний вид сексуального насилия, которому </w:t>
            </w:r>
            <w:r>
              <w:rPr>
                <w:rFonts w:cstheme="minorHAnsi"/>
                <w:sz w:val="21"/>
                <w:szCs w:val="21"/>
                <w:lang w:val="ru-RU" w:eastAsia="en-US"/>
              </w:rPr>
              <w:t>вы подверглись</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8C068A" w:rsidRDefault="00F50DE1" w:rsidP="00A0288C">
            <w:pPr>
              <w:rPr>
                <w:rFonts w:cstheme="minorHAnsi"/>
                <w:sz w:val="21"/>
                <w:szCs w:val="21"/>
                <w:lang w:val="en-US" w:eastAsia="en-US"/>
              </w:rPr>
            </w:pPr>
            <w:r>
              <w:rPr>
                <w:rFonts w:cstheme="minorHAnsi"/>
                <w:sz w:val="21"/>
                <w:szCs w:val="21"/>
                <w:lang w:val="ru-RU" w:eastAsia="en-US"/>
              </w:rPr>
              <w:t xml:space="preserve">Перейдите к пункту </w:t>
            </w:r>
            <w:r w:rsidR="00041C4B" w:rsidRPr="008C068A">
              <w:rPr>
                <w:rFonts w:cstheme="minorHAnsi"/>
                <w:sz w:val="21"/>
                <w:szCs w:val="21"/>
                <w:lang w:val="en-US" w:eastAsia="en-US"/>
              </w:rPr>
              <w:t>9.</w:t>
            </w:r>
          </w:p>
        </w:tc>
      </w:tr>
      <w:tr w:rsidR="00041C4B" w:rsidRPr="00E55EA2" w:rsidTr="00A0288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4E0E1C" w:rsidRDefault="004E0E1C" w:rsidP="004E0E1C">
            <w:pPr>
              <w:numPr>
                <w:ilvl w:val="0"/>
                <w:numId w:val="6"/>
              </w:numPr>
              <w:contextualSpacing/>
              <w:jc w:val="left"/>
              <w:rPr>
                <w:rFonts w:cstheme="minorHAnsi"/>
                <w:sz w:val="21"/>
                <w:szCs w:val="21"/>
                <w:lang w:val="ru-RU" w:eastAsia="en-US"/>
              </w:rPr>
            </w:pPr>
            <w:r w:rsidRPr="004E0E1C">
              <w:rPr>
                <w:rFonts w:cstheme="minorHAnsi"/>
                <w:sz w:val="21"/>
                <w:szCs w:val="21"/>
                <w:lang w:val="ru-RU" w:eastAsia="en-US"/>
              </w:rPr>
              <w:t>Сообщили ли вы об этом последнем инциденте в полицию или в какой-либо другой компетентный орган, куда вы могли бы обратиться за помощью или правосудием?</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rsidR="00041C4B" w:rsidRPr="00F50DE1" w:rsidRDefault="00F50DE1" w:rsidP="00A0288C">
            <w:pPr>
              <w:rPr>
                <w:rFonts w:cstheme="minorHAnsi"/>
                <w:sz w:val="21"/>
                <w:szCs w:val="21"/>
                <w:lang w:val="ru-RU" w:eastAsia="en-US"/>
              </w:rPr>
            </w:pPr>
            <w:r>
              <w:rPr>
                <w:rFonts w:cstheme="minorHAnsi"/>
                <w:sz w:val="21"/>
                <w:szCs w:val="21"/>
                <w:lang w:val="ru-RU" w:eastAsia="en-US"/>
              </w:rPr>
              <w:t>Конец опроса.</w:t>
            </w:r>
          </w:p>
        </w:tc>
      </w:tr>
    </w:tbl>
    <w:p w:rsidR="00E32466" w:rsidRDefault="00E32466" w:rsidP="00E32466">
      <w:pPr>
        <w:pStyle w:val="MText"/>
        <w:rPr>
          <w:b/>
          <w:bCs/>
          <w:lang w:val="ru-RU"/>
        </w:rPr>
      </w:pPr>
    </w:p>
    <w:p w:rsidR="00E32466" w:rsidRDefault="00E32466" w:rsidP="00E32466">
      <w:pPr>
        <w:pStyle w:val="MText"/>
        <w:rPr>
          <w:b/>
          <w:bCs/>
          <w:lang w:val="ru-RU"/>
        </w:rPr>
      </w:pPr>
    </w:p>
    <w:p w:rsidR="00E32466" w:rsidRPr="00E32466" w:rsidRDefault="00E32466" w:rsidP="00E32466">
      <w:pPr>
        <w:pStyle w:val="MText"/>
        <w:rPr>
          <w:b/>
          <w:bCs/>
          <w:lang w:val="ru-RU"/>
        </w:rPr>
      </w:pPr>
      <w:r>
        <w:rPr>
          <w:b/>
          <w:bCs/>
          <w:lang w:val="ru-RU"/>
        </w:rPr>
        <w:t>Таблица</w:t>
      </w:r>
      <w:r w:rsidRPr="00E32466">
        <w:rPr>
          <w:b/>
          <w:bCs/>
          <w:lang w:val="ru-RU"/>
        </w:rPr>
        <w:t xml:space="preserve"> 2: Виды действий или поведения, свидетельствующие о физическом, психологическом и сексуальном насилии.</w:t>
      </w:r>
    </w:p>
    <w:tbl>
      <w:tblPr>
        <w:tblStyle w:val="aa"/>
        <w:tblW w:w="0" w:type="auto"/>
        <w:tblLook w:val="04A0" w:firstRow="1" w:lastRow="0" w:firstColumn="1" w:lastColumn="0" w:noHBand="0" w:noVBand="1"/>
      </w:tblPr>
      <w:tblGrid>
        <w:gridCol w:w="445"/>
        <w:gridCol w:w="8571"/>
      </w:tblGrid>
      <w:tr w:rsidR="00E32466" w:rsidTr="009D0B32">
        <w:tc>
          <w:tcPr>
            <w:tcW w:w="9016" w:type="dxa"/>
            <w:gridSpan w:val="2"/>
            <w:shd w:val="clear" w:color="auto" w:fill="EEECE1" w:themeFill="background2"/>
          </w:tcPr>
          <w:p w:rsidR="00E32466" w:rsidRPr="00DB351F" w:rsidRDefault="00E32466" w:rsidP="00A0288C">
            <w:pPr>
              <w:pStyle w:val="MText"/>
              <w:shd w:val="clear" w:color="auto" w:fill="auto"/>
              <w:jc w:val="center"/>
              <w:rPr>
                <w:b/>
                <w:bCs/>
              </w:rPr>
            </w:pPr>
            <w:r>
              <w:rPr>
                <w:b/>
                <w:bCs/>
                <w:lang w:val="ru-RU"/>
              </w:rPr>
              <w:t>Физическое насилие</w:t>
            </w:r>
            <w:r>
              <w:rPr>
                <w:rStyle w:val="a6"/>
                <w:b/>
                <w:bCs/>
              </w:rPr>
              <w:footnoteReference w:id="4"/>
            </w:r>
          </w:p>
        </w:tc>
      </w:tr>
      <w:tr w:rsidR="00E32466" w:rsidRP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A.</w:t>
            </w:r>
          </w:p>
        </w:tc>
        <w:tc>
          <w:tcPr>
            <w:tcW w:w="8571" w:type="dxa"/>
            <w:vAlign w:val="center"/>
          </w:tcPr>
          <w:p w:rsidR="00E32466" w:rsidRPr="00A0288C" w:rsidRDefault="00E32466" w:rsidP="009D0B32">
            <w:pPr>
              <w:pStyle w:val="MText"/>
              <w:shd w:val="clear" w:color="auto" w:fill="auto"/>
              <w:rPr>
                <w:color w:val="auto"/>
                <w:lang w:val="ru-RU"/>
              </w:rPr>
            </w:pPr>
            <w:r w:rsidRPr="00A0288C">
              <w:rPr>
                <w:color w:val="auto"/>
                <w:lang w:val="ru-RU"/>
              </w:rPr>
              <w:t>УГРОЗА ПРИЧИНЕНИЯ ФИЗИЧЕСКОГО ВРЕДА С ИСПОЛЬЗОВАНИЕМ ОРУЖИЯ (палк</w:t>
            </w:r>
            <w:r w:rsidR="009D0B32" w:rsidRPr="00A0288C">
              <w:rPr>
                <w:color w:val="auto"/>
                <w:lang w:val="ru-RU"/>
              </w:rPr>
              <w:t>а, нож</w:t>
            </w:r>
            <w:r w:rsidRPr="00A0288C">
              <w:rPr>
                <w:color w:val="auto"/>
                <w:lang w:val="ru-RU"/>
              </w:rPr>
              <w:t>, огнестрельн</w:t>
            </w:r>
            <w:r w:rsidR="009D0B32" w:rsidRPr="00A0288C">
              <w:rPr>
                <w:color w:val="auto"/>
                <w:lang w:val="ru-RU"/>
              </w:rPr>
              <w:t>ое</w:t>
            </w:r>
            <w:r w:rsidRPr="00A0288C">
              <w:rPr>
                <w:color w:val="auto"/>
                <w:lang w:val="ru-RU"/>
              </w:rPr>
              <w:t xml:space="preserve"> оружие и т.д.)</w:t>
            </w:r>
          </w:p>
        </w:tc>
      </w:tr>
      <w:tr w:rsidR="00E32466" w:rsidRP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B.</w:t>
            </w:r>
          </w:p>
        </w:tc>
        <w:tc>
          <w:tcPr>
            <w:tcW w:w="8571" w:type="dxa"/>
            <w:vAlign w:val="center"/>
          </w:tcPr>
          <w:p w:rsidR="00E32466" w:rsidRPr="00A0288C" w:rsidRDefault="00E32466" w:rsidP="00E32466">
            <w:pPr>
              <w:pStyle w:val="MText"/>
              <w:shd w:val="clear" w:color="auto" w:fill="auto"/>
              <w:rPr>
                <w:color w:val="auto"/>
                <w:lang w:val="ru-RU"/>
              </w:rPr>
            </w:pPr>
            <w:r w:rsidRPr="00A0288C">
              <w:rPr>
                <w:color w:val="auto"/>
                <w:lang w:val="ru-RU"/>
              </w:rPr>
              <w:t>УГРОЗА ПРИЧИНЕНИЯ ФИЗИЧЕСКОГО ВРЕДА БЕЗ ИСПОЛЬЗОВАНИЯ ОРУЖИЯ, но по-настоящему пугающим способом</w:t>
            </w:r>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C.</w:t>
            </w:r>
          </w:p>
        </w:tc>
        <w:tc>
          <w:tcPr>
            <w:tcW w:w="8571" w:type="dxa"/>
            <w:vAlign w:val="center"/>
          </w:tcPr>
          <w:p w:rsidR="00E32466" w:rsidRPr="00A0288C" w:rsidRDefault="00E32466" w:rsidP="009D0B32">
            <w:pPr>
              <w:pStyle w:val="MText"/>
              <w:shd w:val="clear" w:color="auto" w:fill="auto"/>
              <w:rPr>
                <w:color w:val="auto"/>
                <w:lang w:val="ru-RU"/>
              </w:rPr>
            </w:pPr>
            <w:r w:rsidRPr="00A0288C">
              <w:rPr>
                <w:color w:val="auto"/>
              </w:rPr>
              <w:t>ТОЛ</w:t>
            </w:r>
            <w:r w:rsidR="009D0B32" w:rsidRPr="00A0288C">
              <w:rPr>
                <w:color w:val="auto"/>
                <w:lang w:val="ru-RU"/>
              </w:rPr>
              <w:t>ЧКИ</w:t>
            </w:r>
            <w:r w:rsidRPr="00A0288C">
              <w:rPr>
                <w:color w:val="auto"/>
              </w:rPr>
              <w:t xml:space="preserve"> </w:t>
            </w:r>
            <w:proofErr w:type="spellStart"/>
            <w:r w:rsidRPr="00A0288C">
              <w:rPr>
                <w:color w:val="auto"/>
              </w:rPr>
              <w:t>или</w:t>
            </w:r>
            <w:proofErr w:type="spellEnd"/>
            <w:r w:rsidRPr="00A0288C">
              <w:rPr>
                <w:color w:val="auto"/>
              </w:rPr>
              <w:t xml:space="preserve"> ВСТРЯХИ</w:t>
            </w:r>
            <w:r w:rsidR="009D0B32" w:rsidRPr="00A0288C">
              <w:rPr>
                <w:color w:val="auto"/>
                <w:lang w:val="ru-RU"/>
              </w:rPr>
              <w:t>ВАНИЕ</w:t>
            </w:r>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D.</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rPr>
              <w:t xml:space="preserve">ПОЩЕЧИНА </w:t>
            </w:r>
            <w:proofErr w:type="spellStart"/>
            <w:r w:rsidRPr="00A0288C">
              <w:rPr>
                <w:color w:val="auto"/>
              </w:rPr>
              <w:t>или</w:t>
            </w:r>
            <w:proofErr w:type="spellEnd"/>
            <w:r w:rsidRPr="00A0288C">
              <w:rPr>
                <w:color w:val="auto"/>
              </w:rPr>
              <w:t xml:space="preserve"> УДАР</w:t>
            </w:r>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E.</w:t>
            </w:r>
          </w:p>
        </w:tc>
        <w:tc>
          <w:tcPr>
            <w:tcW w:w="8571" w:type="dxa"/>
            <w:vAlign w:val="center"/>
          </w:tcPr>
          <w:p w:rsidR="00E32466" w:rsidRPr="00A0288C" w:rsidRDefault="009D0B32" w:rsidP="00A0288C">
            <w:pPr>
              <w:pStyle w:val="MText"/>
              <w:shd w:val="clear" w:color="auto" w:fill="auto"/>
              <w:rPr>
                <w:color w:val="auto"/>
                <w:lang w:val="ru-RU"/>
              </w:rPr>
            </w:pPr>
            <w:r w:rsidRPr="00A0288C">
              <w:rPr>
                <w:color w:val="auto"/>
              </w:rPr>
              <w:t>БРОС</w:t>
            </w:r>
            <w:r w:rsidRPr="00A0288C">
              <w:rPr>
                <w:color w:val="auto"/>
                <w:lang w:val="ru-RU"/>
              </w:rPr>
              <w:t>ОК</w:t>
            </w:r>
            <w:r w:rsidRPr="00A0288C">
              <w:rPr>
                <w:color w:val="auto"/>
              </w:rPr>
              <w:t xml:space="preserve"> ТВЕРД</w:t>
            </w:r>
            <w:r w:rsidRPr="00A0288C">
              <w:rPr>
                <w:color w:val="auto"/>
                <w:lang w:val="ru-RU"/>
              </w:rPr>
              <w:t>ОГО</w:t>
            </w:r>
            <w:r w:rsidRPr="00A0288C">
              <w:rPr>
                <w:color w:val="auto"/>
              </w:rPr>
              <w:t xml:space="preserve"> ПРЕДМЕТ</w:t>
            </w:r>
            <w:r w:rsidRPr="00A0288C">
              <w:rPr>
                <w:color w:val="auto"/>
                <w:lang w:val="ru-RU"/>
              </w:rPr>
              <w:t>А</w:t>
            </w:r>
          </w:p>
        </w:tc>
      </w:tr>
      <w:tr w:rsidR="00E32466" w:rsidRPr="009D0B32"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F.</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lang w:val="ru-RU"/>
              </w:rPr>
              <w:t>ХВАТАНИЕ, ДЕРГАНИЕ ЗА ВОЛОСЫ или ТАСКАНИЕ</w:t>
            </w:r>
          </w:p>
        </w:tc>
      </w:tr>
      <w:tr w:rsidR="00E32466" w:rsidRPr="009D0B32"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G.</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lang w:val="ru-RU"/>
              </w:rPr>
              <w:t>УДАР КУЛАКОМ ИЛИ ТВЕРДЫМ ПРЕДМЕТОМ, ИЛИ ПИНАНИЕ НОГАМИ</w:t>
            </w:r>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H.</w:t>
            </w:r>
          </w:p>
        </w:tc>
        <w:tc>
          <w:tcPr>
            <w:tcW w:w="8571" w:type="dxa"/>
            <w:vAlign w:val="center"/>
          </w:tcPr>
          <w:p w:rsidR="00E32466" w:rsidRPr="00A0288C" w:rsidRDefault="009D0B32" w:rsidP="00A0288C">
            <w:pPr>
              <w:pStyle w:val="MText"/>
              <w:shd w:val="clear" w:color="auto" w:fill="auto"/>
              <w:rPr>
                <w:color w:val="auto"/>
                <w:lang w:val="ru-RU"/>
              </w:rPr>
            </w:pPr>
            <w:r w:rsidRPr="00A0288C">
              <w:rPr>
                <w:color w:val="auto"/>
                <w:lang w:val="ru-RU"/>
              </w:rPr>
              <w:t>ПОДЖЕГ</w:t>
            </w:r>
          </w:p>
        </w:tc>
      </w:tr>
      <w:tr w:rsidR="00E32466" w:rsidRP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I.</w:t>
            </w:r>
          </w:p>
        </w:tc>
        <w:tc>
          <w:tcPr>
            <w:tcW w:w="8571" w:type="dxa"/>
            <w:vAlign w:val="center"/>
          </w:tcPr>
          <w:p w:rsidR="00E32466" w:rsidRPr="00A0288C" w:rsidRDefault="009D0B32" w:rsidP="009D0B32">
            <w:pPr>
              <w:pStyle w:val="MText"/>
              <w:shd w:val="clear" w:color="auto" w:fill="auto"/>
              <w:rPr>
                <w:color w:val="auto"/>
              </w:rPr>
            </w:pPr>
            <w:r w:rsidRPr="00A0288C">
              <w:rPr>
                <w:color w:val="auto"/>
              </w:rPr>
              <w:t>П</w:t>
            </w:r>
            <w:proofErr w:type="spellStart"/>
            <w:r w:rsidRPr="00A0288C">
              <w:rPr>
                <w:color w:val="auto"/>
                <w:lang w:val="ru-RU"/>
              </w:rPr>
              <w:t>опытка</w:t>
            </w:r>
            <w:proofErr w:type="spellEnd"/>
            <w:r w:rsidRPr="00A0288C">
              <w:rPr>
                <w:color w:val="auto"/>
              </w:rPr>
              <w:t xml:space="preserve"> ЗАДУШИТЬ </w:t>
            </w:r>
            <w:proofErr w:type="spellStart"/>
            <w:r w:rsidRPr="00A0288C">
              <w:rPr>
                <w:color w:val="auto"/>
              </w:rPr>
              <w:t>или</w:t>
            </w:r>
            <w:proofErr w:type="spellEnd"/>
            <w:r w:rsidRPr="00A0288C">
              <w:rPr>
                <w:color w:val="auto"/>
              </w:rPr>
              <w:t xml:space="preserve"> УДАВИТЬ</w:t>
            </w:r>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J.</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lang w:val="ru-RU"/>
              </w:rPr>
              <w:t xml:space="preserve">Попытка </w:t>
            </w:r>
            <w:r w:rsidRPr="00A0288C">
              <w:rPr>
                <w:color w:val="auto"/>
              </w:rPr>
              <w:t xml:space="preserve">ПОРЕЗАТЬ ИЛИ </w:t>
            </w:r>
            <w:proofErr w:type="gramStart"/>
            <w:r w:rsidRPr="00A0288C">
              <w:rPr>
                <w:color w:val="auto"/>
                <w:lang w:val="ru-RU"/>
              </w:rPr>
              <w:t>ПЫРНУТЬ</w:t>
            </w:r>
            <w:proofErr w:type="gramEnd"/>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K.</w:t>
            </w:r>
          </w:p>
        </w:tc>
        <w:tc>
          <w:tcPr>
            <w:tcW w:w="8571" w:type="dxa"/>
            <w:vAlign w:val="center"/>
          </w:tcPr>
          <w:p w:rsidR="00E32466" w:rsidRPr="00A0288C" w:rsidRDefault="009D0B32" w:rsidP="00A0288C">
            <w:pPr>
              <w:pStyle w:val="MText"/>
              <w:shd w:val="clear" w:color="auto" w:fill="auto"/>
              <w:rPr>
                <w:color w:val="auto"/>
                <w:lang w:val="ru-RU"/>
              </w:rPr>
            </w:pPr>
            <w:r w:rsidRPr="00A0288C">
              <w:rPr>
                <w:color w:val="auto"/>
                <w:lang w:val="ru-RU"/>
              </w:rPr>
              <w:t>ВЫСТРЕЛ</w:t>
            </w:r>
          </w:p>
        </w:tc>
      </w:tr>
      <w:tr w:rsidR="00E32466"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t>L.</w:t>
            </w:r>
          </w:p>
        </w:tc>
        <w:tc>
          <w:tcPr>
            <w:tcW w:w="8571" w:type="dxa"/>
            <w:vAlign w:val="center"/>
          </w:tcPr>
          <w:p w:rsidR="00E32466" w:rsidRPr="00A0288C" w:rsidRDefault="009D0B32" w:rsidP="00A0288C">
            <w:pPr>
              <w:pStyle w:val="MText"/>
              <w:shd w:val="clear" w:color="auto" w:fill="auto"/>
              <w:rPr>
                <w:color w:val="auto"/>
                <w:lang w:val="ru-RU"/>
              </w:rPr>
            </w:pPr>
            <w:r w:rsidRPr="00A0288C">
              <w:rPr>
                <w:color w:val="auto"/>
                <w:lang w:val="ru-RU"/>
              </w:rPr>
              <w:t>УДАР ГОЛОВОЙ ОБО ЧТО-ТО</w:t>
            </w:r>
          </w:p>
        </w:tc>
      </w:tr>
      <w:tr w:rsidR="00E32466" w:rsidRPr="009D0B32" w:rsidTr="009D0B32">
        <w:tc>
          <w:tcPr>
            <w:tcW w:w="445" w:type="dxa"/>
            <w:vAlign w:val="center"/>
          </w:tcPr>
          <w:p w:rsidR="00E32466" w:rsidRPr="00A0288C" w:rsidRDefault="00E32466" w:rsidP="00A0288C">
            <w:pPr>
              <w:pStyle w:val="MText"/>
              <w:shd w:val="clear" w:color="auto" w:fill="auto"/>
              <w:rPr>
                <w:color w:val="auto"/>
              </w:rPr>
            </w:pPr>
            <w:r w:rsidRPr="00A0288C">
              <w:rPr>
                <w:color w:val="auto"/>
              </w:rPr>
              <w:lastRenderedPageBreak/>
              <w:t xml:space="preserve">X. </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lang w:val="ru-RU"/>
              </w:rPr>
              <w:t>ЧТО-ТО ДРУГОЕ, ЧТОБЫ НАВРЕДИТЬ ФИЗИЧЕСКИ, НЕ СЧИТАЯ СЕКСУАЛЬНОЕ НАПАДЕНИЕ</w:t>
            </w:r>
          </w:p>
        </w:tc>
      </w:tr>
      <w:tr w:rsidR="00E32466" w:rsidTr="009D0B32">
        <w:tc>
          <w:tcPr>
            <w:tcW w:w="9016" w:type="dxa"/>
            <w:gridSpan w:val="2"/>
            <w:shd w:val="clear" w:color="auto" w:fill="EEECE1" w:themeFill="background2"/>
            <w:vAlign w:val="center"/>
          </w:tcPr>
          <w:p w:rsidR="00E32466" w:rsidRPr="00A0288C" w:rsidRDefault="009D0B32" w:rsidP="00A0288C">
            <w:pPr>
              <w:pStyle w:val="MText"/>
              <w:shd w:val="clear" w:color="auto" w:fill="auto"/>
              <w:jc w:val="center"/>
              <w:rPr>
                <w:b/>
                <w:bCs/>
                <w:color w:val="auto"/>
              </w:rPr>
            </w:pPr>
            <w:r w:rsidRPr="00A0288C">
              <w:rPr>
                <w:b/>
                <w:bCs/>
                <w:color w:val="auto"/>
                <w:lang w:val="ru-RU"/>
              </w:rPr>
              <w:t>Психологическое насилие</w:t>
            </w:r>
            <w:r w:rsidR="00E32466" w:rsidRPr="00A0288C">
              <w:rPr>
                <w:rStyle w:val="a6"/>
                <w:b/>
                <w:bCs/>
                <w:color w:val="auto"/>
              </w:rPr>
              <w:footnoteReference w:id="5"/>
            </w:r>
          </w:p>
        </w:tc>
      </w:tr>
      <w:tr w:rsidR="00E32466" w:rsidRPr="009D0B32"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A.</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lang w:val="ru-RU"/>
              </w:rPr>
              <w:t>ПРИЧИНЕНИЕ БОЛИ, УГРОЗА ПРИЧИНИТЬ БОЛЬ ИЛИ УГРОЗА ОТОБРАТЬ ДЕТЕЙ</w:t>
            </w:r>
          </w:p>
        </w:tc>
      </w:tr>
      <w:tr w:rsidR="00E32466" w:rsidRPr="009D0B32"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B.</w:t>
            </w:r>
          </w:p>
        </w:tc>
        <w:tc>
          <w:tcPr>
            <w:tcW w:w="8571" w:type="dxa"/>
            <w:vAlign w:val="center"/>
          </w:tcPr>
          <w:p w:rsidR="00E32466" w:rsidRPr="00A0288C" w:rsidRDefault="009D0B32" w:rsidP="009D0B32">
            <w:pPr>
              <w:pStyle w:val="MText"/>
              <w:shd w:val="clear" w:color="auto" w:fill="auto"/>
              <w:rPr>
                <w:color w:val="auto"/>
                <w:lang w:val="ru-RU"/>
              </w:rPr>
            </w:pPr>
            <w:r w:rsidRPr="00A0288C">
              <w:rPr>
                <w:color w:val="auto"/>
                <w:lang w:val="ru-RU"/>
              </w:rPr>
              <w:t>ОГРАНИЧЕНИЕ ВЫБОРА В ОТНОШЕНИИ ПЛАНИРОВАНИЯ СЕМЬИ, например, запрет использования контрацепции или введение в заблуждение относительно собственного использования контрацепции</w:t>
            </w:r>
          </w:p>
        </w:tc>
      </w:tr>
      <w:tr w:rsidR="00E32466" w:rsidRPr="00047434"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C.</w:t>
            </w:r>
          </w:p>
        </w:tc>
        <w:tc>
          <w:tcPr>
            <w:tcW w:w="8571" w:type="dxa"/>
            <w:vAlign w:val="center"/>
          </w:tcPr>
          <w:p w:rsidR="00E32466" w:rsidRPr="00A0288C" w:rsidRDefault="00047434" w:rsidP="00BF6FC6">
            <w:pPr>
              <w:pStyle w:val="MText"/>
              <w:shd w:val="clear" w:color="auto" w:fill="auto"/>
              <w:rPr>
                <w:color w:val="auto"/>
                <w:lang w:val="ru-RU"/>
              </w:rPr>
            </w:pPr>
            <w:r w:rsidRPr="00A0288C">
              <w:rPr>
                <w:color w:val="auto"/>
                <w:lang w:val="ru-RU"/>
              </w:rPr>
              <w:t xml:space="preserve">ОЖИДАНИЕ, ЧТО </w:t>
            </w:r>
            <w:r w:rsidR="009513FF">
              <w:rPr>
                <w:color w:val="auto"/>
                <w:lang w:val="ru-RU"/>
              </w:rPr>
              <w:t>ВЫ</w:t>
            </w:r>
            <w:r w:rsidRPr="00A0288C">
              <w:rPr>
                <w:color w:val="auto"/>
                <w:lang w:val="ru-RU"/>
              </w:rPr>
              <w:t xml:space="preserve"> </w:t>
            </w:r>
            <w:r w:rsidR="009513FF">
              <w:rPr>
                <w:color w:val="auto"/>
                <w:lang w:val="ru-RU"/>
              </w:rPr>
              <w:t xml:space="preserve">СПРОСИТЕ </w:t>
            </w:r>
            <w:r w:rsidRPr="00A0288C">
              <w:rPr>
                <w:color w:val="auto"/>
                <w:lang w:val="ru-RU"/>
              </w:rPr>
              <w:t xml:space="preserve">РАЗРЕШЕНИЯ </w:t>
            </w:r>
            <w:r w:rsidR="00BF6FC6">
              <w:rPr>
                <w:color w:val="auto"/>
                <w:lang w:val="ru-RU"/>
              </w:rPr>
              <w:t xml:space="preserve">ДЛЯ </w:t>
            </w:r>
            <w:r w:rsidRPr="00A0288C">
              <w:rPr>
                <w:color w:val="auto"/>
                <w:lang w:val="ru-RU"/>
              </w:rPr>
              <w:t>ОБРА</w:t>
            </w:r>
            <w:r w:rsidR="00BF6FC6">
              <w:rPr>
                <w:color w:val="auto"/>
                <w:lang w:val="ru-RU"/>
              </w:rPr>
              <w:t>ЩЕНИЯ</w:t>
            </w:r>
            <w:r w:rsidRPr="00A0288C">
              <w:rPr>
                <w:color w:val="auto"/>
                <w:lang w:val="ru-RU"/>
              </w:rPr>
              <w:t xml:space="preserve"> К ВРАЧУ</w:t>
            </w:r>
          </w:p>
        </w:tc>
      </w:tr>
      <w:tr w:rsidR="00E32466" w:rsidRPr="00047434"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D.</w:t>
            </w:r>
          </w:p>
        </w:tc>
        <w:tc>
          <w:tcPr>
            <w:tcW w:w="8571" w:type="dxa"/>
            <w:vAlign w:val="center"/>
          </w:tcPr>
          <w:p w:rsidR="00E32466" w:rsidRPr="00A0288C" w:rsidRDefault="00047434" w:rsidP="00047434">
            <w:pPr>
              <w:pStyle w:val="MText"/>
              <w:shd w:val="clear" w:color="auto" w:fill="auto"/>
              <w:rPr>
                <w:color w:val="auto"/>
                <w:lang w:val="ru-RU"/>
              </w:rPr>
            </w:pPr>
            <w:r w:rsidRPr="00A0288C">
              <w:rPr>
                <w:color w:val="auto"/>
                <w:lang w:val="ru-RU"/>
              </w:rPr>
              <w:t>ПОПЫТКА ПОМЕШАТЬ РАЗГОВАРИВАТЬ С ДРУГИМИ МУЖЧИНАМИ / ЖЕНЩИНАМИ из ревности ИЛИ ТРЕБОВАНИЕ СООБЩАТЬ, ГДЕ ВЫ НАХОДИТЕСЬ</w:t>
            </w:r>
          </w:p>
        </w:tc>
      </w:tr>
      <w:tr w:rsidR="00E32466" w:rsidRPr="00047434"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E.</w:t>
            </w:r>
          </w:p>
        </w:tc>
        <w:tc>
          <w:tcPr>
            <w:tcW w:w="8571" w:type="dxa"/>
            <w:vAlign w:val="center"/>
          </w:tcPr>
          <w:p w:rsidR="00E32466" w:rsidRPr="00A0288C" w:rsidRDefault="00047434" w:rsidP="00A0288C">
            <w:pPr>
              <w:pStyle w:val="MText"/>
              <w:shd w:val="clear" w:color="auto" w:fill="auto"/>
              <w:rPr>
                <w:color w:val="auto"/>
                <w:lang w:val="ru-RU"/>
              </w:rPr>
            </w:pPr>
            <w:r w:rsidRPr="00A0288C">
              <w:rPr>
                <w:color w:val="auto"/>
                <w:lang w:val="ru-RU"/>
              </w:rPr>
              <w:t>КОНТРОЛЬ НАД ТЕМ, КАКУЮ ОДЕЖДУ НОСИТЬ И КАК ОДЕВАТЬСЯ</w:t>
            </w:r>
          </w:p>
        </w:tc>
      </w:tr>
      <w:tr w:rsidR="00E32466" w:rsidRPr="00047434"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F.</w:t>
            </w:r>
          </w:p>
        </w:tc>
        <w:tc>
          <w:tcPr>
            <w:tcW w:w="8571" w:type="dxa"/>
            <w:vAlign w:val="center"/>
          </w:tcPr>
          <w:p w:rsidR="00E32466" w:rsidRPr="00A0288C" w:rsidRDefault="00047434" w:rsidP="00CE5528">
            <w:pPr>
              <w:pStyle w:val="MText"/>
              <w:shd w:val="clear" w:color="auto" w:fill="auto"/>
              <w:rPr>
                <w:color w:val="auto"/>
                <w:lang w:val="ru-RU"/>
              </w:rPr>
            </w:pPr>
            <w:r w:rsidRPr="00A0288C">
              <w:rPr>
                <w:color w:val="auto"/>
                <w:lang w:val="ru-RU"/>
              </w:rPr>
              <w:t>НАМЕРЕННОЕ ЗАУПГИВАНИЕ, например, крик и кидание предмет</w:t>
            </w:r>
            <w:r w:rsidR="00CE5528" w:rsidRPr="00A0288C">
              <w:rPr>
                <w:color w:val="auto"/>
                <w:lang w:val="ru-RU"/>
              </w:rPr>
              <w:t>ов, использование угрожающих выражений / слов</w:t>
            </w:r>
            <w:r w:rsidRPr="00A0288C">
              <w:rPr>
                <w:color w:val="auto"/>
                <w:lang w:val="ru-RU"/>
              </w:rPr>
              <w:t>.</w:t>
            </w:r>
          </w:p>
        </w:tc>
      </w:tr>
      <w:tr w:rsidR="00E32466" w:rsidRPr="00CE552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G.</w:t>
            </w:r>
          </w:p>
        </w:tc>
        <w:tc>
          <w:tcPr>
            <w:tcW w:w="8571" w:type="dxa"/>
            <w:vAlign w:val="center"/>
          </w:tcPr>
          <w:p w:rsidR="00E32466" w:rsidRPr="00A0288C" w:rsidRDefault="00CE5528" w:rsidP="00CE5528">
            <w:pPr>
              <w:pStyle w:val="MText"/>
              <w:shd w:val="clear" w:color="auto" w:fill="auto"/>
              <w:rPr>
                <w:color w:val="auto"/>
                <w:lang w:val="ru-RU"/>
              </w:rPr>
            </w:pPr>
            <w:r w:rsidRPr="00A0288C">
              <w:rPr>
                <w:color w:val="auto"/>
                <w:lang w:val="ru-RU"/>
              </w:rPr>
              <w:t>ПОВРЕЖДЕНИЕ ИЛИ УНИЧТОЖЕНИЕ ИМУЩЕСТВА, включая домашних животных, чтобы напугать или причинить боль</w:t>
            </w:r>
          </w:p>
        </w:tc>
      </w:tr>
      <w:tr w:rsidR="00E32466" w:rsidRPr="00CE552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H.</w:t>
            </w:r>
          </w:p>
        </w:tc>
        <w:tc>
          <w:tcPr>
            <w:tcW w:w="8571" w:type="dxa"/>
            <w:vAlign w:val="center"/>
          </w:tcPr>
          <w:p w:rsidR="00E32466" w:rsidRPr="00A0288C" w:rsidRDefault="00CE5528" w:rsidP="00CE5528">
            <w:pPr>
              <w:pStyle w:val="MText"/>
              <w:shd w:val="clear" w:color="auto" w:fill="auto"/>
              <w:rPr>
                <w:color w:val="auto"/>
                <w:lang w:val="ru-RU"/>
              </w:rPr>
            </w:pPr>
            <w:proofErr w:type="gramStart"/>
            <w:r w:rsidRPr="00A0288C">
              <w:rPr>
                <w:color w:val="auto"/>
                <w:lang w:val="ru-RU"/>
              </w:rPr>
              <w:t>ПРИЧИНЕНИЕ ВРЕДА ИЛИ УГРОЗА ПРИЧИНИТЬ ВРЕД КОМУ-ЛИБО ИЗ БЛИЗКИХ (кроме уже рассмотренных случаев)</w:t>
            </w:r>
            <w:proofErr w:type="gramEnd"/>
          </w:p>
        </w:tc>
      </w:tr>
      <w:tr w:rsidR="00E32466" w:rsidRPr="00CE552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I.</w:t>
            </w:r>
          </w:p>
        </w:tc>
        <w:tc>
          <w:tcPr>
            <w:tcW w:w="8571" w:type="dxa"/>
            <w:vAlign w:val="center"/>
          </w:tcPr>
          <w:p w:rsidR="00E32466" w:rsidRPr="00A0288C" w:rsidRDefault="00CE5528" w:rsidP="00CE5528">
            <w:pPr>
              <w:pStyle w:val="MText"/>
              <w:shd w:val="clear" w:color="auto" w:fill="auto"/>
              <w:rPr>
                <w:color w:val="auto"/>
                <w:lang w:val="ru-RU"/>
              </w:rPr>
            </w:pPr>
            <w:r w:rsidRPr="00A0288C">
              <w:rPr>
                <w:color w:val="auto"/>
                <w:lang w:val="ru-RU"/>
              </w:rPr>
              <w:t>ОГРАНИЧЕНИЕ СВОБОДЫ ПЕРЕДВИЖЕНИЯ, например, запирание или изъятие удостоверения личности или паспорта</w:t>
            </w:r>
          </w:p>
        </w:tc>
      </w:tr>
      <w:tr w:rsidR="00E32466" w:rsidRPr="00CE552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J.</w:t>
            </w:r>
          </w:p>
        </w:tc>
        <w:tc>
          <w:tcPr>
            <w:tcW w:w="8571" w:type="dxa"/>
            <w:vAlign w:val="center"/>
          </w:tcPr>
          <w:p w:rsidR="00E32466" w:rsidRPr="00A0288C" w:rsidRDefault="00CE5528" w:rsidP="00BF6FC6">
            <w:pPr>
              <w:pStyle w:val="MText"/>
              <w:shd w:val="clear" w:color="auto" w:fill="auto"/>
              <w:rPr>
                <w:color w:val="auto"/>
                <w:lang w:val="ru-RU"/>
              </w:rPr>
            </w:pPr>
            <w:r w:rsidRPr="00A0288C">
              <w:rPr>
                <w:color w:val="auto"/>
                <w:lang w:val="ru-RU"/>
              </w:rPr>
              <w:t xml:space="preserve">Попытка ОГРАНИЧИТЬ КОНТАКТЫ С СЕМЬЕЙ ИЛИ ДРУЗЬЯМИ или ограничить использование сайтов социальных сетей, таких как </w:t>
            </w:r>
            <w:r w:rsidRPr="00A0288C">
              <w:rPr>
                <w:color w:val="auto"/>
              </w:rPr>
              <w:t>Facebook</w:t>
            </w:r>
            <w:r w:rsidR="00C73C2C" w:rsidRPr="00A0288C">
              <w:rPr>
                <w:rStyle w:val="a6"/>
                <w:color w:val="auto"/>
              </w:rPr>
              <w:footnoteReference w:id="6"/>
            </w:r>
            <w:r w:rsidRPr="00A0288C">
              <w:rPr>
                <w:color w:val="auto"/>
                <w:lang w:val="ru-RU"/>
              </w:rPr>
              <w:t xml:space="preserve">, </w:t>
            </w:r>
            <w:r w:rsidRPr="00A0288C">
              <w:rPr>
                <w:color w:val="auto"/>
              </w:rPr>
              <w:t>Instagram</w:t>
            </w:r>
            <w:r w:rsidR="00BF6FC6">
              <w:rPr>
                <w:color w:val="auto"/>
                <w:vertAlign w:val="superscript"/>
                <w:lang w:val="ru-RU"/>
              </w:rPr>
              <w:t>8</w:t>
            </w:r>
            <w:r w:rsidRPr="00A0288C">
              <w:rPr>
                <w:color w:val="auto"/>
                <w:lang w:val="ru-RU"/>
              </w:rPr>
              <w:t xml:space="preserve"> или </w:t>
            </w:r>
            <w:r w:rsidRPr="00A0288C">
              <w:rPr>
                <w:color w:val="auto"/>
              </w:rPr>
              <w:t>Twitter</w:t>
            </w:r>
            <w:r w:rsidR="009C5978" w:rsidRPr="00A0288C">
              <w:rPr>
                <w:rStyle w:val="a6"/>
                <w:color w:val="auto"/>
                <w:lang w:val="ru-RU"/>
              </w:rPr>
              <w:footnoteReference w:id="7"/>
            </w:r>
          </w:p>
        </w:tc>
      </w:tr>
      <w:tr w:rsidR="00E32466" w:rsidTr="009D0B32">
        <w:tc>
          <w:tcPr>
            <w:tcW w:w="9016" w:type="dxa"/>
            <w:gridSpan w:val="2"/>
            <w:shd w:val="clear" w:color="auto" w:fill="EEECE1" w:themeFill="background2"/>
            <w:vAlign w:val="center"/>
          </w:tcPr>
          <w:p w:rsidR="00E32466" w:rsidRPr="00A0288C" w:rsidRDefault="009C5978" w:rsidP="00A0288C">
            <w:pPr>
              <w:pStyle w:val="MText"/>
              <w:shd w:val="clear" w:color="auto" w:fill="auto"/>
              <w:jc w:val="center"/>
              <w:rPr>
                <w:b/>
                <w:bCs/>
                <w:color w:val="auto"/>
                <w:lang w:val="ru-RU"/>
              </w:rPr>
            </w:pPr>
            <w:r w:rsidRPr="00A0288C">
              <w:rPr>
                <w:b/>
                <w:bCs/>
                <w:color w:val="auto"/>
                <w:lang w:val="ru-RU"/>
              </w:rPr>
              <w:t>Сексуальное насилие</w:t>
            </w:r>
          </w:p>
        </w:tc>
      </w:tr>
      <w:tr w:rsidR="00E32466" w:rsidRPr="009C597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A.</w:t>
            </w:r>
          </w:p>
        </w:tc>
        <w:tc>
          <w:tcPr>
            <w:tcW w:w="8571" w:type="dxa"/>
            <w:vAlign w:val="center"/>
          </w:tcPr>
          <w:p w:rsidR="00E32466" w:rsidRPr="00A0288C" w:rsidRDefault="009C5978" w:rsidP="00A0288C">
            <w:pPr>
              <w:pStyle w:val="MText"/>
              <w:shd w:val="clear" w:color="auto" w:fill="auto"/>
              <w:rPr>
                <w:color w:val="auto"/>
                <w:lang w:val="ru-RU"/>
              </w:rPr>
            </w:pPr>
            <w:r w:rsidRPr="00A0288C">
              <w:rPr>
                <w:color w:val="auto"/>
                <w:lang w:val="ru-RU"/>
              </w:rPr>
              <w:t>ПРИНУЖДЕНИЕ к ПОЛОВОМУ АКТУ путем угроз, удержания или причинения боли каким-либо образом. Половой акт означает вагинальное или анальное проникновение, в том числе с помощью предметов, или оральный секс.</w:t>
            </w:r>
          </w:p>
        </w:tc>
      </w:tr>
      <w:tr w:rsidR="00E32466" w:rsidRPr="009C597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B.</w:t>
            </w:r>
          </w:p>
        </w:tc>
        <w:tc>
          <w:tcPr>
            <w:tcW w:w="8571" w:type="dxa"/>
            <w:vAlign w:val="center"/>
          </w:tcPr>
          <w:p w:rsidR="00E32466" w:rsidRPr="00A0288C" w:rsidRDefault="009C5978" w:rsidP="009C5978">
            <w:pPr>
              <w:pStyle w:val="MText"/>
              <w:shd w:val="clear" w:color="auto" w:fill="auto"/>
              <w:rPr>
                <w:color w:val="auto"/>
                <w:lang w:val="ru-RU"/>
              </w:rPr>
            </w:pPr>
            <w:r w:rsidRPr="00A0288C">
              <w:rPr>
                <w:color w:val="auto"/>
                <w:lang w:val="ru-RU"/>
              </w:rPr>
              <w:t>ПОПЫТКА ПРИНУДИТЬ к ПОЛОВОМУ акту, угрожая, удерживая или причиняя боль каким-либо образом, при этом полового акта НЕ ПРОИСХОДИТ.</w:t>
            </w:r>
          </w:p>
        </w:tc>
      </w:tr>
      <w:tr w:rsidR="00E32466" w:rsidRPr="009C597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C.</w:t>
            </w:r>
          </w:p>
        </w:tc>
        <w:tc>
          <w:tcPr>
            <w:tcW w:w="8571" w:type="dxa"/>
            <w:vAlign w:val="center"/>
          </w:tcPr>
          <w:p w:rsidR="00E32466" w:rsidRPr="00A0288C" w:rsidRDefault="009C5978" w:rsidP="00A0288C">
            <w:pPr>
              <w:pStyle w:val="MText"/>
              <w:shd w:val="clear" w:color="auto" w:fill="auto"/>
              <w:rPr>
                <w:color w:val="auto"/>
                <w:lang w:val="ru-RU"/>
              </w:rPr>
            </w:pPr>
            <w:r w:rsidRPr="00A0288C">
              <w:rPr>
                <w:color w:val="auto"/>
                <w:lang w:val="ru-RU"/>
              </w:rPr>
              <w:t>ПРИНУДИТЕЛЬНЫЙ ПОЛОВОЙ АКТ, когда НЕВОЗМОЖНО ОТКАЗАТЬСЯ из-за алкогольного или наркотического опьянения</w:t>
            </w:r>
          </w:p>
        </w:tc>
      </w:tr>
      <w:tr w:rsidR="00E32466" w:rsidRPr="009C597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D.</w:t>
            </w:r>
          </w:p>
        </w:tc>
        <w:tc>
          <w:tcPr>
            <w:tcW w:w="8571" w:type="dxa"/>
            <w:vAlign w:val="center"/>
          </w:tcPr>
          <w:p w:rsidR="00E32466" w:rsidRPr="00A0288C" w:rsidRDefault="009C5978" w:rsidP="00A0288C">
            <w:pPr>
              <w:pStyle w:val="MText"/>
              <w:shd w:val="clear" w:color="auto" w:fill="auto"/>
              <w:rPr>
                <w:color w:val="auto"/>
                <w:lang w:val="ru-RU"/>
              </w:rPr>
            </w:pPr>
            <w:r w:rsidRPr="00A0288C">
              <w:rPr>
                <w:rFonts w:cs="Calibri"/>
                <w:color w:val="auto"/>
                <w:szCs w:val="20"/>
                <w:lang w:val="ru-RU"/>
              </w:rPr>
              <w:t>ПРИНУЖДЕНИЕ или попытка ПРИНУДИТЬ, УГРОЖАТЬ или ШАНТАЖИРОВАТЬ ВСТУПЛЕНИЕМ В ПОЛОВУЮ СВЯЗЬ С КЕМ-ЛИБО, в том числе принуждение к сексу в обмен на деньги, товары или услуги.</w:t>
            </w:r>
          </w:p>
        </w:tc>
      </w:tr>
      <w:tr w:rsidR="00E32466" w:rsidRPr="009C597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E.</w:t>
            </w:r>
          </w:p>
        </w:tc>
        <w:tc>
          <w:tcPr>
            <w:tcW w:w="8571" w:type="dxa"/>
            <w:vAlign w:val="center"/>
          </w:tcPr>
          <w:p w:rsidR="00E32466" w:rsidRPr="00A0288C" w:rsidRDefault="009C5978" w:rsidP="009C5978">
            <w:pPr>
              <w:pStyle w:val="MText"/>
              <w:shd w:val="clear" w:color="auto" w:fill="auto"/>
              <w:rPr>
                <w:color w:val="auto"/>
                <w:lang w:val="ru-RU"/>
              </w:rPr>
            </w:pPr>
            <w:r w:rsidRPr="00A0288C">
              <w:rPr>
                <w:color w:val="auto"/>
                <w:lang w:val="ru-RU"/>
              </w:rPr>
              <w:t>Нежелательный половой акт ИЗ-ЗА БОЯЗНИ ТОГО, ЧТО МОЖЕТ ПРОИЗОЙТИ В СЛУЧАЕ ОТКАЗА</w:t>
            </w:r>
          </w:p>
        </w:tc>
      </w:tr>
      <w:tr w:rsidR="00E32466" w:rsidRPr="009C5978"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F.</w:t>
            </w:r>
          </w:p>
        </w:tc>
        <w:tc>
          <w:tcPr>
            <w:tcW w:w="8571" w:type="dxa"/>
            <w:vAlign w:val="center"/>
          </w:tcPr>
          <w:p w:rsidR="00E32466" w:rsidRPr="00A0288C" w:rsidRDefault="009C5978" w:rsidP="00D13E64">
            <w:pPr>
              <w:pStyle w:val="MText"/>
              <w:shd w:val="clear" w:color="auto" w:fill="auto"/>
              <w:rPr>
                <w:color w:val="auto"/>
                <w:lang w:val="ru-RU"/>
              </w:rPr>
            </w:pPr>
            <w:r w:rsidRPr="00A0288C">
              <w:rPr>
                <w:color w:val="auto"/>
                <w:lang w:val="ru-RU"/>
              </w:rPr>
              <w:t xml:space="preserve">РАЗДЕВАНИЕ, ПРИКОСНОВЕНИЕ К ИНТИМНЫМ ЧАСТЯМ – ГЕНИТАЛИЯМ ИЛИ ГРУДИ – ИЛИ </w:t>
            </w:r>
            <w:r w:rsidR="004B458D" w:rsidRPr="00A0288C">
              <w:rPr>
                <w:color w:val="auto"/>
                <w:lang w:val="ru-RU"/>
              </w:rPr>
              <w:t>ПОЦЕЛУ</w:t>
            </w:r>
            <w:r w:rsidR="00D13E64">
              <w:rPr>
                <w:color w:val="auto"/>
                <w:lang w:val="ru-RU"/>
              </w:rPr>
              <w:t>Й</w:t>
            </w:r>
            <w:r w:rsidRPr="00A0288C">
              <w:rPr>
                <w:color w:val="auto"/>
                <w:lang w:val="ru-RU"/>
              </w:rPr>
              <w:t>, когда этого не хотят.</w:t>
            </w:r>
          </w:p>
        </w:tc>
      </w:tr>
      <w:tr w:rsidR="00E32466" w:rsidRPr="004B458D"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G.</w:t>
            </w:r>
          </w:p>
        </w:tc>
        <w:tc>
          <w:tcPr>
            <w:tcW w:w="8571" w:type="dxa"/>
            <w:vAlign w:val="center"/>
          </w:tcPr>
          <w:p w:rsidR="00E32466" w:rsidRPr="00A0288C" w:rsidRDefault="004B458D" w:rsidP="004B458D">
            <w:pPr>
              <w:pStyle w:val="MText"/>
              <w:shd w:val="clear" w:color="auto" w:fill="auto"/>
              <w:rPr>
                <w:color w:val="auto"/>
                <w:lang w:val="ru-RU"/>
              </w:rPr>
            </w:pPr>
            <w:r w:rsidRPr="00A0288C">
              <w:rPr>
                <w:color w:val="auto"/>
                <w:lang w:val="ru-RU"/>
              </w:rPr>
              <w:t>Действия или принуждение к чему-то другому сексуального характера, что воспринимается как УНИЖАЮЩЕЕ ДОСТОИНСТВО.</w:t>
            </w:r>
          </w:p>
        </w:tc>
      </w:tr>
      <w:tr w:rsidR="00E32466" w:rsidRPr="004B458D" w:rsidTr="009D0B32">
        <w:tc>
          <w:tcPr>
            <w:tcW w:w="445" w:type="dxa"/>
            <w:vAlign w:val="center"/>
          </w:tcPr>
          <w:p w:rsidR="00E32466" w:rsidRPr="00A0288C" w:rsidRDefault="00E32466" w:rsidP="00A0288C">
            <w:pPr>
              <w:pStyle w:val="MText"/>
              <w:shd w:val="clear" w:color="auto" w:fill="auto"/>
              <w:rPr>
                <w:color w:val="auto"/>
              </w:rPr>
            </w:pPr>
            <w:r w:rsidRPr="00A0288C">
              <w:rPr>
                <w:b/>
                <w:bCs/>
                <w:color w:val="auto"/>
              </w:rPr>
              <w:t>H.</w:t>
            </w:r>
          </w:p>
        </w:tc>
        <w:tc>
          <w:tcPr>
            <w:tcW w:w="8571" w:type="dxa"/>
            <w:vAlign w:val="center"/>
          </w:tcPr>
          <w:p w:rsidR="00E32466" w:rsidRPr="00A0288C" w:rsidRDefault="004B458D" w:rsidP="004B458D">
            <w:pPr>
              <w:pStyle w:val="MText"/>
              <w:shd w:val="clear" w:color="auto" w:fill="auto"/>
              <w:rPr>
                <w:color w:val="auto"/>
                <w:lang w:val="ru-RU"/>
              </w:rPr>
            </w:pPr>
            <w:r w:rsidRPr="00A0288C">
              <w:rPr>
                <w:color w:val="auto"/>
                <w:lang w:val="ru-RU"/>
              </w:rPr>
              <w:t>УГРОЗА НАСИЛЬСТВЕННЫМИ СЕКСУАЛЬНЫМИ ДЕЙСТВИЯМИ, ТАКИМИ КАК ИЗНАСИЛОВАНИЕ (ИЛИ ПРИНУДИТЕЛЬНАЯ БЕРЕМЕННОСТЬ), по-настоящему пугающим образом</w:t>
            </w:r>
          </w:p>
        </w:tc>
      </w:tr>
    </w:tbl>
    <w:p w:rsidR="00E32466" w:rsidRPr="004B458D" w:rsidRDefault="00E32466" w:rsidP="00E32466">
      <w:pPr>
        <w:pStyle w:val="MText"/>
        <w:rPr>
          <w:lang w:val="ru-RU"/>
        </w:rPr>
      </w:pPr>
    </w:p>
    <w:p w:rsidR="00A0288C" w:rsidRDefault="00A0288C" w:rsidP="00A0288C">
      <w:r>
        <w:t>Расчет этого показателя требует включения краткого списка вопросов (таблица 1) в репрезентативное обследовани</w:t>
      </w:r>
      <w:r w:rsidR="00D13E64">
        <w:t>е</w:t>
      </w:r>
      <w:r>
        <w:t xml:space="preserve"> населения, которое выявляет, сталкивался ли респондент за последние 12 месяцев лично с какими-либо действиями или поведением, свидетельствующими о физическом, психологическом и сексуальном насилии, и сообщал ли о них (таблица 2)</w:t>
      </w:r>
      <w:r w:rsidR="00767ED7">
        <w:rPr>
          <w:rStyle w:val="a6"/>
        </w:rPr>
        <w:footnoteReference w:id="8"/>
      </w:r>
      <w:r>
        <w:t xml:space="preserve">.  </w:t>
      </w:r>
    </w:p>
    <w:p w:rsidR="00041C4B" w:rsidRDefault="00A0288C" w:rsidP="00A0288C">
      <w:r>
        <w:lastRenderedPageBreak/>
        <w:t>На основе ответов об опыте и сообщений о различных типах насильственных действий или поведения, перечисленных в таблице 2, можно рассчитать следующие показатели:</w:t>
      </w:r>
    </w:p>
    <w:p w:rsidR="00A0288C" w:rsidRPr="00D13E64" w:rsidRDefault="00A0288C" w:rsidP="00A0288C">
      <w:pPr>
        <w:shd w:val="clear" w:color="auto" w:fill="FFFFFF"/>
        <w:spacing w:after="0"/>
        <w:rPr>
          <w:rFonts w:eastAsia="Times New Roman" w:cs="Times New Roman"/>
          <w:b/>
          <w:bCs/>
          <w:sz w:val="21"/>
          <w:szCs w:val="21"/>
          <w:lang w:eastAsia="en-GB"/>
        </w:rPr>
      </w:pPr>
      <w:r>
        <w:rPr>
          <w:rFonts w:eastAsia="Times New Roman" w:cs="Times New Roman"/>
          <w:b/>
          <w:bCs/>
          <w:sz w:val="21"/>
          <w:szCs w:val="21"/>
          <w:lang w:eastAsia="en-GB"/>
        </w:rPr>
        <w:t>Показатели</w:t>
      </w:r>
      <w:r w:rsidRPr="00A0288C">
        <w:rPr>
          <w:rFonts w:eastAsia="Times New Roman" w:cs="Times New Roman"/>
          <w:b/>
          <w:bCs/>
          <w:sz w:val="21"/>
          <w:szCs w:val="21"/>
          <w:lang w:eastAsia="en-GB"/>
        </w:rPr>
        <w:t xml:space="preserve"> 16.3.1</w:t>
      </w:r>
      <w:r w:rsidRPr="00A0288C">
        <w:rPr>
          <w:rFonts w:eastAsia="Times New Roman" w:cs="Times New Roman"/>
          <w:b/>
          <w:bCs/>
          <w:sz w:val="21"/>
          <w:szCs w:val="21"/>
          <w:lang w:val="en-US" w:eastAsia="en-GB"/>
        </w:rPr>
        <w:t>a</w:t>
      </w:r>
      <w:r w:rsidRPr="00A0288C">
        <w:rPr>
          <w:rFonts w:eastAsia="Times New Roman" w:cs="Times New Roman"/>
          <w:b/>
          <w:bCs/>
          <w:sz w:val="21"/>
          <w:szCs w:val="21"/>
          <w:lang w:eastAsia="en-GB"/>
        </w:rPr>
        <w:t xml:space="preserve">: </w:t>
      </w:r>
      <w:r w:rsidRPr="00A0288C">
        <w:rPr>
          <w:rFonts w:cs="Times New Roman"/>
        </w:rPr>
        <w:t>Доля жертв, в последние 12 месяцев подвергшихся физическому насилию, которые подали соответствующую жалобу в компетентные органы или другие официально признанные механизмы урегулирования конфликтов</w:t>
      </w:r>
    </w:p>
    <w:p w:rsidR="00A0288C" w:rsidRPr="002573A0" w:rsidRDefault="00767ED7" w:rsidP="00A0288C">
      <w:pPr>
        <w:shd w:val="clear" w:color="auto" w:fill="FFFFFF"/>
        <w:spacing w:after="0"/>
        <w:rPr>
          <w:rFonts w:eastAsia="Times New Roman" w:cs="Times New Roman"/>
          <w:szCs w:val="24"/>
          <w:lang w:eastAsia="en-GB"/>
        </w:rPr>
      </w:pPr>
      <w:r w:rsidRPr="002573A0">
        <w:rPr>
          <w:rFonts w:eastAsia="Times New Roman" w:cs="Times New Roman"/>
          <w:szCs w:val="24"/>
          <w:lang w:eastAsia="en-GB"/>
        </w:rPr>
        <w:t xml:space="preserve">Этот показатель рассчитывается путем деления числа респондентов, которые </w:t>
      </w:r>
      <w:proofErr w:type="gramStart"/>
      <w:r w:rsidRPr="002573A0">
        <w:rPr>
          <w:rFonts w:eastAsia="Times New Roman" w:cs="Times New Roman"/>
          <w:szCs w:val="24"/>
          <w:lang w:eastAsia="en-GB"/>
        </w:rPr>
        <w:t>подверглись</w:t>
      </w:r>
      <w:proofErr w:type="gramEnd"/>
      <w:r w:rsidRPr="002573A0">
        <w:rPr>
          <w:rFonts w:eastAsia="Times New Roman" w:cs="Times New Roman"/>
          <w:szCs w:val="24"/>
          <w:lang w:eastAsia="en-GB"/>
        </w:rPr>
        <w:t xml:space="preserve"> по крайней мере одной форме физического насилия</w:t>
      </w:r>
      <w:r w:rsidRPr="002573A0">
        <w:rPr>
          <w:rStyle w:val="a6"/>
          <w:rFonts w:eastAsia="Times New Roman" w:cs="Times New Roman"/>
          <w:szCs w:val="24"/>
          <w:lang w:eastAsia="en-GB"/>
        </w:rPr>
        <w:footnoteReference w:id="9"/>
      </w:r>
      <w:r w:rsidRPr="002573A0">
        <w:rPr>
          <w:rFonts w:eastAsia="Times New Roman" w:cs="Times New Roman"/>
          <w:szCs w:val="24"/>
          <w:lang w:eastAsia="en-GB"/>
        </w:rPr>
        <w:t xml:space="preserve"> за последние 12 месяцев и которые сообщили об этом компетентным органам или другим официально признанным механизмам разрешения конфликтов, </w:t>
      </w:r>
      <w:r w:rsidR="002573A0">
        <w:rPr>
          <w:rFonts w:eastAsia="Times New Roman" w:cs="Times New Roman"/>
          <w:szCs w:val="24"/>
          <w:lang w:eastAsia="en-GB"/>
        </w:rPr>
        <w:t xml:space="preserve">деленное </w:t>
      </w:r>
      <w:r w:rsidRPr="002573A0">
        <w:rPr>
          <w:rFonts w:eastAsia="Times New Roman" w:cs="Times New Roman"/>
          <w:szCs w:val="24"/>
          <w:lang w:eastAsia="en-GB"/>
        </w:rPr>
        <w:t>на общее число респондентов обследования, которые стали жертвами по крайней мере одной формы физического насилия за последние 12 месяцев. Полученный результат нужно умножить на 100.</w:t>
      </w:r>
    </w:p>
    <w:p w:rsidR="00A0288C" w:rsidRPr="00767ED7" w:rsidRDefault="00A0288C" w:rsidP="00A0288C">
      <w:pPr>
        <w:shd w:val="clear" w:color="auto" w:fill="FFFFFF"/>
        <w:spacing w:after="0"/>
        <w:rPr>
          <w:rFonts w:eastAsia="Times New Roman" w:cs="Times New Roman"/>
          <w:sz w:val="21"/>
          <w:szCs w:val="21"/>
          <w:lang w:eastAsia="en-GB"/>
        </w:rPr>
      </w:pPr>
    </w:p>
    <w:p w:rsidR="00A0288C" w:rsidRPr="00767ED7" w:rsidRDefault="00767ED7" w:rsidP="00A0288C">
      <w:pPr>
        <w:shd w:val="clear" w:color="auto" w:fill="FFFFFF"/>
        <w:spacing w:after="0"/>
        <w:rPr>
          <w:rFonts w:eastAsia="Times New Roman" w:cs="Times New Roman"/>
          <w:sz w:val="20"/>
          <w:szCs w:val="20"/>
          <w:lang w:eastAsia="en-GB"/>
        </w:rPr>
      </w:pPr>
      <m:oMath>
        <m:r>
          <w:rPr>
            <w:rFonts w:ascii="Cambria Math" w:eastAsia="Times New Roman" w:hAnsi="Cambria Math" w:cs="Times New Roman"/>
            <w:sz w:val="20"/>
            <w:szCs w:val="20"/>
            <w:lang w:eastAsia="en-GB"/>
          </w:rPr>
          <m:t xml:space="preserve">Показатель 16.3.1a= </m:t>
        </m:r>
        <m:f>
          <m:fPr>
            <m:ctrlPr>
              <w:rPr>
                <w:rFonts w:ascii="Cambria Math" w:eastAsia="Times New Roman" w:hAnsi="Cambria Math" w:cs="Times New Roman"/>
                <w:i/>
                <w:sz w:val="20"/>
                <w:szCs w:val="20"/>
                <w:lang w:val="en-US" w:eastAsia="en-GB"/>
              </w:rPr>
            </m:ctrlPr>
          </m:fPr>
          <m:num>
            <m:r>
              <m:rPr>
                <m:sty m:val="p"/>
              </m:rPr>
              <w:rPr>
                <w:rFonts w:ascii="Cambria Math" w:eastAsia="Times New Roman" w:hAnsi="Cambria Math" w:cs="Times New Roman"/>
                <w:sz w:val="21"/>
                <w:szCs w:val="21"/>
                <w:lang w:eastAsia="en-GB"/>
              </w:rPr>
              <m:t>Число респондентов,  которые подверглись по крайней мере одной форме физического насилия за последние 12 месяцев</m:t>
            </m:r>
          </m:num>
          <m:den>
            <m:r>
              <m:rPr>
                <m:sty m:val="p"/>
              </m:rPr>
              <w:rPr>
                <w:rFonts w:ascii="Cambria Math" w:eastAsia="Times New Roman" w:hAnsi="Cambria Math" w:cs="Times New Roman"/>
                <w:sz w:val="21"/>
                <w:szCs w:val="21"/>
                <w:lang w:eastAsia="en-GB"/>
              </w:rPr>
              <m:t>Число респондентов , которые стали жертвами по крайней мере одной формы физического насилия за последние 12 месяцев</m:t>
            </m:r>
          </m:den>
        </m:f>
        <m:r>
          <w:rPr>
            <w:rFonts w:ascii="Cambria Math" w:eastAsia="Times New Roman" w:hAnsi="Cambria Math" w:cs="Times New Roman"/>
            <w:sz w:val="20"/>
            <w:szCs w:val="20"/>
            <w:lang w:val="en-US" w:eastAsia="en-GB"/>
          </w:rPr>
          <m:t>X</m:t>
        </m:r>
        <m:r>
          <w:rPr>
            <w:rFonts w:ascii="Cambria Math" w:eastAsia="Times New Roman" w:hAnsi="Cambria Math" w:cs="Times New Roman"/>
            <w:sz w:val="20"/>
            <w:szCs w:val="20"/>
            <w:lang w:eastAsia="en-GB"/>
          </w:rPr>
          <m:t>100</m:t>
        </m:r>
      </m:oMath>
      <w:r w:rsidR="00A0288C" w:rsidRPr="00767ED7">
        <w:rPr>
          <w:rFonts w:eastAsia="Times New Roman" w:cs="Times New Roman"/>
          <w:sz w:val="20"/>
          <w:szCs w:val="20"/>
          <w:lang w:eastAsia="en-GB"/>
        </w:rPr>
        <w:t xml:space="preserve"> </w:t>
      </w:r>
    </w:p>
    <w:p w:rsidR="00A0288C" w:rsidRPr="00767ED7" w:rsidRDefault="00A0288C" w:rsidP="00A0288C">
      <w:pPr>
        <w:shd w:val="clear" w:color="auto" w:fill="FFFFFF"/>
        <w:spacing w:after="0"/>
        <w:rPr>
          <w:rFonts w:eastAsia="Times New Roman" w:cs="Times New Roman"/>
          <w:sz w:val="21"/>
          <w:szCs w:val="21"/>
          <w:lang w:eastAsia="en-GB"/>
        </w:rPr>
      </w:pPr>
    </w:p>
    <w:p w:rsidR="00A0288C" w:rsidRPr="00767ED7" w:rsidRDefault="00A0288C" w:rsidP="00A0288C">
      <w:pPr>
        <w:shd w:val="clear" w:color="auto" w:fill="FFFFFF"/>
        <w:spacing w:after="0"/>
        <w:rPr>
          <w:rFonts w:eastAsia="Times New Roman" w:cs="Times New Roman"/>
          <w:sz w:val="21"/>
          <w:szCs w:val="21"/>
          <w:lang w:eastAsia="en-GB"/>
        </w:rPr>
      </w:pPr>
    </w:p>
    <w:p w:rsidR="00507CC5" w:rsidRPr="00D13E64" w:rsidRDefault="00767ED7" w:rsidP="00A0288C">
      <w:pPr>
        <w:shd w:val="clear" w:color="auto" w:fill="FFFFFF"/>
        <w:spacing w:after="0"/>
        <w:rPr>
          <w:rFonts w:cs="Times New Roman"/>
        </w:rPr>
      </w:pPr>
      <w:r>
        <w:rPr>
          <w:rFonts w:eastAsia="Times New Roman" w:cs="Times New Roman"/>
          <w:b/>
          <w:bCs/>
          <w:sz w:val="21"/>
          <w:szCs w:val="21"/>
          <w:lang w:eastAsia="en-GB"/>
        </w:rPr>
        <w:t>Показатель</w:t>
      </w:r>
      <w:r w:rsidR="00A0288C" w:rsidRPr="00507CC5">
        <w:rPr>
          <w:rFonts w:eastAsia="Times New Roman" w:cs="Times New Roman"/>
          <w:b/>
          <w:bCs/>
          <w:sz w:val="21"/>
          <w:szCs w:val="21"/>
          <w:lang w:eastAsia="en-GB"/>
        </w:rPr>
        <w:t xml:space="preserve"> 16.3.1</w:t>
      </w:r>
      <w:r w:rsidR="00A0288C" w:rsidRPr="00A0288C">
        <w:rPr>
          <w:rFonts w:eastAsia="Times New Roman" w:cs="Times New Roman"/>
          <w:b/>
          <w:bCs/>
          <w:sz w:val="21"/>
          <w:szCs w:val="21"/>
          <w:lang w:val="en-US" w:eastAsia="en-GB"/>
        </w:rPr>
        <w:t>b</w:t>
      </w:r>
      <w:r w:rsidR="00A0288C" w:rsidRPr="00507CC5">
        <w:rPr>
          <w:rFonts w:eastAsia="Times New Roman" w:cs="Times New Roman"/>
          <w:b/>
          <w:bCs/>
          <w:sz w:val="21"/>
          <w:szCs w:val="21"/>
          <w:lang w:eastAsia="en-GB"/>
        </w:rPr>
        <w:t xml:space="preserve">: </w:t>
      </w:r>
      <w:r w:rsidR="00507CC5" w:rsidRPr="00A0288C">
        <w:rPr>
          <w:rFonts w:cs="Times New Roman"/>
        </w:rPr>
        <w:t xml:space="preserve">Доля жертв, в последние 12 месяцев подвергшихся </w:t>
      </w:r>
      <w:r w:rsidR="00507CC5">
        <w:rPr>
          <w:rFonts w:cs="Times New Roman"/>
        </w:rPr>
        <w:t xml:space="preserve">психологическому </w:t>
      </w:r>
      <w:r w:rsidR="00507CC5" w:rsidRPr="00A0288C">
        <w:rPr>
          <w:rFonts w:cs="Times New Roman"/>
        </w:rPr>
        <w:t>насилию, которые подали соответствующую жалобу в компетентные органы или другие официально признанные механизмы урегулирования конфликтов</w:t>
      </w:r>
    </w:p>
    <w:p w:rsidR="00A0288C" w:rsidRDefault="00507CC5" w:rsidP="00A0288C">
      <w:pPr>
        <w:shd w:val="clear" w:color="auto" w:fill="FFFFFF"/>
        <w:spacing w:after="0"/>
        <w:rPr>
          <w:rFonts w:eastAsia="Times New Roman" w:cs="Times New Roman"/>
          <w:szCs w:val="24"/>
          <w:lang w:eastAsia="en-GB"/>
        </w:rPr>
      </w:pPr>
      <w:r w:rsidRPr="00507CC5">
        <w:rPr>
          <w:rFonts w:cs="Times New Roman"/>
        </w:rPr>
        <w:t xml:space="preserve">Этот показатель рассчитывается путем деления числа респондентов, которые </w:t>
      </w:r>
      <w:proofErr w:type="gramStart"/>
      <w:r w:rsidRPr="00507CC5">
        <w:rPr>
          <w:rFonts w:cs="Times New Roman"/>
        </w:rPr>
        <w:t>подверглись</w:t>
      </w:r>
      <w:proofErr w:type="gramEnd"/>
      <w:r w:rsidRPr="00507CC5">
        <w:rPr>
          <w:rFonts w:cs="Times New Roman"/>
        </w:rPr>
        <w:t xml:space="preserve"> по крайней мере одной форме психологического насилия за последние 12 месяцев и которые сообщили </w:t>
      </w:r>
      <w:r w:rsidR="002573A0" w:rsidRPr="002573A0">
        <w:rPr>
          <w:rFonts w:eastAsia="Times New Roman" w:cs="Times New Roman"/>
          <w:szCs w:val="24"/>
          <w:lang w:eastAsia="en-GB"/>
        </w:rPr>
        <w:t>об этом компетентным органам или другим официально признанным механизмам разрешения конфликтов</w:t>
      </w:r>
      <w:r w:rsidRPr="00507CC5">
        <w:rPr>
          <w:rFonts w:cs="Times New Roman"/>
        </w:rPr>
        <w:t xml:space="preserve">, </w:t>
      </w:r>
      <w:r w:rsidR="002573A0">
        <w:rPr>
          <w:rFonts w:eastAsia="Times New Roman" w:cs="Times New Roman"/>
          <w:szCs w:val="24"/>
          <w:lang w:eastAsia="en-GB"/>
        </w:rPr>
        <w:t xml:space="preserve">деленное </w:t>
      </w:r>
      <w:r w:rsidR="002573A0" w:rsidRPr="002573A0">
        <w:rPr>
          <w:rFonts w:eastAsia="Times New Roman" w:cs="Times New Roman"/>
          <w:szCs w:val="24"/>
          <w:lang w:eastAsia="en-GB"/>
        </w:rPr>
        <w:t xml:space="preserve">на общее число респондентов обследования, которые стали жертвами по крайней мере одной формы </w:t>
      </w:r>
      <w:r w:rsidR="002573A0">
        <w:rPr>
          <w:rFonts w:eastAsia="Times New Roman" w:cs="Times New Roman"/>
          <w:szCs w:val="24"/>
          <w:lang w:eastAsia="en-GB"/>
        </w:rPr>
        <w:t>психологического</w:t>
      </w:r>
      <w:r w:rsidR="002573A0" w:rsidRPr="002573A0">
        <w:rPr>
          <w:rFonts w:eastAsia="Times New Roman" w:cs="Times New Roman"/>
          <w:szCs w:val="24"/>
          <w:lang w:eastAsia="en-GB"/>
        </w:rPr>
        <w:t xml:space="preserve"> насилия за последние 12 месяцев. Полученный результат нужно умножить на 100.</w:t>
      </w:r>
      <w:r w:rsidR="002573A0">
        <w:rPr>
          <w:rFonts w:eastAsia="Times New Roman" w:cs="Times New Roman"/>
          <w:szCs w:val="24"/>
          <w:lang w:eastAsia="en-GB"/>
        </w:rPr>
        <w:t xml:space="preserve"> </w:t>
      </w:r>
    </w:p>
    <w:p w:rsidR="002573A0" w:rsidRPr="00507CC5" w:rsidRDefault="002573A0" w:rsidP="00A0288C">
      <w:pPr>
        <w:shd w:val="clear" w:color="auto" w:fill="FFFFFF"/>
        <w:spacing w:after="0"/>
        <w:rPr>
          <w:rFonts w:cs="Times New Roman"/>
        </w:rPr>
      </w:pPr>
    </w:p>
    <w:p w:rsidR="00A0288C" w:rsidRPr="002573A0" w:rsidRDefault="002573A0" w:rsidP="00A0288C">
      <w:pPr>
        <w:shd w:val="clear" w:color="auto" w:fill="FFFFFF"/>
        <w:spacing w:after="0"/>
        <w:rPr>
          <w:rFonts w:eastAsia="Times New Roman" w:cs="Times New Roman"/>
          <w:sz w:val="18"/>
          <w:szCs w:val="21"/>
          <w:lang w:eastAsia="en-GB"/>
        </w:rPr>
      </w:pPr>
      <m:oMathPara>
        <m:oMath>
          <m:r>
            <w:rPr>
              <w:rFonts w:ascii="Cambria Math" w:eastAsia="Times New Roman" w:hAnsi="Cambria Math" w:cs="Times New Roman"/>
              <w:sz w:val="14"/>
              <w:szCs w:val="20"/>
              <w:lang w:eastAsia="en-GB"/>
            </w:rPr>
            <m:t>Показатель 16.3.1</m:t>
          </m:r>
          <m:r>
            <w:rPr>
              <w:rFonts w:ascii="Cambria Math" w:eastAsia="Times New Roman" w:hAnsi="Cambria Math" w:cs="Times New Roman"/>
              <w:sz w:val="14"/>
              <w:szCs w:val="20"/>
              <w:lang w:val="en-US" w:eastAsia="en-GB"/>
            </w:rPr>
            <m:t>b</m:t>
          </m:r>
          <m:r>
            <w:rPr>
              <w:rFonts w:ascii="Cambria Math" w:eastAsia="Times New Roman" w:hAnsi="Cambria Math" w:cs="Times New Roman"/>
              <w:sz w:val="14"/>
              <w:szCs w:val="20"/>
              <w:lang w:eastAsia="en-GB"/>
            </w:rPr>
            <m:t xml:space="preserve">= </m:t>
          </m:r>
          <m:f>
            <m:fPr>
              <m:ctrlPr>
                <w:rPr>
                  <w:rFonts w:ascii="Cambria Math" w:eastAsia="Times New Roman" w:hAnsi="Cambria Math" w:cs="Times New Roman"/>
                  <w:i/>
                  <w:sz w:val="14"/>
                  <w:szCs w:val="20"/>
                  <w:lang w:val="en-US" w:eastAsia="en-GB"/>
                </w:rPr>
              </m:ctrlPr>
            </m:fPr>
            <m:num>
              <m:r>
                <m:rPr>
                  <m:sty m:val="p"/>
                </m:rPr>
                <w:rPr>
                  <w:rFonts w:ascii="Cambria Math" w:eastAsia="Times New Roman" w:hAnsi="Cambria Math" w:cs="Times New Roman"/>
                  <w:sz w:val="16"/>
                  <w:szCs w:val="21"/>
                  <w:lang w:eastAsia="en-GB"/>
                </w:rPr>
                <m:t>Число респондентов,  которые подверглись по крайней мере одной форме психологического насилия за последние 12 месяцев</m:t>
              </m:r>
            </m:num>
            <m:den>
              <m:r>
                <m:rPr>
                  <m:sty m:val="p"/>
                </m:rPr>
                <w:rPr>
                  <w:rFonts w:ascii="Cambria Math" w:eastAsia="Times New Roman" w:hAnsi="Cambria Math" w:cs="Times New Roman"/>
                  <w:sz w:val="16"/>
                  <w:szCs w:val="21"/>
                  <w:lang w:eastAsia="en-GB"/>
                </w:rPr>
                <m:t>Число респондентов , которые стали жертвами по крайней мере одной формы психологического насилия за последние 12 месяцев</m:t>
              </m:r>
            </m:den>
          </m:f>
          <m:r>
            <w:rPr>
              <w:rFonts w:ascii="Cambria Math" w:eastAsia="Times New Roman" w:hAnsi="Cambria Math" w:cs="Times New Roman"/>
              <w:sz w:val="14"/>
              <w:szCs w:val="20"/>
              <w:lang w:val="en-US" w:eastAsia="en-GB"/>
            </w:rPr>
            <m:t>X</m:t>
          </m:r>
          <m:r>
            <w:rPr>
              <w:rFonts w:ascii="Cambria Math" w:eastAsia="Times New Roman" w:hAnsi="Cambria Math" w:cs="Times New Roman"/>
              <w:sz w:val="14"/>
              <w:szCs w:val="20"/>
              <w:lang w:eastAsia="en-GB"/>
            </w:rPr>
            <m:t>100</m:t>
          </m:r>
        </m:oMath>
      </m:oMathPara>
    </w:p>
    <w:p w:rsidR="00A0288C" w:rsidRPr="002573A0" w:rsidRDefault="00A0288C" w:rsidP="00A0288C">
      <w:pPr>
        <w:shd w:val="clear" w:color="auto" w:fill="FFFFFF"/>
        <w:spacing w:after="0"/>
        <w:rPr>
          <w:rFonts w:eastAsia="Times New Roman" w:cs="Times New Roman"/>
          <w:sz w:val="16"/>
          <w:szCs w:val="20"/>
          <w:lang w:val="en-US" w:eastAsia="en-GB"/>
        </w:rPr>
      </w:pPr>
    </w:p>
    <w:p w:rsidR="00A0288C" w:rsidRPr="00507CC5" w:rsidRDefault="00A0288C" w:rsidP="00A0288C">
      <w:pPr>
        <w:shd w:val="clear" w:color="auto" w:fill="FFFFFF"/>
        <w:spacing w:after="0"/>
        <w:rPr>
          <w:rFonts w:eastAsia="Times New Roman" w:cs="Times New Roman"/>
          <w:sz w:val="21"/>
          <w:szCs w:val="21"/>
          <w:lang w:val="en-US" w:eastAsia="en-GB"/>
        </w:rPr>
      </w:pPr>
    </w:p>
    <w:p w:rsidR="00A0288C" w:rsidRPr="00507CC5" w:rsidRDefault="00A0288C" w:rsidP="00A0288C">
      <w:pPr>
        <w:shd w:val="clear" w:color="auto" w:fill="FFFFFF"/>
        <w:spacing w:after="0"/>
        <w:rPr>
          <w:rFonts w:eastAsia="Times New Roman" w:cs="Times New Roman"/>
          <w:sz w:val="21"/>
          <w:szCs w:val="21"/>
          <w:lang w:val="en-US" w:eastAsia="en-GB"/>
        </w:rPr>
      </w:pPr>
    </w:p>
    <w:p w:rsidR="002573A0" w:rsidRPr="00D13E64" w:rsidRDefault="002573A0" w:rsidP="002573A0">
      <w:pPr>
        <w:shd w:val="clear" w:color="auto" w:fill="FFFFFF"/>
        <w:spacing w:after="0"/>
        <w:rPr>
          <w:rFonts w:cs="Times New Roman"/>
        </w:rPr>
      </w:pPr>
      <w:r>
        <w:rPr>
          <w:rFonts w:eastAsia="Times New Roman" w:cs="Times New Roman"/>
          <w:b/>
          <w:bCs/>
          <w:sz w:val="21"/>
          <w:szCs w:val="21"/>
          <w:lang w:eastAsia="en-GB"/>
        </w:rPr>
        <w:t>Показатель</w:t>
      </w:r>
      <w:r w:rsidRPr="00507CC5">
        <w:rPr>
          <w:rFonts w:eastAsia="Times New Roman" w:cs="Times New Roman"/>
          <w:b/>
          <w:bCs/>
          <w:sz w:val="21"/>
          <w:szCs w:val="21"/>
          <w:lang w:eastAsia="en-GB"/>
        </w:rPr>
        <w:t xml:space="preserve"> 16.3.1</w:t>
      </w:r>
      <w:proofErr w:type="gramStart"/>
      <w:r>
        <w:rPr>
          <w:rFonts w:eastAsia="Times New Roman" w:cs="Times New Roman"/>
          <w:b/>
          <w:bCs/>
          <w:sz w:val="21"/>
          <w:szCs w:val="21"/>
          <w:lang w:eastAsia="en-GB"/>
        </w:rPr>
        <w:t>с</w:t>
      </w:r>
      <w:proofErr w:type="gramEnd"/>
      <w:r w:rsidRPr="00507CC5">
        <w:rPr>
          <w:rFonts w:eastAsia="Times New Roman" w:cs="Times New Roman"/>
          <w:b/>
          <w:bCs/>
          <w:sz w:val="21"/>
          <w:szCs w:val="21"/>
          <w:lang w:eastAsia="en-GB"/>
        </w:rPr>
        <w:t xml:space="preserve">: </w:t>
      </w:r>
      <w:proofErr w:type="gramStart"/>
      <w:r w:rsidRPr="00A0288C">
        <w:rPr>
          <w:rFonts w:cs="Times New Roman"/>
        </w:rPr>
        <w:t>Доля</w:t>
      </w:r>
      <w:proofErr w:type="gramEnd"/>
      <w:r w:rsidRPr="00A0288C">
        <w:rPr>
          <w:rFonts w:cs="Times New Roman"/>
        </w:rPr>
        <w:t xml:space="preserve"> жертв, в последние 12 месяцев подвергшихся </w:t>
      </w:r>
      <w:r>
        <w:rPr>
          <w:rFonts w:cs="Times New Roman"/>
        </w:rPr>
        <w:t xml:space="preserve">сексуальному </w:t>
      </w:r>
      <w:r w:rsidRPr="00A0288C">
        <w:rPr>
          <w:rFonts w:cs="Times New Roman"/>
        </w:rPr>
        <w:t>насилию, которые подали соответствующую жалобу в компетентные органы или другие официально признанные механизмы урегулирования конфликтов</w:t>
      </w:r>
    </w:p>
    <w:p w:rsidR="002573A0" w:rsidRDefault="002573A0" w:rsidP="002573A0">
      <w:pPr>
        <w:shd w:val="clear" w:color="auto" w:fill="FFFFFF"/>
        <w:spacing w:after="0"/>
        <w:rPr>
          <w:rFonts w:eastAsia="Times New Roman" w:cs="Times New Roman"/>
          <w:szCs w:val="24"/>
          <w:lang w:eastAsia="en-GB"/>
        </w:rPr>
      </w:pPr>
      <w:r w:rsidRPr="00507CC5">
        <w:rPr>
          <w:rFonts w:cs="Times New Roman"/>
        </w:rPr>
        <w:t xml:space="preserve">Этот показатель рассчитывается путем деления числа респондентов, которые </w:t>
      </w:r>
      <w:proofErr w:type="gramStart"/>
      <w:r w:rsidRPr="00507CC5">
        <w:rPr>
          <w:rFonts w:cs="Times New Roman"/>
        </w:rPr>
        <w:t>подверглись</w:t>
      </w:r>
      <w:proofErr w:type="gramEnd"/>
      <w:r w:rsidRPr="00507CC5">
        <w:rPr>
          <w:rFonts w:cs="Times New Roman"/>
        </w:rPr>
        <w:t xml:space="preserve"> по крайней мере одной форме </w:t>
      </w:r>
      <w:r>
        <w:rPr>
          <w:rFonts w:cs="Times New Roman"/>
        </w:rPr>
        <w:t>сексуального</w:t>
      </w:r>
      <w:r w:rsidRPr="00507CC5">
        <w:rPr>
          <w:rFonts w:cs="Times New Roman"/>
        </w:rPr>
        <w:t xml:space="preserve"> насилия за последние 12 месяцев и которые сообщили </w:t>
      </w:r>
      <w:r w:rsidRPr="002573A0">
        <w:rPr>
          <w:rFonts w:eastAsia="Times New Roman" w:cs="Times New Roman"/>
          <w:szCs w:val="24"/>
          <w:lang w:eastAsia="en-GB"/>
        </w:rPr>
        <w:t>об этом компетентным органам или другим официально признанным механизмам разрешения конфликтов</w:t>
      </w:r>
      <w:r w:rsidRPr="00507CC5">
        <w:rPr>
          <w:rFonts w:cs="Times New Roman"/>
        </w:rPr>
        <w:t xml:space="preserve">, </w:t>
      </w:r>
      <w:r>
        <w:rPr>
          <w:rFonts w:eastAsia="Times New Roman" w:cs="Times New Roman"/>
          <w:szCs w:val="24"/>
          <w:lang w:eastAsia="en-GB"/>
        </w:rPr>
        <w:t xml:space="preserve">деленное </w:t>
      </w:r>
      <w:r w:rsidRPr="002573A0">
        <w:rPr>
          <w:rFonts w:eastAsia="Times New Roman" w:cs="Times New Roman"/>
          <w:szCs w:val="24"/>
          <w:lang w:eastAsia="en-GB"/>
        </w:rPr>
        <w:t xml:space="preserve">на общее число респондентов обследования, которые стали жертвами по крайней мере одной формы </w:t>
      </w:r>
      <w:r>
        <w:rPr>
          <w:rFonts w:eastAsia="Times New Roman" w:cs="Times New Roman"/>
          <w:szCs w:val="24"/>
          <w:lang w:eastAsia="en-GB"/>
        </w:rPr>
        <w:t>сексуального</w:t>
      </w:r>
      <w:r w:rsidRPr="002573A0">
        <w:rPr>
          <w:rFonts w:eastAsia="Times New Roman" w:cs="Times New Roman"/>
          <w:szCs w:val="24"/>
          <w:lang w:eastAsia="en-GB"/>
        </w:rPr>
        <w:t xml:space="preserve"> насилия за последние 12 месяцев. Полученный результат нужно умножить на 100.</w:t>
      </w:r>
      <w:r>
        <w:rPr>
          <w:rFonts w:eastAsia="Times New Roman" w:cs="Times New Roman"/>
          <w:szCs w:val="24"/>
          <w:lang w:eastAsia="en-GB"/>
        </w:rPr>
        <w:t xml:space="preserve"> </w:t>
      </w:r>
    </w:p>
    <w:p w:rsidR="002573A0" w:rsidRPr="00507CC5" w:rsidRDefault="002573A0" w:rsidP="002573A0">
      <w:pPr>
        <w:shd w:val="clear" w:color="auto" w:fill="FFFFFF"/>
        <w:spacing w:after="0"/>
        <w:rPr>
          <w:rFonts w:cs="Times New Roman"/>
        </w:rPr>
      </w:pPr>
    </w:p>
    <w:p w:rsidR="002573A0" w:rsidRPr="002573A0" w:rsidRDefault="002573A0" w:rsidP="002573A0">
      <w:pPr>
        <w:shd w:val="clear" w:color="auto" w:fill="FFFFFF"/>
        <w:spacing w:after="0"/>
        <w:rPr>
          <w:rFonts w:eastAsia="Times New Roman" w:cs="Times New Roman"/>
          <w:sz w:val="18"/>
          <w:szCs w:val="21"/>
          <w:lang w:eastAsia="en-GB"/>
        </w:rPr>
      </w:pPr>
      <m:oMathPara>
        <m:oMath>
          <m:r>
            <w:rPr>
              <w:rFonts w:ascii="Cambria Math" w:eastAsia="Times New Roman" w:hAnsi="Cambria Math" w:cs="Times New Roman"/>
              <w:sz w:val="14"/>
              <w:szCs w:val="20"/>
              <w:lang w:eastAsia="en-GB"/>
            </w:rPr>
            <w:lastRenderedPageBreak/>
            <m:t>Показатель 16.3.1</m:t>
          </m:r>
          <m:r>
            <w:rPr>
              <w:rFonts w:ascii="Cambria Math" w:eastAsia="Times New Roman" w:hAnsi="Cambria Math" w:cs="Times New Roman"/>
              <w:sz w:val="14"/>
              <w:szCs w:val="20"/>
              <w:lang w:val="en-US" w:eastAsia="en-GB"/>
            </w:rPr>
            <m:t>с</m:t>
          </m:r>
          <m:r>
            <w:rPr>
              <w:rFonts w:ascii="Cambria Math" w:eastAsia="Times New Roman" w:hAnsi="Cambria Math" w:cs="Times New Roman"/>
              <w:sz w:val="14"/>
              <w:szCs w:val="20"/>
              <w:lang w:eastAsia="en-GB"/>
            </w:rPr>
            <m:t xml:space="preserve">= </m:t>
          </m:r>
          <m:f>
            <m:fPr>
              <m:ctrlPr>
                <w:rPr>
                  <w:rFonts w:ascii="Cambria Math" w:eastAsia="Times New Roman" w:hAnsi="Cambria Math" w:cs="Times New Roman"/>
                  <w:i/>
                  <w:sz w:val="14"/>
                  <w:szCs w:val="20"/>
                  <w:lang w:val="en-US" w:eastAsia="en-GB"/>
                </w:rPr>
              </m:ctrlPr>
            </m:fPr>
            <m:num>
              <m:r>
                <m:rPr>
                  <m:sty m:val="p"/>
                </m:rPr>
                <w:rPr>
                  <w:rFonts w:ascii="Cambria Math" w:eastAsia="Times New Roman" w:hAnsi="Cambria Math" w:cs="Times New Roman"/>
                  <w:sz w:val="16"/>
                  <w:szCs w:val="21"/>
                  <w:lang w:eastAsia="en-GB"/>
                </w:rPr>
                <m:t>Число респондентов,  которые подверглись по крайней мере одной форме сексуального насилия за последние 12 месяцев</m:t>
              </m:r>
            </m:num>
            <m:den>
              <m:r>
                <m:rPr>
                  <m:sty m:val="p"/>
                </m:rPr>
                <w:rPr>
                  <w:rFonts w:ascii="Cambria Math" w:eastAsia="Times New Roman" w:hAnsi="Cambria Math" w:cs="Times New Roman"/>
                  <w:sz w:val="16"/>
                  <w:szCs w:val="21"/>
                  <w:lang w:eastAsia="en-GB"/>
                </w:rPr>
                <m:t>Число респондентов , которые стали жертвами по крайней мере одной формы сексуального насилия за последние 12 месяцев</m:t>
              </m:r>
            </m:den>
          </m:f>
          <m:r>
            <w:rPr>
              <w:rFonts w:ascii="Cambria Math" w:eastAsia="Times New Roman" w:hAnsi="Cambria Math" w:cs="Times New Roman"/>
              <w:sz w:val="14"/>
              <w:szCs w:val="20"/>
              <w:lang w:val="en-US" w:eastAsia="en-GB"/>
            </w:rPr>
            <m:t>X</m:t>
          </m:r>
          <m:r>
            <w:rPr>
              <w:rFonts w:ascii="Cambria Math" w:eastAsia="Times New Roman" w:hAnsi="Cambria Math" w:cs="Times New Roman"/>
              <w:sz w:val="14"/>
              <w:szCs w:val="20"/>
              <w:lang w:eastAsia="en-GB"/>
            </w:rPr>
            <m:t>100</m:t>
          </m:r>
        </m:oMath>
      </m:oMathPara>
    </w:p>
    <w:p w:rsidR="002573A0" w:rsidRPr="002573A0" w:rsidRDefault="002573A0" w:rsidP="00A0288C">
      <w:pPr>
        <w:rPr>
          <w:rFonts w:cs="Times New Roman"/>
        </w:rPr>
      </w:pPr>
    </w:p>
    <w:p w:rsidR="002E15F9" w:rsidRPr="000810C8" w:rsidRDefault="002E15F9" w:rsidP="000810C8">
      <w:pPr>
        <w:pStyle w:val="MHeader2"/>
        <w:rPr>
          <w:b/>
          <w:color w:val="auto"/>
          <w:sz w:val="24"/>
          <w:szCs w:val="24"/>
          <w:lang w:val="ru-RU"/>
        </w:rPr>
      </w:pPr>
      <w:r w:rsidRPr="009B34B6">
        <w:rPr>
          <w:color w:val="auto"/>
          <w:sz w:val="24"/>
          <w:szCs w:val="24"/>
          <w:lang w:val="ru-RU"/>
        </w:rPr>
        <w:t>4.d.</w:t>
      </w:r>
      <w:r w:rsidRPr="000810C8">
        <w:rPr>
          <w:b/>
          <w:color w:val="auto"/>
          <w:sz w:val="24"/>
          <w:szCs w:val="24"/>
          <w:lang w:val="ru-RU"/>
        </w:rPr>
        <w:t xml:space="preserve"> </w:t>
      </w:r>
      <w:proofErr w:type="spellStart"/>
      <w:r w:rsidR="00694160" w:rsidRPr="000810C8">
        <w:rPr>
          <w:b/>
          <w:color w:val="auto"/>
          <w:sz w:val="24"/>
          <w:szCs w:val="24"/>
          <w:lang w:val="ru-RU"/>
        </w:rPr>
        <w:t>Валидация</w:t>
      </w:r>
      <w:proofErr w:type="spellEnd"/>
    </w:p>
    <w:p w:rsidR="002573A0" w:rsidRPr="002573A0" w:rsidRDefault="002573A0" w:rsidP="002573A0">
      <w:r w:rsidRPr="002573A0">
        <w:t xml:space="preserve">Данные для этого показателя собираются с помощью обследований домашних хозяйств, проводимых Национальными статистическими </w:t>
      </w:r>
      <w:r w:rsidR="00D13182">
        <w:t>службами (НСС</w:t>
      </w:r>
      <w:r w:rsidRPr="002573A0">
        <w:t xml:space="preserve">) или другими учреждениями в соответствии с жесткими протоколами обследования и </w:t>
      </w:r>
      <w:r w:rsidR="00D13E64">
        <w:t>в соответствии с</w:t>
      </w:r>
      <w:r w:rsidRPr="002573A0">
        <w:t xml:space="preserve"> метаданны</w:t>
      </w:r>
      <w:r w:rsidR="00D13E64">
        <w:t>ми</w:t>
      </w:r>
      <w:r w:rsidRPr="002573A0">
        <w:t xml:space="preserve">. Производителям данных рекомендуется строго следовать практикам, протоколам и рамкам обеспечения качества данных. В дополнение к данным странам предлагается сообщать о метаданных, которые служат еще одним уровнем проверки достоверности данных. Для показателей, основанных на </w:t>
      </w:r>
      <w:r w:rsidR="00D8631E">
        <w:t>обследовании</w:t>
      </w:r>
      <w:r w:rsidRPr="002573A0">
        <w:t>, метаданные оцениваются с точки зрения репрезентативности и охвата о</w:t>
      </w:r>
      <w:r w:rsidR="00D8631E">
        <w:t>бследования</w:t>
      </w:r>
      <w:r w:rsidRPr="002573A0">
        <w:t>, а также соответствия формулировок вопросов и вариантов ответов международным стандартам.</w:t>
      </w:r>
    </w:p>
    <w:p w:rsidR="002573A0" w:rsidRDefault="002573A0" w:rsidP="002573A0">
      <w:r w:rsidRPr="002573A0">
        <w:t>Перед публикацией агентствами-</w:t>
      </w:r>
      <w:r w:rsidR="00D8631E">
        <w:t>кураторами</w:t>
      </w:r>
      <w:r w:rsidRPr="002573A0">
        <w:t xml:space="preserve"> внедряется стандартизированный “процесс предварительной публикации”, в ходе которого национальные заинтересованные стороны могут проверять и пересматривать данные перед публикацией.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D8631E" w:rsidRDefault="00D8631E" w:rsidP="00D8631E">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694160" w:rsidP="00175DCE">
      <w:pPr>
        <w:pStyle w:val="ab"/>
        <w:numPr>
          <w:ilvl w:val="0"/>
          <w:numId w:val="8"/>
        </w:numPr>
      </w:pPr>
      <w:r w:rsidRPr="00175DCE">
        <w:rPr>
          <w:b/>
        </w:rPr>
        <w:t xml:space="preserve">На </w:t>
      </w:r>
      <w:r w:rsidR="00175DCE" w:rsidRPr="00175DCE">
        <w:rPr>
          <w:b/>
        </w:rPr>
        <w:t>страновом уровне:</w:t>
      </w:r>
    </w:p>
    <w:p w:rsidR="002E15F9" w:rsidRPr="00BD29EC" w:rsidRDefault="005D343A" w:rsidP="005D343A">
      <w:r w:rsidRPr="005D343A">
        <w:t>Отсутствующие значения остаются пустыми.</w:t>
      </w:r>
    </w:p>
    <w:p w:rsidR="002E15F9" w:rsidRPr="00BD29EC" w:rsidRDefault="00694160" w:rsidP="00175DCE">
      <w:pPr>
        <w:pStyle w:val="ab"/>
        <w:numPr>
          <w:ilvl w:val="0"/>
          <w:numId w:val="8"/>
        </w:numPr>
      </w:pPr>
      <w:r w:rsidRPr="00175DCE">
        <w:rPr>
          <w:b/>
        </w:rPr>
        <w:t>На региональном и глобальном уровнях</w:t>
      </w:r>
      <w:r w:rsidR="00175DCE" w:rsidRPr="00175DCE">
        <w:rPr>
          <w:b/>
        </w:rPr>
        <w:t>:</w:t>
      </w:r>
    </w:p>
    <w:p w:rsidR="00694160" w:rsidRPr="00BD29EC" w:rsidRDefault="00D8631E" w:rsidP="005D343A">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5D343A" w:rsidRDefault="005D343A" w:rsidP="005D343A">
      <w:r w:rsidRPr="005D343A">
        <w:t>Глобальные оценки в настоящее время не производятся.</w:t>
      </w:r>
    </w:p>
    <w:p w:rsidR="002E15F9" w:rsidRDefault="002E15F9" w:rsidP="0075371E">
      <w:pPr>
        <w:pStyle w:val="MHeader2"/>
        <w:rPr>
          <w:b/>
          <w:color w:val="auto"/>
          <w:sz w:val="24"/>
          <w:szCs w:val="24"/>
          <w:lang w:val="ru-RU"/>
        </w:rPr>
      </w:pPr>
      <w:r w:rsidRPr="004336AA">
        <w:rPr>
          <w:color w:val="auto"/>
          <w:sz w:val="24"/>
          <w:szCs w:val="24"/>
          <w:lang w:val="ru-RU"/>
        </w:rPr>
        <w:t>4.</w:t>
      </w:r>
      <w:r w:rsidRPr="004336AA">
        <w:rPr>
          <w:color w:val="auto"/>
          <w:sz w:val="24"/>
          <w:szCs w:val="24"/>
        </w:rPr>
        <w:t>h</w:t>
      </w:r>
      <w:r w:rsidRPr="004336AA">
        <w:rPr>
          <w:color w:val="auto"/>
          <w:sz w:val="24"/>
          <w:szCs w:val="24"/>
          <w:lang w:val="ru-RU"/>
        </w:rPr>
        <w:t xml:space="preserve">. </w:t>
      </w:r>
      <w:r w:rsidR="00E27922" w:rsidRPr="004336AA">
        <w:rPr>
          <w:b/>
          <w:color w:val="auto"/>
          <w:sz w:val="24"/>
          <w:szCs w:val="24"/>
          <w:lang w:val="ru-RU"/>
        </w:rPr>
        <w:t>Доступные странам методы для сбора данных на национальном уровне</w:t>
      </w:r>
    </w:p>
    <w:p w:rsidR="00977843" w:rsidRDefault="004336AA" w:rsidP="00977843">
      <w:pPr>
        <w:spacing w:after="0"/>
      </w:pPr>
      <w:r w:rsidRPr="004336AA">
        <w:t xml:space="preserve">В 2022 году Управление Организации Объединенных Наций по наркотикам и преступности (УНП ООН) совместно с Программой развития Организации Объединенных Наций (ПРООН) и Управлением Верховного комиссара Организации Объединенных Наций по правам человека (УВКПЧ) опубликовало </w:t>
      </w:r>
      <w:r w:rsidR="00DD200E">
        <w:t>Вопросник</w:t>
      </w:r>
      <w:r w:rsidRPr="004336AA">
        <w:t xml:space="preserve"> </w:t>
      </w:r>
      <w:r w:rsidR="00DD200E">
        <w:t>по</w:t>
      </w:r>
      <w:r w:rsidRPr="004336AA">
        <w:t xml:space="preserve"> ЦУР 16 и руководство по </w:t>
      </w:r>
      <w:r w:rsidR="00DD200E">
        <w:t>внедрению</w:t>
      </w:r>
      <w:r w:rsidRPr="004336AA">
        <w:t xml:space="preserve">, которые содержат </w:t>
      </w:r>
      <w:proofErr w:type="spellStart"/>
      <w:r w:rsidRPr="004336AA">
        <w:t>международно</w:t>
      </w:r>
      <w:proofErr w:type="spellEnd"/>
      <w:r w:rsidRPr="004336AA">
        <w:t xml:space="preserve"> стандартизированные формулировки вопросов о</w:t>
      </w:r>
      <w:r w:rsidR="00977843">
        <w:t>бследования</w:t>
      </w:r>
      <w:r w:rsidRPr="004336AA">
        <w:t xml:space="preserve"> (</w:t>
      </w:r>
      <w:r w:rsidR="00977843">
        <w:t>на</w:t>
      </w:r>
      <w:r w:rsidRPr="004336AA">
        <w:t xml:space="preserve"> пяти официальны</w:t>
      </w:r>
      <w:r w:rsidR="00977843">
        <w:t>х</w:t>
      </w:r>
      <w:r w:rsidRPr="004336AA">
        <w:t xml:space="preserve"> язык</w:t>
      </w:r>
      <w:r w:rsidR="00977843">
        <w:t>ах</w:t>
      </w:r>
      <w:r w:rsidRPr="004336AA">
        <w:t xml:space="preserve"> ООН), а также руководство по внедрению, связанное с этим показателем. С </w:t>
      </w:r>
      <w:r w:rsidR="00977843">
        <w:t>вопросником</w:t>
      </w:r>
      <w:r w:rsidRPr="004336AA">
        <w:t xml:space="preserve"> и руководством можно ознакомиться по адресу:</w:t>
      </w:r>
    </w:p>
    <w:p w:rsidR="00977843" w:rsidRPr="00977843" w:rsidRDefault="00A85E75" w:rsidP="00977843">
      <w:pPr>
        <w:spacing w:after="0"/>
      </w:pPr>
      <w:hyperlink r:id="rId13" w:history="1">
        <w:r w:rsidR="00977843" w:rsidRPr="00977843">
          <w:rPr>
            <w:rStyle w:val="ac"/>
            <w:rFonts w:eastAsia="Times New Roman" w:cs="Times New Roman"/>
            <w:szCs w:val="24"/>
            <w:lang w:eastAsia="en-GB"/>
          </w:rPr>
          <w:t>https://www.sdg16hub.org/topic/sdg-16-survey-initiative-questionnaire</w:t>
        </w:r>
      </w:hyperlink>
    </w:p>
    <w:p w:rsidR="00977843" w:rsidRDefault="00A85E75" w:rsidP="00977843">
      <w:pPr>
        <w:shd w:val="clear" w:color="auto" w:fill="FFFFFF"/>
        <w:spacing w:after="0"/>
        <w:rPr>
          <w:rFonts w:eastAsia="Times New Roman" w:cs="Times New Roman"/>
          <w:color w:val="4A4A4A"/>
          <w:szCs w:val="24"/>
          <w:lang w:eastAsia="en-GB"/>
        </w:rPr>
      </w:pPr>
      <w:hyperlink r:id="rId14" w:history="1">
        <w:r w:rsidR="00977843" w:rsidRPr="00977843">
          <w:rPr>
            <w:rStyle w:val="ac"/>
            <w:rFonts w:eastAsia="Times New Roman" w:cs="Times New Roman"/>
            <w:szCs w:val="24"/>
            <w:lang w:eastAsia="en-GB"/>
          </w:rPr>
          <w:t>https://www.sdg16hub.org/topic/sdg-16-survey-initiative-implementation-manual</w:t>
        </w:r>
      </w:hyperlink>
      <w:r w:rsidR="00977843" w:rsidRPr="00977843">
        <w:rPr>
          <w:rFonts w:eastAsia="Times New Roman" w:cs="Times New Roman"/>
          <w:color w:val="4A4A4A"/>
          <w:szCs w:val="24"/>
          <w:lang w:eastAsia="en-GB"/>
        </w:rPr>
        <w:t xml:space="preserve"> </w:t>
      </w:r>
    </w:p>
    <w:p w:rsidR="00977843" w:rsidRPr="00977843" w:rsidRDefault="00977843" w:rsidP="00977843">
      <w:pPr>
        <w:shd w:val="clear" w:color="auto" w:fill="FFFFFF"/>
        <w:spacing w:after="0"/>
        <w:rPr>
          <w:rFonts w:eastAsia="Times New Roman" w:cs="Times New Roman"/>
          <w:color w:val="4A4A4A"/>
          <w:szCs w:val="24"/>
          <w:lang w:eastAsia="en-GB"/>
        </w:rPr>
      </w:pPr>
    </w:p>
    <w:p w:rsidR="00977843" w:rsidRPr="00FA3FEA" w:rsidRDefault="00977843" w:rsidP="00977843">
      <w:pPr>
        <w:rPr>
          <w:szCs w:val="24"/>
          <w:lang w:eastAsia="en-GB"/>
        </w:rPr>
      </w:pPr>
      <w:r w:rsidRPr="00FA3FEA">
        <w:rPr>
          <w:szCs w:val="24"/>
          <w:lang w:eastAsia="en-GB"/>
        </w:rPr>
        <w:t>В 2013 году УНП ООН через свой Центр передового опыта УНП ООН-</w:t>
      </w:r>
      <w:r w:rsidRPr="00FA3FEA">
        <w:rPr>
          <w:szCs w:val="24"/>
        </w:rPr>
        <w:t xml:space="preserve"> </w:t>
      </w:r>
      <w:r w:rsidRPr="00FA3FEA">
        <w:rPr>
          <w:szCs w:val="24"/>
          <w:lang w:eastAsia="en-GB"/>
        </w:rPr>
        <w:t xml:space="preserve">INEGI в области статистической информации о правительстве, преступности, </w:t>
      </w:r>
      <w:proofErr w:type="spellStart"/>
      <w:r w:rsidRPr="00FA3FEA">
        <w:rPr>
          <w:szCs w:val="24"/>
          <w:lang w:eastAsia="en-GB"/>
        </w:rPr>
        <w:t>виктимизации</w:t>
      </w:r>
      <w:proofErr w:type="spellEnd"/>
      <w:r w:rsidRPr="00FA3FEA">
        <w:rPr>
          <w:szCs w:val="24"/>
          <w:lang w:eastAsia="en-GB"/>
        </w:rPr>
        <w:t xml:space="preserve"> и правосудии (</w:t>
      </w:r>
      <w:proofErr w:type="spellStart"/>
      <w:r w:rsidRPr="00FA3FEA">
        <w:rPr>
          <w:szCs w:val="24"/>
          <w:lang w:eastAsia="en-GB"/>
        </w:rPr>
        <w:t>С</w:t>
      </w:r>
      <w:r w:rsidR="001C07E2">
        <w:rPr>
          <w:szCs w:val="24"/>
          <w:lang w:eastAsia="en-GB"/>
        </w:rPr>
        <w:t>о</w:t>
      </w:r>
      <w:r w:rsidRPr="00FA3FEA">
        <w:rPr>
          <w:szCs w:val="24"/>
          <w:lang w:eastAsia="en-GB"/>
        </w:rPr>
        <w:t>Е</w:t>
      </w:r>
      <w:proofErr w:type="spellEnd"/>
      <w:r w:rsidRPr="00FA3FEA">
        <w:rPr>
          <w:szCs w:val="24"/>
          <w:lang w:eastAsia="en-GB"/>
        </w:rPr>
        <w:t xml:space="preserve">) в Мексике создало инициативу по обследованию </w:t>
      </w:r>
      <w:proofErr w:type="spellStart"/>
      <w:r w:rsidRPr="00FA3FEA">
        <w:rPr>
          <w:szCs w:val="24"/>
          <w:lang w:eastAsia="en-GB"/>
        </w:rPr>
        <w:t>виктимизации</w:t>
      </w:r>
      <w:proofErr w:type="spellEnd"/>
      <w:r w:rsidRPr="00FA3FEA">
        <w:rPr>
          <w:szCs w:val="24"/>
          <w:lang w:eastAsia="en-GB"/>
        </w:rPr>
        <w:t xml:space="preserve"> в Латинской Америке и Карибском бассейне (LACSI), стандартизированную на региональном уровне методологию для всестороннего измерения </w:t>
      </w:r>
      <w:proofErr w:type="spellStart"/>
      <w:r w:rsidRPr="00FA3FEA">
        <w:rPr>
          <w:szCs w:val="24"/>
          <w:lang w:eastAsia="en-GB"/>
        </w:rPr>
        <w:t>виктимизации</w:t>
      </w:r>
      <w:proofErr w:type="spellEnd"/>
      <w:r w:rsidRPr="00FA3FEA">
        <w:rPr>
          <w:szCs w:val="24"/>
          <w:lang w:eastAsia="en-GB"/>
        </w:rPr>
        <w:t>, восприятия безопасности и деятельность органов власти сопоставимым образом в соответствии с международными стандартами Организации Объединенных Наций. LACSI возглавляет УНП ООН, и его поддерживают Межамериканский банк развития (</w:t>
      </w:r>
      <w:r w:rsidR="00362143" w:rsidRPr="00FA3FEA">
        <w:rPr>
          <w:szCs w:val="24"/>
          <w:lang w:eastAsia="en-GB"/>
        </w:rPr>
        <w:t>М</w:t>
      </w:r>
      <w:r w:rsidRPr="00FA3FEA">
        <w:rPr>
          <w:szCs w:val="24"/>
          <w:lang w:eastAsia="en-GB"/>
        </w:rPr>
        <w:t>БР), Программа развития Организации Объединенных Наций (ПРООН) и Организация американских государств (ОАГ). Рабочая группа Инициативы (в состав которой входят представители 14 стран региона</w:t>
      </w:r>
      <w:r w:rsidR="00362143" w:rsidRPr="00FA3FEA">
        <w:rPr>
          <w:szCs w:val="24"/>
          <w:lang w:eastAsia="en-GB"/>
        </w:rPr>
        <w:t xml:space="preserve"> </w:t>
      </w:r>
      <w:r w:rsidR="00362143" w:rsidRPr="00FA3FEA">
        <w:rPr>
          <w:szCs w:val="24"/>
          <w:lang w:val="en-US" w:eastAsia="en-GB"/>
        </w:rPr>
        <w:t>LAC</w:t>
      </w:r>
      <w:r w:rsidRPr="00FA3FEA">
        <w:rPr>
          <w:szCs w:val="24"/>
          <w:lang w:eastAsia="en-GB"/>
        </w:rPr>
        <w:t>) периодически проводит совещания для рассмотрения и обновления основного методологического инструмента. Протокол совещания, концептуальная основа и методологические инструменты доступны по адрес</w:t>
      </w:r>
      <w:r w:rsidR="00FA3FEA" w:rsidRPr="00FA3FEA">
        <w:rPr>
          <w:szCs w:val="24"/>
          <w:lang w:eastAsia="en-GB"/>
        </w:rPr>
        <w:t>у</w:t>
      </w:r>
      <w:r w:rsidRPr="00FA3FEA">
        <w:rPr>
          <w:szCs w:val="24"/>
          <w:lang w:eastAsia="en-GB"/>
        </w:rPr>
        <w:t>:</w:t>
      </w:r>
    </w:p>
    <w:p w:rsidR="00FA3FEA" w:rsidRPr="00FA3FEA" w:rsidRDefault="00A85E75" w:rsidP="00FA3FEA">
      <w:pPr>
        <w:shd w:val="clear" w:color="auto" w:fill="FFFFFF"/>
        <w:spacing w:after="0"/>
        <w:rPr>
          <w:rFonts w:eastAsia="Times New Roman" w:cs="Times New Roman"/>
          <w:szCs w:val="24"/>
          <w:lang w:eastAsia="en-GB"/>
        </w:rPr>
      </w:pPr>
      <w:hyperlink r:id="rId15" w:history="1">
        <w:r w:rsidR="00FA3FEA" w:rsidRPr="00FA3FEA">
          <w:rPr>
            <w:rStyle w:val="ac"/>
            <w:rFonts w:eastAsia="Times New Roman" w:cs="Times New Roman"/>
            <w:color w:val="auto"/>
            <w:szCs w:val="24"/>
            <w:u w:val="none"/>
            <w:lang w:eastAsia="en-GB"/>
          </w:rPr>
          <w:t>https://www.cdeunodc.inegi.org.mx/index.php/lacsi-initiative/</w:t>
        </w:r>
      </w:hyperlink>
    </w:p>
    <w:p w:rsidR="00FA3FEA" w:rsidRDefault="00A85E75" w:rsidP="00FA3FEA">
      <w:pPr>
        <w:shd w:val="clear" w:color="auto" w:fill="FFFFFF"/>
        <w:spacing w:after="0"/>
        <w:rPr>
          <w:szCs w:val="24"/>
        </w:rPr>
      </w:pPr>
      <w:hyperlink r:id="rId16" w:history="1">
        <w:r w:rsidR="00FA3FEA" w:rsidRPr="00351C64">
          <w:rPr>
            <w:rStyle w:val="ac"/>
            <w:szCs w:val="24"/>
          </w:rPr>
          <w:t>https://www.cdeunodc.inegi.org.mx/index.php/questionnaire/</w:t>
        </w:r>
      </w:hyperlink>
    </w:p>
    <w:p w:rsidR="00FA3FEA" w:rsidRPr="00FA3FEA" w:rsidRDefault="00FA3FEA" w:rsidP="00FA3FEA">
      <w:pPr>
        <w:shd w:val="clear" w:color="auto" w:fill="FFFFFF"/>
        <w:spacing w:after="0"/>
        <w:rPr>
          <w:szCs w:val="24"/>
        </w:rPr>
      </w:pPr>
    </w:p>
    <w:p w:rsidR="00FA3FEA" w:rsidRDefault="00FA3FEA" w:rsidP="00977843">
      <w:pPr>
        <w:rPr>
          <w:lang w:eastAsia="en-GB"/>
        </w:rPr>
      </w:pPr>
      <w:r w:rsidRPr="00FA3FEA">
        <w:rPr>
          <w:lang w:eastAsia="en-GB"/>
        </w:rPr>
        <w:t xml:space="preserve">В 2010 году Управление Организации Объединенных Наций по наркотикам и преступности (УНП ООН) и Европейская экономическая комиссия Организации Объединенных Наций (УНП ООН-ЕЭК ООН) опубликовали Руководство по обследованиям </w:t>
      </w:r>
      <w:proofErr w:type="spellStart"/>
      <w:r w:rsidRPr="00FA3FEA">
        <w:rPr>
          <w:lang w:eastAsia="en-GB"/>
        </w:rPr>
        <w:t>виктимизации</w:t>
      </w:r>
      <w:proofErr w:type="spellEnd"/>
      <w:r w:rsidRPr="00FA3FEA">
        <w:rPr>
          <w:lang w:eastAsia="en-GB"/>
        </w:rPr>
        <w:t xml:space="preserve">, в котором содержатся технические рекомендации по проведению таких обследований на основе передовой практики, разработанной на страновом уровне. Руководство УНП ООН-ЕЭК ООН по обследованиям </w:t>
      </w:r>
      <w:proofErr w:type="spellStart"/>
      <w:r w:rsidRPr="00FA3FEA">
        <w:rPr>
          <w:lang w:eastAsia="en-GB"/>
        </w:rPr>
        <w:t>виктимизации</w:t>
      </w:r>
      <w:proofErr w:type="spellEnd"/>
      <w:r w:rsidRPr="00FA3FEA">
        <w:rPr>
          <w:lang w:eastAsia="en-GB"/>
        </w:rPr>
        <w:t xml:space="preserve"> (2010) доступно по адресу:</w:t>
      </w:r>
    </w:p>
    <w:p w:rsidR="00977843" w:rsidRPr="00FA3FEA" w:rsidRDefault="00A85E75" w:rsidP="00FA3FEA">
      <w:pPr>
        <w:shd w:val="clear" w:color="auto" w:fill="FFFFFF"/>
        <w:spacing w:after="0"/>
        <w:rPr>
          <w:rFonts w:eastAsia="Times New Roman" w:cs="Times New Roman"/>
          <w:color w:val="4A4A4A"/>
          <w:sz w:val="21"/>
          <w:szCs w:val="21"/>
          <w:lang w:eastAsia="en-GB"/>
        </w:rPr>
      </w:pPr>
      <w:hyperlink r:id="rId17" w:history="1">
        <w:r w:rsidR="00FA3FEA" w:rsidRPr="00152BFB">
          <w:rPr>
            <w:rStyle w:val="ac"/>
          </w:rPr>
          <w:t>https://www.unodc.org/unodc/en/data-and-analysis/Manual-on-victim-surveys.html</w:t>
        </w:r>
      </w:hyperlink>
      <w:r w:rsidR="00FA3FEA">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FA3FEA" w:rsidRPr="00BD29EC" w:rsidRDefault="00FA3FEA" w:rsidP="00FA3FEA">
      <w:r w:rsidRPr="00FA3FEA">
        <w:t>В Управлении Организации Объединенных Наций по наркотикам и преступности (УНП ООН) имеется статистический отдел со специализированным персоналом для поддержки сбора данных посредством технической помощи, сопоставления и проверки полученных данных и постоянного совершенствования механизмов сбора данных, включая руководящие принципы.</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FA3FEA" w:rsidRDefault="00FA3FEA" w:rsidP="00FA3FEA">
      <w:r w:rsidRPr="00FA3FEA">
        <w:t xml:space="preserve">Рекомендуется, чтобы национальные статистические </w:t>
      </w:r>
      <w:r>
        <w:t>службы</w:t>
      </w:r>
      <w:r w:rsidRPr="00FA3FEA">
        <w:t xml:space="preserve"> (НС</w:t>
      </w:r>
      <w:r>
        <w:t>С</w:t>
      </w:r>
      <w:r w:rsidRPr="00FA3FEA">
        <w:t xml:space="preserve">) выступали в качестве основного контактного лица для сбора и обеспечения качества </w:t>
      </w:r>
      <w:proofErr w:type="gramStart"/>
      <w:r w:rsidRPr="00FA3FEA">
        <w:t>необходимых</w:t>
      </w:r>
      <w:proofErr w:type="gramEnd"/>
      <w:r w:rsidRPr="00FA3FEA">
        <w:t xml:space="preserve"> данных для отчетности по ЦУР 16.3.1 в тесной координации с другими соответствующими органами в стране. При обработке данных агентствами-</w:t>
      </w:r>
      <w:r w:rsidR="00A41517">
        <w:t>кураторами</w:t>
      </w:r>
      <w:r w:rsidRPr="00FA3FEA">
        <w:t xml:space="preserve"> применяются автоматизированные процедуры проверки по существу для оценки их согласованности и соответствия стандартам.</w:t>
      </w:r>
    </w:p>
    <w:p w:rsidR="009B34B6" w:rsidRPr="00040034" w:rsidRDefault="009B34B6" w:rsidP="00FA3FEA"/>
    <w:p w:rsidR="002E15F9" w:rsidRDefault="0075371E"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A41517" w:rsidRPr="00A41517" w:rsidRDefault="00A41517" w:rsidP="00A41517">
      <w:r>
        <w:t>См. раздел 4.</w:t>
      </w:r>
      <w:r>
        <w:rPr>
          <w:lang w:val="en-US"/>
        </w:rPr>
        <w:t>d</w:t>
      </w:r>
      <w:r w:rsidRPr="00A41517">
        <w:t xml:space="preserve">. </w:t>
      </w:r>
      <w:proofErr w:type="spellStart"/>
      <w:r>
        <w:t>Валидация</w:t>
      </w:r>
      <w:proofErr w:type="spellEnd"/>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9B34B6">
        <w:rPr>
          <w:b/>
          <w:color w:val="auto"/>
          <w:sz w:val="24"/>
          <w:szCs w:val="24"/>
          <w:lang w:val="ru-RU"/>
        </w:rPr>
        <w:t xml:space="preserve">ация </w:t>
      </w:r>
      <w:r w:rsidR="0075371E" w:rsidRPr="00BD29EC">
        <w:rPr>
          <w:b/>
          <w:color w:val="auto"/>
          <w:sz w:val="24"/>
          <w:szCs w:val="24"/>
          <w:lang w:val="ru-RU"/>
        </w:rPr>
        <w:t>данных</w:t>
      </w:r>
    </w:p>
    <w:p w:rsidR="0075371E" w:rsidRPr="009B34B6" w:rsidRDefault="0075371E" w:rsidP="005D343A">
      <w:pPr>
        <w:rPr>
          <w:b/>
        </w:rPr>
      </w:pPr>
      <w:r w:rsidRPr="009B34B6">
        <w:rPr>
          <w:b/>
        </w:rPr>
        <w:t>Доступность данных:</w:t>
      </w:r>
    </w:p>
    <w:p w:rsidR="00A41517" w:rsidRDefault="00A41517" w:rsidP="00A41517">
      <w:r>
        <w:t xml:space="preserve">Хотя несколько стран, особенно на </w:t>
      </w:r>
      <w:r w:rsidR="001C07E2">
        <w:t>а</w:t>
      </w:r>
      <w:r>
        <w:t xml:space="preserve">мериканском </w:t>
      </w:r>
      <w:r w:rsidR="001C07E2">
        <w:t>к</w:t>
      </w:r>
      <w:r>
        <w:t xml:space="preserve">онтиненте, в соответствии с методологией LACSI провели национальные обследования </w:t>
      </w:r>
      <w:proofErr w:type="spellStart"/>
      <w:r>
        <w:t>виктимизации</w:t>
      </w:r>
      <w:proofErr w:type="spellEnd"/>
      <w:r w:rsidR="00397D97">
        <w:rPr>
          <w:rStyle w:val="a6"/>
        </w:rPr>
        <w:footnoteReference w:id="10"/>
      </w:r>
      <w:r>
        <w:t>, на глобальном уровне по-прежнему существует ограниченный доступ к данным, основанным на обследованиях, для измерения уровня сообщений о физическом, психологическом и сексуальном насилии.</w:t>
      </w:r>
    </w:p>
    <w:p w:rsidR="00A41517" w:rsidRDefault="00A41517" w:rsidP="00A41517">
      <w:r>
        <w:t xml:space="preserve">По этой причине УНП ООН в партнерстве с ПРООН и УВКПЧ разработало стандартизированный на международном уровне и апробированный </w:t>
      </w:r>
      <w:r w:rsidR="00DD200E">
        <w:t>вопросник по</w:t>
      </w:r>
      <w:r>
        <w:t xml:space="preserve"> ЦУР 16 и прилагаемое руководство по реализации, которые страны могут использовать для сбора данных по 11 показателям, основанным на обследованиях, в рамках Цели 16, а также по двум показателям, основанным на обследованиях, в рамках цели 11.</w:t>
      </w:r>
    </w:p>
    <w:p w:rsidR="005D343A" w:rsidRPr="005D343A" w:rsidRDefault="00A41517" w:rsidP="00A41517">
      <w:r>
        <w:t xml:space="preserve">Другим важным региональным стандартом является Инициатива по обследованию </w:t>
      </w:r>
      <w:proofErr w:type="spellStart"/>
      <w:r>
        <w:t>виктимизации</w:t>
      </w:r>
      <w:proofErr w:type="spellEnd"/>
      <w:r>
        <w:t xml:space="preserve"> в Латинской Америке и Карибском бассейне (LACSI), которую страны могут использовать для измерения 4 показателей, основанных на обследованиях, в рамках цели 16, включая показатель 16.3.1, а также показатель, основанный на обследованиях, в цели 11. LACSI выходит за рамки измерения показателей ЦУР 2030 на основе обследований и способствует измерению широкого спектра аспектов, подлежащих измерению с точки зрения безопасности и </w:t>
      </w:r>
      <w:proofErr w:type="spellStart"/>
      <w:r>
        <w:t>виктимизации</w:t>
      </w:r>
      <w:proofErr w:type="spellEnd"/>
      <w:r>
        <w:t>, которые могут быть полезны директивным органам и странам для лучшего понимания преступности</w:t>
      </w:r>
      <w:r w:rsidR="00397D97">
        <w:rPr>
          <w:rStyle w:val="a6"/>
        </w:rPr>
        <w:footnoteReference w:id="11"/>
      </w:r>
      <w:r>
        <w:t>.</w:t>
      </w:r>
    </w:p>
    <w:p w:rsidR="0075371E" w:rsidRPr="009B34B6" w:rsidRDefault="0075371E" w:rsidP="005D343A">
      <w:pPr>
        <w:rPr>
          <w:b/>
        </w:rPr>
      </w:pPr>
      <w:r w:rsidRPr="009B34B6">
        <w:rPr>
          <w:b/>
        </w:rPr>
        <w:t>Временные ряды:</w:t>
      </w:r>
    </w:p>
    <w:p w:rsidR="00397D97" w:rsidRDefault="00397D97" w:rsidP="005D343A">
      <w:r w:rsidRPr="00397D97">
        <w:t>Этот показатель недавно был включен в ежегодный обзор тенденций в области преступности Организации Объединенных Наций (CTS), регулярный сбор данных, используемый УНП ООН для сбора данных от государств - членов ООН. Ожидается, что страны будут постепенно отчитываться по этому показателю по мере распространения методологического руководства и включения соответствующих элементов в национальные обследования.</w:t>
      </w:r>
    </w:p>
    <w:p w:rsidR="0075371E" w:rsidRPr="009B34B6" w:rsidRDefault="009B34B6" w:rsidP="005D343A">
      <w:pPr>
        <w:rPr>
          <w:b/>
        </w:rPr>
      </w:pPr>
      <w:r w:rsidRPr="009B34B6">
        <w:rPr>
          <w:b/>
        </w:rPr>
        <w:t>Дезагрегация</w:t>
      </w:r>
      <w:r w:rsidR="0075371E" w:rsidRPr="009B34B6">
        <w:rPr>
          <w:b/>
        </w:rPr>
        <w:t>:</w:t>
      </w:r>
    </w:p>
    <w:p w:rsidR="005D343A" w:rsidRDefault="005D343A" w:rsidP="00397D97">
      <w:r w:rsidRPr="00CE5C47">
        <w:t>Рекомендуемые</w:t>
      </w:r>
      <w:r w:rsidR="009065C7">
        <w:t xml:space="preserve"> разбивки</w:t>
      </w:r>
      <w:r w:rsidRPr="00CE5C47">
        <w:t xml:space="preserve"> для этого показателя: </w:t>
      </w:r>
    </w:p>
    <w:p w:rsidR="00397D97" w:rsidRPr="00397D97" w:rsidRDefault="00397D97" w:rsidP="00397D97">
      <w:r w:rsidRPr="00397D97">
        <w:lastRenderedPageBreak/>
        <w:t>- пол</w:t>
      </w:r>
    </w:p>
    <w:p w:rsidR="00397D97" w:rsidRPr="00397D97" w:rsidRDefault="00397D97" w:rsidP="00397D97">
      <w:r w:rsidRPr="00397D97">
        <w:t>- возраст</w:t>
      </w:r>
    </w:p>
    <w:p w:rsidR="00397D97" w:rsidRPr="00397D97" w:rsidRDefault="00397D97" w:rsidP="00397D97">
      <w:r w:rsidRPr="00397D97">
        <w:t>- тип насилия (физическое, психологическое, сексуальное)</w:t>
      </w:r>
    </w:p>
    <w:p w:rsidR="00397D97" w:rsidRPr="00397D97" w:rsidRDefault="00397D97" w:rsidP="00397D97">
      <w:r w:rsidRPr="00397D97">
        <w:t>- Взаимоотношения жертвы и насильника (нынешний или бывший интимный партнер, другой член семьи, коллега по работе, школьный сверстник и т.д.)</w:t>
      </w:r>
    </w:p>
    <w:p w:rsidR="00397D97" w:rsidRDefault="00397D97" w:rsidP="00397D97">
      <w:r w:rsidRPr="00397D97">
        <w:t xml:space="preserve">- тип органа, </w:t>
      </w:r>
      <w:r>
        <w:t>куда подано</w:t>
      </w:r>
      <w:r w:rsidRPr="00397D97">
        <w:t xml:space="preserve"> заявление</w:t>
      </w:r>
    </w:p>
    <w:p w:rsidR="00397D97" w:rsidRDefault="00397D97" w:rsidP="00397D97">
      <w:r w:rsidRPr="00397D97">
        <w:t>Когда предлагаемый модуль, посвященный опыту физического, психологического и сексуального насилия и сообщениям о нем, является частью более масштабного обследования населения, возможно, нет необходимости включать в модуль соответствующие дезагрегированные данные (например, по полу, возрасту и т.д.), поскольку они обычно являются частью крупных социально-экономических обследований. Напротив, разбивка по видам насилия, отношениям между жертвой и преступником и типу органа, предоставляющего информацию, должна быть включена в сам модуль вопросов.</w:t>
      </w:r>
    </w:p>
    <w:p w:rsidR="00B0576C" w:rsidRDefault="008848EE" w:rsidP="00397D97">
      <w:r>
        <w:t>Необходимо с</w:t>
      </w:r>
      <w:r w:rsidR="00B0576C" w:rsidRPr="00B0576C">
        <w:t xml:space="preserve">пособствовать не только измерению этого показателя, но и лучшему пониманию практики отчетности о преступлениях и их регистрации. В </w:t>
      </w:r>
      <w:r w:rsidR="00B0576C">
        <w:t>вопроснике</w:t>
      </w:r>
      <w:r w:rsidR="00B0576C" w:rsidRPr="00B0576C">
        <w:t xml:space="preserve"> LACSI рекомендуется задать дополнительный контрольный вопрос, чтобы подтвердить, подписал ли потерпевший после сообщения о преступлении в полицию/компетентный орган юридическую бумагу или официальный документ, в котором говорится, что его/ее сообщение было зарегистрировано. Этот дополнительный вопрос полезен для сравнения данных о </w:t>
      </w:r>
      <w:proofErr w:type="gramStart"/>
      <w:r w:rsidR="00B0576C" w:rsidRPr="00B0576C">
        <w:t>сообщениях</w:t>
      </w:r>
      <w:proofErr w:type="gramEnd"/>
      <w:r w:rsidR="00B0576C" w:rsidRPr="00B0576C">
        <w:t xml:space="preserve"> о насилии, полученных в результате о</w:t>
      </w:r>
      <w:r w:rsidR="00B0576C">
        <w:t>бследования</w:t>
      </w:r>
      <w:r w:rsidR="00B0576C" w:rsidRPr="00B0576C">
        <w:t>, с записями полиции/компетентного органа, а также для выявления возможных пробелов между сообщениями о насилии и регистрацией насилия полицией/компетентным органом.</w:t>
      </w:r>
    </w:p>
    <w:p w:rsidR="002E15F9" w:rsidRPr="00BD29EC" w:rsidRDefault="002E15F9" w:rsidP="00397D97">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D834AB" w:rsidRPr="0078423F" w:rsidRDefault="00D834AB" w:rsidP="00D834AB">
      <w:pPr>
        <w:rPr>
          <w:b/>
          <w:lang w:eastAsia="en-GB"/>
        </w:rPr>
      </w:pPr>
      <w:r w:rsidRPr="0078423F">
        <w:rPr>
          <w:b/>
          <w:lang w:eastAsia="en-GB"/>
        </w:rPr>
        <w:t>Источники расхождений:</w:t>
      </w:r>
    </w:p>
    <w:p w:rsidR="00A34C5A" w:rsidRDefault="00A34C5A" w:rsidP="00A34C5A">
      <w:pPr>
        <w:rPr>
          <w:lang w:eastAsia="en-GB"/>
        </w:rPr>
      </w:pPr>
      <w:r w:rsidRPr="00A34C5A">
        <w:rPr>
          <w:lang w:eastAsia="en-GB"/>
        </w:rPr>
        <w:t xml:space="preserve">Данные </w:t>
      </w:r>
      <w:r>
        <w:rPr>
          <w:lang w:eastAsia="en-GB"/>
        </w:rPr>
        <w:t>по этому показателю</w:t>
      </w:r>
      <w:r w:rsidRPr="00A34C5A">
        <w:rPr>
          <w:lang w:eastAsia="en-GB"/>
        </w:rPr>
        <w:t xml:space="preserve"> основаны на наборе стандартизированных вопросов о</w:t>
      </w:r>
      <w:r>
        <w:rPr>
          <w:lang w:eastAsia="en-GB"/>
        </w:rPr>
        <w:t>бследования</w:t>
      </w:r>
      <w:r w:rsidRPr="00A34C5A">
        <w:rPr>
          <w:lang w:eastAsia="en-GB"/>
        </w:rPr>
        <w:t>. Если доступны данные более чем из одного о</w:t>
      </w:r>
      <w:r>
        <w:rPr>
          <w:lang w:eastAsia="en-GB"/>
        </w:rPr>
        <w:t>бследования</w:t>
      </w:r>
      <w:r w:rsidRPr="00A34C5A">
        <w:rPr>
          <w:lang w:eastAsia="en-GB"/>
        </w:rPr>
        <w:t xml:space="preserve"> по одной и той же стране, расхождения могут быть вызваны различными формулировками вопросов, различной структурой вопросника, различными методами </w:t>
      </w:r>
      <w:r w:rsidR="00FB7D84">
        <w:rPr>
          <w:lang w:eastAsia="en-GB"/>
        </w:rPr>
        <w:t>обследования</w:t>
      </w:r>
      <w:r w:rsidRPr="00A34C5A">
        <w:rPr>
          <w:lang w:eastAsia="en-GB"/>
        </w:rPr>
        <w:t>, различным дизайном</w:t>
      </w:r>
      <w:r w:rsidR="00FB7D84">
        <w:rPr>
          <w:lang w:eastAsia="en-GB"/>
        </w:rPr>
        <w:t xml:space="preserve"> и размером</w:t>
      </w:r>
      <w:r w:rsidRPr="00A34C5A">
        <w:rPr>
          <w:lang w:eastAsia="en-GB"/>
        </w:rPr>
        <w:t xml:space="preserve"> выборки. Как правило, используются данные национальных обследований, соответствующие рекомендуемым стандартам, когда они доступны.</w:t>
      </w:r>
    </w:p>
    <w:p w:rsidR="00040034" w:rsidRDefault="00040034" w:rsidP="00D834AB">
      <w:pPr>
        <w:pBdr>
          <w:bottom w:val="single" w:sz="12" w:space="4" w:color="DDDDDD"/>
        </w:pBdr>
        <w:shd w:val="clear" w:color="auto" w:fill="FFFFFF"/>
        <w:spacing w:after="100"/>
        <w:outlineLvl w:val="2"/>
        <w:rPr>
          <w:rFonts w:eastAsia="Times New Roman" w:cs="Times New Roman"/>
          <w:b/>
          <w:szCs w:val="24"/>
          <w:lang w:eastAsia="en-GB"/>
        </w:rPr>
      </w:pPr>
      <w:r w:rsidRPr="00D834AB">
        <w:rPr>
          <w:rFonts w:eastAsia="Times New Roman" w:cs="Times New Roman"/>
          <w:b/>
          <w:szCs w:val="24"/>
          <w:lang w:eastAsia="en-GB"/>
        </w:rPr>
        <w:t xml:space="preserve">7. </w:t>
      </w:r>
      <w:r>
        <w:rPr>
          <w:rFonts w:eastAsia="Times New Roman" w:cs="Times New Roman"/>
          <w:b/>
          <w:szCs w:val="24"/>
          <w:lang w:eastAsia="en-GB"/>
        </w:rPr>
        <w:t>Ссылки</w:t>
      </w:r>
      <w:r w:rsidRPr="00D834AB">
        <w:rPr>
          <w:rFonts w:eastAsia="Times New Roman" w:cs="Times New Roman"/>
          <w:b/>
          <w:szCs w:val="24"/>
          <w:lang w:eastAsia="en-GB"/>
        </w:rPr>
        <w:t xml:space="preserve"> </w:t>
      </w:r>
      <w:r>
        <w:rPr>
          <w:rFonts w:eastAsia="Times New Roman" w:cs="Times New Roman"/>
          <w:b/>
          <w:szCs w:val="24"/>
          <w:lang w:eastAsia="en-GB"/>
        </w:rPr>
        <w:t>и</w:t>
      </w:r>
      <w:r w:rsidRPr="00D834AB">
        <w:rPr>
          <w:rFonts w:eastAsia="Times New Roman" w:cs="Times New Roman"/>
          <w:b/>
          <w:szCs w:val="24"/>
          <w:lang w:eastAsia="en-GB"/>
        </w:rPr>
        <w:t xml:space="preserve"> </w:t>
      </w:r>
      <w:r>
        <w:rPr>
          <w:rFonts w:eastAsia="Times New Roman" w:cs="Times New Roman"/>
          <w:b/>
          <w:szCs w:val="24"/>
          <w:lang w:eastAsia="en-GB"/>
        </w:rPr>
        <w:t>документы</w:t>
      </w:r>
    </w:p>
    <w:p w:rsidR="00FB7D84" w:rsidRPr="001C07E2" w:rsidRDefault="00FB7D84" w:rsidP="00FB7D84">
      <w:pPr>
        <w:shd w:val="clear" w:color="auto" w:fill="FFFFFF"/>
        <w:rPr>
          <w:rFonts w:eastAsia="Times New Roman" w:cs="Times New Roman"/>
          <w:szCs w:val="24"/>
          <w:lang w:eastAsia="en-GB"/>
        </w:rPr>
      </w:pPr>
      <w:r w:rsidRPr="008848EE">
        <w:rPr>
          <w:rFonts w:eastAsia="Times New Roman" w:cs="Times New Roman"/>
          <w:szCs w:val="24"/>
          <w:lang w:eastAsia="en-GB"/>
        </w:rPr>
        <w:t xml:space="preserve">УНП ООН-ПРООН-УВКПЧ. 2022. </w:t>
      </w:r>
      <w:r w:rsidR="00DD200E">
        <w:rPr>
          <w:rFonts w:eastAsia="Times New Roman" w:cs="Times New Roman"/>
          <w:szCs w:val="24"/>
          <w:lang w:eastAsia="en-GB"/>
        </w:rPr>
        <w:t>Вопросник</w:t>
      </w:r>
      <w:r w:rsidRPr="008848EE">
        <w:rPr>
          <w:rFonts w:eastAsia="Times New Roman" w:cs="Times New Roman"/>
          <w:szCs w:val="24"/>
          <w:lang w:eastAsia="en-GB"/>
        </w:rPr>
        <w:t xml:space="preserve"> по ЦУР 16 и руководство по реализации. Доступно по адресу</w:t>
      </w:r>
      <w:r w:rsidRPr="001C07E2">
        <w:rPr>
          <w:rFonts w:eastAsia="Times New Roman" w:cs="Times New Roman"/>
          <w:szCs w:val="24"/>
          <w:lang w:eastAsia="en-GB"/>
        </w:rPr>
        <w:t>:</w:t>
      </w:r>
    </w:p>
    <w:p w:rsidR="00FB7D84" w:rsidRPr="0078423F" w:rsidRDefault="00A85E75" w:rsidP="00FB7D84">
      <w:pPr>
        <w:shd w:val="clear" w:color="auto" w:fill="FFFFFF"/>
        <w:rPr>
          <w:rFonts w:eastAsia="Times New Roman" w:cs="Times New Roman"/>
          <w:szCs w:val="24"/>
          <w:lang w:val="en-US" w:eastAsia="en-GB"/>
        </w:rPr>
      </w:pPr>
      <w:hyperlink r:id="rId18" w:history="1">
        <w:r w:rsidR="0078423F" w:rsidRPr="00EC46FB">
          <w:rPr>
            <w:rStyle w:val="ac"/>
            <w:rFonts w:eastAsia="Times New Roman" w:cs="Times New Roman"/>
            <w:szCs w:val="24"/>
            <w:lang w:val="en-US" w:eastAsia="en-GB"/>
          </w:rPr>
          <w:t>https</w:t>
        </w:r>
        <w:r w:rsidR="0078423F" w:rsidRPr="00EC46FB">
          <w:rPr>
            <w:rStyle w:val="ac"/>
            <w:rFonts w:eastAsia="Times New Roman" w:cs="Times New Roman"/>
            <w:szCs w:val="24"/>
            <w:lang w:eastAsia="en-GB"/>
          </w:rPr>
          <w:t>://</w:t>
        </w:r>
        <w:r w:rsidR="0078423F" w:rsidRPr="00EC46FB">
          <w:rPr>
            <w:rStyle w:val="ac"/>
            <w:rFonts w:eastAsia="Times New Roman" w:cs="Times New Roman"/>
            <w:szCs w:val="24"/>
            <w:lang w:val="en-US" w:eastAsia="en-GB"/>
          </w:rPr>
          <w:t>www</w:t>
        </w:r>
        <w:r w:rsidR="0078423F" w:rsidRPr="00EC46FB">
          <w:rPr>
            <w:rStyle w:val="ac"/>
            <w:rFonts w:eastAsia="Times New Roman" w:cs="Times New Roman"/>
            <w:szCs w:val="24"/>
            <w:lang w:eastAsia="en-GB"/>
          </w:rPr>
          <w:t>.</w:t>
        </w:r>
        <w:proofErr w:type="spellStart"/>
        <w:r w:rsidR="0078423F" w:rsidRPr="00EC46FB">
          <w:rPr>
            <w:rStyle w:val="ac"/>
            <w:rFonts w:eastAsia="Times New Roman" w:cs="Times New Roman"/>
            <w:szCs w:val="24"/>
            <w:lang w:val="en-US" w:eastAsia="en-GB"/>
          </w:rPr>
          <w:t>sdg</w:t>
        </w:r>
        <w:proofErr w:type="spellEnd"/>
        <w:r w:rsidR="0078423F" w:rsidRPr="00EC46FB">
          <w:rPr>
            <w:rStyle w:val="ac"/>
            <w:rFonts w:eastAsia="Times New Roman" w:cs="Times New Roman"/>
            <w:szCs w:val="24"/>
            <w:lang w:eastAsia="en-GB"/>
          </w:rPr>
          <w:t>16</w:t>
        </w:r>
        <w:r w:rsidR="0078423F" w:rsidRPr="00EC46FB">
          <w:rPr>
            <w:rStyle w:val="ac"/>
            <w:rFonts w:eastAsia="Times New Roman" w:cs="Times New Roman"/>
            <w:szCs w:val="24"/>
            <w:lang w:val="en-US" w:eastAsia="en-GB"/>
          </w:rPr>
          <w:t>hub</w:t>
        </w:r>
        <w:r w:rsidR="0078423F" w:rsidRPr="00EC46FB">
          <w:rPr>
            <w:rStyle w:val="ac"/>
            <w:rFonts w:eastAsia="Times New Roman" w:cs="Times New Roman"/>
            <w:szCs w:val="24"/>
            <w:lang w:eastAsia="en-GB"/>
          </w:rPr>
          <w:t>.</w:t>
        </w:r>
        <w:r w:rsidR="0078423F" w:rsidRPr="00EC46FB">
          <w:rPr>
            <w:rStyle w:val="ac"/>
            <w:rFonts w:eastAsia="Times New Roman" w:cs="Times New Roman"/>
            <w:szCs w:val="24"/>
            <w:lang w:val="en-US" w:eastAsia="en-GB"/>
          </w:rPr>
          <w:t>org</w:t>
        </w:r>
        <w:r w:rsidR="0078423F" w:rsidRPr="00EC46FB">
          <w:rPr>
            <w:rStyle w:val="ac"/>
            <w:rFonts w:eastAsia="Times New Roman" w:cs="Times New Roman"/>
            <w:szCs w:val="24"/>
            <w:lang w:eastAsia="en-GB"/>
          </w:rPr>
          <w:t>/</w:t>
        </w:r>
        <w:r w:rsidR="0078423F" w:rsidRPr="00EC46FB">
          <w:rPr>
            <w:rStyle w:val="ac"/>
            <w:rFonts w:eastAsia="Times New Roman" w:cs="Times New Roman"/>
            <w:szCs w:val="24"/>
            <w:lang w:val="en-US" w:eastAsia="en-GB"/>
          </w:rPr>
          <w:t>topic</w:t>
        </w:r>
        <w:r w:rsidR="0078423F" w:rsidRPr="00EC46FB">
          <w:rPr>
            <w:rStyle w:val="ac"/>
            <w:rFonts w:eastAsia="Times New Roman" w:cs="Times New Roman"/>
            <w:szCs w:val="24"/>
            <w:lang w:eastAsia="en-GB"/>
          </w:rPr>
          <w:t>/</w:t>
        </w:r>
        <w:proofErr w:type="spellStart"/>
        <w:r w:rsidR="0078423F" w:rsidRPr="00EC46FB">
          <w:rPr>
            <w:rStyle w:val="ac"/>
            <w:rFonts w:eastAsia="Times New Roman" w:cs="Times New Roman"/>
            <w:szCs w:val="24"/>
            <w:lang w:val="en-US" w:eastAsia="en-GB"/>
          </w:rPr>
          <w:t>sdg</w:t>
        </w:r>
        <w:proofErr w:type="spellEnd"/>
        <w:r w:rsidR="0078423F" w:rsidRPr="00EC46FB">
          <w:rPr>
            <w:rStyle w:val="ac"/>
            <w:rFonts w:eastAsia="Times New Roman" w:cs="Times New Roman"/>
            <w:szCs w:val="24"/>
            <w:lang w:eastAsia="en-GB"/>
          </w:rPr>
          <w:t>-16-</w:t>
        </w:r>
        <w:r w:rsidR="0078423F" w:rsidRPr="00EC46FB">
          <w:rPr>
            <w:rStyle w:val="ac"/>
            <w:rFonts w:eastAsia="Times New Roman" w:cs="Times New Roman"/>
            <w:szCs w:val="24"/>
            <w:lang w:val="en-US" w:eastAsia="en-GB"/>
          </w:rPr>
          <w:t>survey</w:t>
        </w:r>
        <w:r w:rsidR="0078423F" w:rsidRPr="00EC46FB">
          <w:rPr>
            <w:rStyle w:val="ac"/>
            <w:rFonts w:eastAsia="Times New Roman" w:cs="Times New Roman"/>
            <w:szCs w:val="24"/>
            <w:lang w:eastAsia="en-GB"/>
          </w:rPr>
          <w:t>-</w:t>
        </w:r>
        <w:r w:rsidR="0078423F" w:rsidRPr="00EC46FB">
          <w:rPr>
            <w:rStyle w:val="ac"/>
            <w:rFonts w:eastAsia="Times New Roman" w:cs="Times New Roman"/>
            <w:szCs w:val="24"/>
            <w:lang w:val="en-US" w:eastAsia="en-GB"/>
          </w:rPr>
          <w:t>initiative</w:t>
        </w:r>
        <w:r w:rsidR="0078423F" w:rsidRPr="00EC46FB">
          <w:rPr>
            <w:rStyle w:val="ac"/>
            <w:rFonts w:eastAsia="Times New Roman" w:cs="Times New Roman"/>
            <w:szCs w:val="24"/>
            <w:lang w:eastAsia="en-GB"/>
          </w:rPr>
          <w:t>-</w:t>
        </w:r>
        <w:r w:rsidR="0078423F" w:rsidRPr="00EC46FB">
          <w:rPr>
            <w:rStyle w:val="ac"/>
            <w:rFonts w:eastAsia="Times New Roman" w:cs="Times New Roman"/>
            <w:szCs w:val="24"/>
            <w:lang w:val="en-US" w:eastAsia="en-GB"/>
          </w:rPr>
          <w:t>questionnaire</w:t>
        </w:r>
      </w:hyperlink>
    </w:p>
    <w:p w:rsidR="00FB7D84" w:rsidRPr="0078423F" w:rsidRDefault="00A85E75" w:rsidP="00FB7D84">
      <w:pPr>
        <w:shd w:val="clear" w:color="auto" w:fill="FFFFFF"/>
        <w:rPr>
          <w:rFonts w:eastAsia="Times New Roman" w:cs="Times New Roman"/>
          <w:szCs w:val="24"/>
          <w:lang w:val="en-US" w:eastAsia="en-GB"/>
        </w:rPr>
      </w:pPr>
      <w:hyperlink r:id="rId19" w:history="1">
        <w:r w:rsidR="0078423F" w:rsidRPr="00EC46FB">
          <w:rPr>
            <w:rStyle w:val="ac"/>
            <w:rFonts w:eastAsia="Times New Roman" w:cs="Times New Roman"/>
            <w:szCs w:val="24"/>
            <w:lang w:val="en-US" w:eastAsia="en-GB"/>
          </w:rPr>
          <w:t>https</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www</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sdg</w:t>
        </w:r>
        <w:r w:rsidR="0078423F" w:rsidRPr="0078423F">
          <w:rPr>
            <w:rStyle w:val="ac"/>
            <w:rFonts w:eastAsia="Times New Roman" w:cs="Times New Roman"/>
            <w:szCs w:val="24"/>
            <w:lang w:val="en-US" w:eastAsia="en-GB"/>
          </w:rPr>
          <w:t>16</w:t>
        </w:r>
        <w:r w:rsidR="0078423F" w:rsidRPr="00EC46FB">
          <w:rPr>
            <w:rStyle w:val="ac"/>
            <w:rFonts w:eastAsia="Times New Roman" w:cs="Times New Roman"/>
            <w:szCs w:val="24"/>
            <w:lang w:val="en-US" w:eastAsia="en-GB"/>
          </w:rPr>
          <w:t>hub</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org</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topic</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sdg</w:t>
        </w:r>
        <w:r w:rsidR="0078423F" w:rsidRPr="0078423F">
          <w:rPr>
            <w:rStyle w:val="ac"/>
            <w:rFonts w:eastAsia="Times New Roman" w:cs="Times New Roman"/>
            <w:szCs w:val="24"/>
            <w:lang w:val="en-US" w:eastAsia="en-GB"/>
          </w:rPr>
          <w:t>-16-</w:t>
        </w:r>
        <w:r w:rsidR="0078423F" w:rsidRPr="00EC46FB">
          <w:rPr>
            <w:rStyle w:val="ac"/>
            <w:rFonts w:eastAsia="Times New Roman" w:cs="Times New Roman"/>
            <w:szCs w:val="24"/>
            <w:lang w:val="en-US" w:eastAsia="en-GB"/>
          </w:rPr>
          <w:t>survey</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initiative</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implementation</w:t>
        </w:r>
        <w:r w:rsidR="0078423F" w:rsidRPr="0078423F">
          <w:rPr>
            <w:rStyle w:val="ac"/>
            <w:rFonts w:eastAsia="Times New Roman" w:cs="Times New Roman"/>
            <w:szCs w:val="24"/>
            <w:lang w:val="en-US" w:eastAsia="en-GB"/>
          </w:rPr>
          <w:t>-</w:t>
        </w:r>
        <w:r w:rsidR="0078423F" w:rsidRPr="00EC46FB">
          <w:rPr>
            <w:rStyle w:val="ac"/>
            <w:rFonts w:eastAsia="Times New Roman" w:cs="Times New Roman"/>
            <w:szCs w:val="24"/>
            <w:lang w:val="en-US" w:eastAsia="en-GB"/>
          </w:rPr>
          <w:t>manual</w:t>
        </w:r>
      </w:hyperlink>
      <w:r w:rsidR="00FB7D84" w:rsidRPr="0078423F">
        <w:rPr>
          <w:rFonts w:eastAsia="Times New Roman" w:cs="Times New Roman"/>
          <w:szCs w:val="24"/>
          <w:lang w:val="en-US" w:eastAsia="en-GB"/>
        </w:rPr>
        <w:t xml:space="preserve"> </w:t>
      </w:r>
      <w:r w:rsidR="0078423F" w:rsidRPr="0078423F">
        <w:rPr>
          <w:rFonts w:eastAsia="Times New Roman" w:cs="Times New Roman"/>
          <w:szCs w:val="24"/>
          <w:lang w:val="en-US" w:eastAsia="en-GB"/>
        </w:rPr>
        <w:t xml:space="preserve"> </w:t>
      </w:r>
    </w:p>
    <w:p w:rsidR="00FB7D84" w:rsidRPr="008848EE" w:rsidRDefault="00FB7D84" w:rsidP="00FB7D84">
      <w:pPr>
        <w:spacing w:line="240" w:lineRule="auto"/>
        <w:rPr>
          <w:rFonts w:eastAsia="Times New Roman" w:cstheme="minorHAnsi"/>
          <w:szCs w:val="24"/>
          <w:lang w:eastAsia="en-GB"/>
        </w:rPr>
      </w:pPr>
      <w:r w:rsidRPr="008848EE">
        <w:rPr>
          <w:rFonts w:eastAsia="Times New Roman" w:cstheme="minorHAnsi"/>
          <w:szCs w:val="24"/>
          <w:lang w:eastAsia="en-GB"/>
        </w:rPr>
        <w:lastRenderedPageBreak/>
        <w:t xml:space="preserve">УНП ООН. 2013. Инициатива по обследованию </w:t>
      </w:r>
      <w:proofErr w:type="spellStart"/>
      <w:r w:rsidRPr="008848EE">
        <w:rPr>
          <w:rFonts w:eastAsia="Times New Roman" w:cstheme="minorHAnsi"/>
          <w:szCs w:val="24"/>
          <w:lang w:eastAsia="en-GB"/>
        </w:rPr>
        <w:t>виктимизации</w:t>
      </w:r>
      <w:proofErr w:type="spellEnd"/>
      <w:r w:rsidRPr="008848EE">
        <w:rPr>
          <w:rFonts w:eastAsia="Times New Roman" w:cstheme="minorHAnsi"/>
          <w:szCs w:val="24"/>
          <w:lang w:eastAsia="en-GB"/>
        </w:rPr>
        <w:t xml:space="preserve"> в Латинской Америке и Карибском бассейне (</w:t>
      </w:r>
      <w:r w:rsidRPr="008848EE">
        <w:rPr>
          <w:rFonts w:eastAsia="Times New Roman" w:cstheme="minorHAnsi"/>
          <w:szCs w:val="24"/>
          <w:lang w:val="en-US" w:eastAsia="en-GB"/>
        </w:rPr>
        <w:t>LACSI</w:t>
      </w:r>
      <w:r w:rsidRPr="008848EE">
        <w:rPr>
          <w:rFonts w:eastAsia="Times New Roman" w:cstheme="minorHAnsi"/>
          <w:szCs w:val="24"/>
          <w:lang w:eastAsia="en-GB"/>
        </w:rPr>
        <w:t xml:space="preserve">). Доступно по адресу: </w:t>
      </w:r>
    </w:p>
    <w:p w:rsidR="00FB7D84" w:rsidRPr="0078423F" w:rsidRDefault="00A85E75" w:rsidP="00FB7D84">
      <w:pPr>
        <w:spacing w:line="240" w:lineRule="auto"/>
        <w:rPr>
          <w:rFonts w:eastAsia="Times New Roman" w:cstheme="minorHAnsi"/>
          <w:szCs w:val="24"/>
          <w:lang w:val="en-US" w:eastAsia="en-GB"/>
        </w:rPr>
      </w:pPr>
      <w:hyperlink r:id="rId20" w:history="1">
        <w:r w:rsidR="0078423F" w:rsidRPr="00EC46FB">
          <w:rPr>
            <w:rStyle w:val="ac"/>
            <w:rFonts w:eastAsia="Times New Roman" w:cstheme="minorHAnsi"/>
            <w:szCs w:val="24"/>
            <w:lang w:val="en-US" w:eastAsia="en-GB"/>
          </w:rPr>
          <w:t>https</w:t>
        </w:r>
        <w:r w:rsidR="0078423F" w:rsidRPr="00EC46FB">
          <w:rPr>
            <w:rStyle w:val="ac"/>
            <w:rFonts w:eastAsia="Times New Roman" w:cstheme="minorHAnsi"/>
            <w:szCs w:val="24"/>
            <w:lang w:eastAsia="en-GB"/>
          </w:rPr>
          <w:t>://</w:t>
        </w:r>
        <w:r w:rsidR="0078423F" w:rsidRPr="00EC46FB">
          <w:rPr>
            <w:rStyle w:val="ac"/>
            <w:rFonts w:eastAsia="Times New Roman" w:cstheme="minorHAnsi"/>
            <w:szCs w:val="24"/>
            <w:lang w:val="en-US" w:eastAsia="en-GB"/>
          </w:rPr>
          <w:t>www</w:t>
        </w:r>
        <w:r w:rsidR="0078423F" w:rsidRPr="00EC46FB">
          <w:rPr>
            <w:rStyle w:val="ac"/>
            <w:rFonts w:eastAsia="Times New Roman" w:cstheme="minorHAnsi"/>
            <w:szCs w:val="24"/>
            <w:lang w:eastAsia="en-GB"/>
          </w:rPr>
          <w:t>.</w:t>
        </w:r>
        <w:proofErr w:type="spellStart"/>
        <w:r w:rsidR="0078423F" w:rsidRPr="00EC46FB">
          <w:rPr>
            <w:rStyle w:val="ac"/>
            <w:rFonts w:eastAsia="Times New Roman" w:cstheme="minorHAnsi"/>
            <w:szCs w:val="24"/>
            <w:lang w:val="en-US" w:eastAsia="en-GB"/>
          </w:rPr>
          <w:t>cdeunodc</w:t>
        </w:r>
        <w:proofErr w:type="spellEnd"/>
        <w:r w:rsidR="0078423F" w:rsidRPr="00EC46FB">
          <w:rPr>
            <w:rStyle w:val="ac"/>
            <w:rFonts w:eastAsia="Times New Roman" w:cstheme="minorHAnsi"/>
            <w:szCs w:val="24"/>
            <w:lang w:eastAsia="en-GB"/>
          </w:rPr>
          <w:t>.</w:t>
        </w:r>
        <w:proofErr w:type="spellStart"/>
        <w:r w:rsidR="0078423F" w:rsidRPr="00EC46FB">
          <w:rPr>
            <w:rStyle w:val="ac"/>
            <w:rFonts w:eastAsia="Times New Roman" w:cstheme="minorHAnsi"/>
            <w:szCs w:val="24"/>
            <w:lang w:val="en-US" w:eastAsia="en-GB"/>
          </w:rPr>
          <w:t>inegi</w:t>
        </w:r>
        <w:proofErr w:type="spellEnd"/>
        <w:r w:rsidR="0078423F" w:rsidRPr="00EC46FB">
          <w:rPr>
            <w:rStyle w:val="ac"/>
            <w:rFonts w:eastAsia="Times New Roman" w:cstheme="minorHAnsi"/>
            <w:szCs w:val="24"/>
            <w:lang w:eastAsia="en-GB"/>
          </w:rPr>
          <w:t>.</w:t>
        </w:r>
        <w:r w:rsidR="0078423F" w:rsidRPr="00EC46FB">
          <w:rPr>
            <w:rStyle w:val="ac"/>
            <w:rFonts w:eastAsia="Times New Roman" w:cstheme="minorHAnsi"/>
            <w:szCs w:val="24"/>
            <w:lang w:val="en-US" w:eastAsia="en-GB"/>
          </w:rPr>
          <w:t>org</w:t>
        </w:r>
        <w:r w:rsidR="0078423F" w:rsidRPr="00EC46FB">
          <w:rPr>
            <w:rStyle w:val="ac"/>
            <w:rFonts w:eastAsia="Times New Roman" w:cstheme="minorHAnsi"/>
            <w:szCs w:val="24"/>
            <w:lang w:eastAsia="en-GB"/>
          </w:rPr>
          <w:t>.</w:t>
        </w:r>
        <w:r w:rsidR="0078423F" w:rsidRPr="00EC46FB">
          <w:rPr>
            <w:rStyle w:val="ac"/>
            <w:rFonts w:eastAsia="Times New Roman" w:cstheme="minorHAnsi"/>
            <w:szCs w:val="24"/>
            <w:lang w:val="en-US" w:eastAsia="en-GB"/>
          </w:rPr>
          <w:t>mx</w:t>
        </w:r>
        <w:r w:rsidR="0078423F" w:rsidRPr="00EC46FB">
          <w:rPr>
            <w:rStyle w:val="ac"/>
            <w:rFonts w:eastAsia="Times New Roman" w:cstheme="minorHAnsi"/>
            <w:szCs w:val="24"/>
            <w:lang w:eastAsia="en-GB"/>
          </w:rPr>
          <w:t>/</w:t>
        </w:r>
        <w:r w:rsidR="0078423F" w:rsidRPr="00EC46FB">
          <w:rPr>
            <w:rStyle w:val="ac"/>
            <w:rFonts w:eastAsia="Times New Roman" w:cstheme="minorHAnsi"/>
            <w:szCs w:val="24"/>
            <w:lang w:val="en-US" w:eastAsia="en-GB"/>
          </w:rPr>
          <w:t>index</w:t>
        </w:r>
        <w:r w:rsidR="0078423F" w:rsidRPr="00EC46FB">
          <w:rPr>
            <w:rStyle w:val="ac"/>
            <w:rFonts w:eastAsia="Times New Roman" w:cstheme="minorHAnsi"/>
            <w:szCs w:val="24"/>
            <w:lang w:eastAsia="en-GB"/>
          </w:rPr>
          <w:t>.</w:t>
        </w:r>
        <w:proofErr w:type="spellStart"/>
        <w:r w:rsidR="0078423F" w:rsidRPr="00EC46FB">
          <w:rPr>
            <w:rStyle w:val="ac"/>
            <w:rFonts w:eastAsia="Times New Roman" w:cstheme="minorHAnsi"/>
            <w:szCs w:val="24"/>
            <w:lang w:val="en-US" w:eastAsia="en-GB"/>
          </w:rPr>
          <w:t>php</w:t>
        </w:r>
        <w:proofErr w:type="spellEnd"/>
        <w:r w:rsidR="0078423F" w:rsidRPr="00EC46FB">
          <w:rPr>
            <w:rStyle w:val="ac"/>
            <w:rFonts w:eastAsia="Times New Roman" w:cstheme="minorHAnsi"/>
            <w:szCs w:val="24"/>
            <w:lang w:eastAsia="en-GB"/>
          </w:rPr>
          <w:t>/</w:t>
        </w:r>
        <w:proofErr w:type="spellStart"/>
        <w:r w:rsidR="0078423F" w:rsidRPr="00EC46FB">
          <w:rPr>
            <w:rStyle w:val="ac"/>
            <w:rFonts w:eastAsia="Times New Roman" w:cstheme="minorHAnsi"/>
            <w:szCs w:val="24"/>
            <w:lang w:val="en-US" w:eastAsia="en-GB"/>
          </w:rPr>
          <w:t>lacsi</w:t>
        </w:r>
        <w:proofErr w:type="spellEnd"/>
        <w:r w:rsidR="0078423F" w:rsidRPr="00EC46FB">
          <w:rPr>
            <w:rStyle w:val="ac"/>
            <w:rFonts w:eastAsia="Times New Roman" w:cstheme="minorHAnsi"/>
            <w:szCs w:val="24"/>
            <w:lang w:eastAsia="en-GB"/>
          </w:rPr>
          <w:t>-</w:t>
        </w:r>
        <w:r w:rsidR="0078423F" w:rsidRPr="00EC46FB">
          <w:rPr>
            <w:rStyle w:val="ac"/>
            <w:rFonts w:eastAsia="Times New Roman" w:cstheme="minorHAnsi"/>
            <w:szCs w:val="24"/>
            <w:lang w:val="en-US" w:eastAsia="en-GB"/>
          </w:rPr>
          <w:t>initiative</w:t>
        </w:r>
        <w:r w:rsidR="0078423F" w:rsidRPr="00EC46FB">
          <w:rPr>
            <w:rStyle w:val="ac"/>
            <w:rFonts w:eastAsia="Times New Roman" w:cstheme="minorHAnsi"/>
            <w:szCs w:val="24"/>
            <w:lang w:eastAsia="en-GB"/>
          </w:rPr>
          <w:t>/</w:t>
        </w:r>
      </w:hyperlink>
    </w:p>
    <w:p w:rsidR="00FB7D84" w:rsidRPr="0078423F" w:rsidRDefault="00A85E75" w:rsidP="00FB7D84">
      <w:pPr>
        <w:spacing w:line="240" w:lineRule="auto"/>
        <w:rPr>
          <w:rFonts w:eastAsia="Times New Roman" w:cstheme="minorHAnsi"/>
          <w:szCs w:val="24"/>
          <w:lang w:val="en-US" w:eastAsia="en-GB"/>
        </w:rPr>
      </w:pPr>
      <w:hyperlink r:id="rId21" w:history="1">
        <w:r w:rsidR="0078423F" w:rsidRPr="00EC46FB">
          <w:rPr>
            <w:rStyle w:val="ac"/>
            <w:rFonts w:eastAsia="Times New Roman" w:cstheme="minorHAnsi"/>
            <w:szCs w:val="24"/>
            <w:lang w:val="en-US" w:eastAsia="en-GB"/>
          </w:rPr>
          <w:t>https://www.cdeunodc.inegi.org.mx/index.php/questionnaire/</w:t>
        </w:r>
      </w:hyperlink>
    </w:p>
    <w:p w:rsidR="00FB7D84" w:rsidRPr="008848EE" w:rsidRDefault="00FB7D84" w:rsidP="00FB7D84">
      <w:pPr>
        <w:shd w:val="clear" w:color="auto" w:fill="FFFFFF"/>
        <w:rPr>
          <w:rFonts w:eastAsia="Times New Roman" w:cs="Times New Roman"/>
          <w:b/>
          <w:bCs/>
          <w:szCs w:val="24"/>
          <w:lang w:eastAsia="en-GB"/>
        </w:rPr>
      </w:pPr>
      <w:r w:rsidRPr="008848EE">
        <w:rPr>
          <w:rFonts w:eastAsia="Times New Roman" w:cstheme="minorHAnsi"/>
          <w:szCs w:val="24"/>
          <w:lang w:eastAsia="en-GB"/>
        </w:rPr>
        <w:t xml:space="preserve">УНП ООН-ЕЭК ООН, Руководство по обследованиям </w:t>
      </w:r>
      <w:proofErr w:type="spellStart"/>
      <w:r w:rsidRPr="008848EE">
        <w:rPr>
          <w:rFonts w:eastAsia="Times New Roman" w:cstheme="minorHAnsi"/>
          <w:szCs w:val="24"/>
          <w:lang w:eastAsia="en-GB"/>
        </w:rPr>
        <w:t>виктимизации</w:t>
      </w:r>
      <w:proofErr w:type="spellEnd"/>
      <w:r w:rsidRPr="008848EE">
        <w:rPr>
          <w:rFonts w:eastAsia="Times New Roman" w:cstheme="minorHAnsi"/>
          <w:szCs w:val="24"/>
          <w:lang w:eastAsia="en-GB"/>
        </w:rPr>
        <w:t xml:space="preserve"> (2010). Доступно по адресу: </w:t>
      </w:r>
      <w:hyperlink r:id="rId22" w:history="1">
        <w:r w:rsidR="0078423F" w:rsidRPr="0078423F">
          <w:rPr>
            <w:rStyle w:val="ac"/>
          </w:rPr>
          <w:t>https://fra.europa.eu/en/publication/2014/violence-against-women-eu-wide-survey-main-results-report</w:t>
        </w:r>
      </w:hyperlink>
    </w:p>
    <w:p w:rsidR="0078423F" w:rsidRPr="0078423F" w:rsidRDefault="00FB7D84" w:rsidP="00FB7D84">
      <w:pPr>
        <w:rPr>
          <w:rFonts w:eastAsia="Times New Roman" w:cstheme="minorHAnsi"/>
          <w:szCs w:val="24"/>
          <w:u w:val="single"/>
          <w:lang w:eastAsia="en-GB"/>
        </w:rPr>
      </w:pPr>
      <w:r w:rsidRPr="008848EE">
        <w:rPr>
          <w:rFonts w:eastAsia="Times New Roman" w:cstheme="minorHAnsi"/>
          <w:szCs w:val="24"/>
          <w:lang w:eastAsia="en-GB"/>
        </w:rPr>
        <w:t>Агентство ЕС по основным правам, Насилие в отношении женщин: общеевропейское исследование. Отчет об основных результатах (2014). Доступно по адресу</w:t>
      </w:r>
      <w:r w:rsidRPr="008848EE">
        <w:rPr>
          <w:rStyle w:val="normaltextrun"/>
          <w:rFonts w:cstheme="minorHAnsi"/>
          <w:szCs w:val="24"/>
          <w:shd w:val="clear" w:color="auto" w:fill="FFFFFF"/>
        </w:rPr>
        <w:t xml:space="preserve">: </w:t>
      </w:r>
      <w:hyperlink r:id="rId23" w:history="1">
        <w:r w:rsidR="0078423F" w:rsidRPr="0078423F">
          <w:rPr>
            <w:rStyle w:val="ac"/>
            <w:rFonts w:eastAsia="Times New Roman" w:cstheme="minorHAnsi"/>
            <w:szCs w:val="24"/>
            <w:lang w:eastAsia="en-GB"/>
          </w:rPr>
          <w:t>https://fra.europa.eu/en/publication/2014/violence-against-women-eu-wide-survey-main-results-report</w:t>
        </w:r>
      </w:hyperlink>
    </w:p>
    <w:p w:rsidR="00FB7D84" w:rsidRPr="008848EE" w:rsidRDefault="00FB7D84" w:rsidP="00FB7D84">
      <w:pPr>
        <w:shd w:val="clear" w:color="auto" w:fill="FFFFFF"/>
        <w:spacing w:after="0"/>
        <w:rPr>
          <w:szCs w:val="24"/>
        </w:rPr>
      </w:pPr>
      <w:r w:rsidRPr="008848EE">
        <w:rPr>
          <w:rFonts w:eastAsia="Times New Roman" w:cstheme="minorHAnsi"/>
          <w:szCs w:val="24"/>
          <w:lang w:eastAsia="en-GB"/>
        </w:rPr>
        <w:t>Евростат, Методологическое руководство для обследования ЕС по гендерному насилию в отношении женщин и другим формам межличностного насилия (</w:t>
      </w:r>
      <w:r w:rsidRPr="008848EE">
        <w:rPr>
          <w:rFonts w:eastAsia="Times New Roman" w:cstheme="minorHAnsi"/>
          <w:szCs w:val="24"/>
          <w:lang w:val="en-US" w:eastAsia="en-GB"/>
        </w:rPr>
        <w:t>EU</w:t>
      </w:r>
      <w:r w:rsidRPr="008848EE">
        <w:rPr>
          <w:rFonts w:eastAsia="Times New Roman" w:cstheme="minorHAnsi"/>
          <w:szCs w:val="24"/>
          <w:lang w:eastAsia="en-GB"/>
        </w:rPr>
        <w:t>-</w:t>
      </w:r>
      <w:r w:rsidRPr="008848EE">
        <w:rPr>
          <w:rFonts w:eastAsia="Times New Roman" w:cstheme="minorHAnsi"/>
          <w:szCs w:val="24"/>
          <w:lang w:val="en-US" w:eastAsia="en-GB"/>
        </w:rPr>
        <w:t>GNV</w:t>
      </w:r>
      <w:r w:rsidRPr="008848EE">
        <w:rPr>
          <w:rFonts w:eastAsia="Times New Roman" w:cstheme="minorHAnsi"/>
          <w:szCs w:val="24"/>
          <w:lang w:eastAsia="en-GB"/>
        </w:rPr>
        <w:t>), издание 2021 года. Доступно по адресу</w:t>
      </w:r>
      <w:r w:rsidRPr="008848EE">
        <w:rPr>
          <w:szCs w:val="24"/>
        </w:rPr>
        <w:t xml:space="preserve">: </w:t>
      </w:r>
      <w:hyperlink r:id="rId24" w:history="1">
        <w:r w:rsidR="0078423F" w:rsidRPr="00EC46FB">
          <w:rPr>
            <w:rStyle w:val="ac"/>
            <w:szCs w:val="24"/>
            <w:lang w:val="en-US"/>
          </w:rPr>
          <w:t>https</w:t>
        </w:r>
        <w:r w:rsidR="0078423F" w:rsidRPr="00EC46FB">
          <w:rPr>
            <w:rStyle w:val="ac"/>
            <w:szCs w:val="24"/>
          </w:rPr>
          <w:t>://</w:t>
        </w:r>
        <w:proofErr w:type="spellStart"/>
        <w:r w:rsidR="0078423F" w:rsidRPr="00EC46FB">
          <w:rPr>
            <w:rStyle w:val="ac"/>
            <w:szCs w:val="24"/>
            <w:lang w:val="en-US"/>
          </w:rPr>
          <w:t>ec</w:t>
        </w:r>
        <w:proofErr w:type="spellEnd"/>
        <w:r w:rsidR="0078423F" w:rsidRPr="00EC46FB">
          <w:rPr>
            <w:rStyle w:val="ac"/>
            <w:szCs w:val="24"/>
          </w:rPr>
          <w:t>.</w:t>
        </w:r>
        <w:proofErr w:type="spellStart"/>
        <w:r w:rsidR="0078423F" w:rsidRPr="00EC46FB">
          <w:rPr>
            <w:rStyle w:val="ac"/>
            <w:szCs w:val="24"/>
            <w:lang w:val="en-US"/>
          </w:rPr>
          <w:t>europa</w:t>
        </w:r>
        <w:proofErr w:type="spellEnd"/>
        <w:r w:rsidR="0078423F" w:rsidRPr="00EC46FB">
          <w:rPr>
            <w:rStyle w:val="ac"/>
            <w:szCs w:val="24"/>
          </w:rPr>
          <w:t>.</w:t>
        </w:r>
        <w:proofErr w:type="spellStart"/>
        <w:r w:rsidR="0078423F" w:rsidRPr="00EC46FB">
          <w:rPr>
            <w:rStyle w:val="ac"/>
            <w:szCs w:val="24"/>
            <w:lang w:val="en-US"/>
          </w:rPr>
          <w:t>eu</w:t>
        </w:r>
        <w:proofErr w:type="spellEnd"/>
        <w:r w:rsidR="0078423F" w:rsidRPr="00EC46FB">
          <w:rPr>
            <w:rStyle w:val="ac"/>
            <w:szCs w:val="24"/>
          </w:rPr>
          <w:t>/</w:t>
        </w:r>
        <w:proofErr w:type="spellStart"/>
        <w:r w:rsidR="0078423F" w:rsidRPr="00EC46FB">
          <w:rPr>
            <w:rStyle w:val="ac"/>
            <w:szCs w:val="24"/>
            <w:lang w:val="en-US"/>
          </w:rPr>
          <w:t>eurostat</w:t>
        </w:r>
        <w:proofErr w:type="spellEnd"/>
        <w:r w:rsidR="0078423F" w:rsidRPr="00EC46FB">
          <w:rPr>
            <w:rStyle w:val="ac"/>
            <w:szCs w:val="24"/>
          </w:rPr>
          <w:t>/</w:t>
        </w:r>
        <w:r w:rsidR="0078423F" w:rsidRPr="00EC46FB">
          <w:rPr>
            <w:rStyle w:val="ac"/>
            <w:szCs w:val="24"/>
            <w:lang w:val="en-US"/>
          </w:rPr>
          <w:t>documents</w:t>
        </w:r>
        <w:r w:rsidR="0078423F" w:rsidRPr="00EC46FB">
          <w:rPr>
            <w:rStyle w:val="ac"/>
            <w:szCs w:val="24"/>
          </w:rPr>
          <w:t>/3859598/13484289/</w:t>
        </w:r>
        <w:r w:rsidR="0078423F" w:rsidRPr="00EC46FB">
          <w:rPr>
            <w:rStyle w:val="ac"/>
            <w:szCs w:val="24"/>
            <w:lang w:val="en-US"/>
          </w:rPr>
          <w:t>KS</w:t>
        </w:r>
        <w:r w:rsidR="0078423F" w:rsidRPr="00EC46FB">
          <w:rPr>
            <w:rStyle w:val="ac"/>
            <w:szCs w:val="24"/>
          </w:rPr>
          <w:t>-</w:t>
        </w:r>
        <w:r w:rsidR="0078423F" w:rsidRPr="00EC46FB">
          <w:rPr>
            <w:rStyle w:val="ac"/>
            <w:szCs w:val="24"/>
            <w:lang w:val="en-US"/>
          </w:rPr>
          <w:t>GQ</w:t>
        </w:r>
        <w:r w:rsidR="0078423F" w:rsidRPr="00EC46FB">
          <w:rPr>
            <w:rStyle w:val="ac"/>
            <w:szCs w:val="24"/>
          </w:rPr>
          <w:t>-21-009-</w:t>
        </w:r>
        <w:r w:rsidR="0078423F" w:rsidRPr="00EC46FB">
          <w:rPr>
            <w:rStyle w:val="ac"/>
            <w:szCs w:val="24"/>
            <w:lang w:val="en-US"/>
          </w:rPr>
          <w:t>EN</w:t>
        </w:r>
        <w:r w:rsidR="0078423F" w:rsidRPr="00EC46FB">
          <w:rPr>
            <w:rStyle w:val="ac"/>
            <w:szCs w:val="24"/>
          </w:rPr>
          <w:t>-</w:t>
        </w:r>
        <w:r w:rsidR="0078423F" w:rsidRPr="00EC46FB">
          <w:rPr>
            <w:rStyle w:val="ac"/>
            <w:szCs w:val="24"/>
            <w:lang w:val="en-US"/>
          </w:rPr>
          <w:t>N</w:t>
        </w:r>
        <w:r w:rsidR="0078423F" w:rsidRPr="00EC46FB">
          <w:rPr>
            <w:rStyle w:val="ac"/>
            <w:szCs w:val="24"/>
          </w:rPr>
          <w:t>.</w:t>
        </w:r>
        <w:r w:rsidR="0078423F" w:rsidRPr="00EC46FB">
          <w:rPr>
            <w:rStyle w:val="ac"/>
            <w:szCs w:val="24"/>
            <w:lang w:val="en-US"/>
          </w:rPr>
          <w:t>pdf</w:t>
        </w:r>
        <w:r w:rsidR="0078423F" w:rsidRPr="00EC46FB">
          <w:rPr>
            <w:rStyle w:val="ac"/>
            <w:szCs w:val="24"/>
          </w:rPr>
          <w:t>/1478786</w:t>
        </w:r>
        <w:r w:rsidR="0078423F" w:rsidRPr="00EC46FB">
          <w:rPr>
            <w:rStyle w:val="ac"/>
            <w:szCs w:val="24"/>
            <w:lang w:val="en-US"/>
          </w:rPr>
          <w:t>c</w:t>
        </w:r>
        <w:r w:rsidR="0078423F" w:rsidRPr="00EC46FB">
          <w:rPr>
            <w:rStyle w:val="ac"/>
            <w:szCs w:val="24"/>
          </w:rPr>
          <w:t>-5</w:t>
        </w:r>
        <w:r w:rsidR="0078423F" w:rsidRPr="00EC46FB">
          <w:rPr>
            <w:rStyle w:val="ac"/>
            <w:szCs w:val="24"/>
            <w:lang w:val="en-US"/>
          </w:rPr>
          <w:t>fb</w:t>
        </w:r>
        <w:r w:rsidR="0078423F" w:rsidRPr="00EC46FB">
          <w:rPr>
            <w:rStyle w:val="ac"/>
            <w:szCs w:val="24"/>
          </w:rPr>
          <w:t>3-</w:t>
        </w:r>
        <w:proofErr w:type="spellStart"/>
        <w:r w:rsidR="0078423F" w:rsidRPr="00EC46FB">
          <w:rPr>
            <w:rStyle w:val="ac"/>
            <w:szCs w:val="24"/>
            <w:lang w:val="en-US"/>
          </w:rPr>
          <w:t>fe</w:t>
        </w:r>
        <w:proofErr w:type="spellEnd"/>
        <w:r w:rsidR="0078423F" w:rsidRPr="00EC46FB">
          <w:rPr>
            <w:rStyle w:val="ac"/>
            <w:szCs w:val="24"/>
          </w:rPr>
          <w:t>31-</w:t>
        </w:r>
        <w:r w:rsidR="0078423F" w:rsidRPr="00EC46FB">
          <w:rPr>
            <w:rStyle w:val="ac"/>
            <w:szCs w:val="24"/>
            <w:lang w:val="en-US"/>
          </w:rPr>
          <w:t>d</w:t>
        </w:r>
        <w:r w:rsidR="0078423F" w:rsidRPr="00EC46FB">
          <w:rPr>
            <w:rStyle w:val="ac"/>
            <w:szCs w:val="24"/>
          </w:rPr>
          <w:t>759-7</w:t>
        </w:r>
        <w:proofErr w:type="spellStart"/>
        <w:r w:rsidR="0078423F" w:rsidRPr="00EC46FB">
          <w:rPr>
            <w:rStyle w:val="ac"/>
            <w:szCs w:val="24"/>
            <w:lang w:val="en-US"/>
          </w:rPr>
          <w:t>bbe</w:t>
        </w:r>
        <w:proofErr w:type="spellEnd"/>
        <w:r w:rsidR="0078423F" w:rsidRPr="00EC46FB">
          <w:rPr>
            <w:rStyle w:val="ac"/>
            <w:szCs w:val="24"/>
          </w:rPr>
          <w:t>0</w:t>
        </w:r>
        <w:r w:rsidR="0078423F" w:rsidRPr="00EC46FB">
          <w:rPr>
            <w:rStyle w:val="ac"/>
            <w:szCs w:val="24"/>
            <w:lang w:val="en-US"/>
          </w:rPr>
          <w:t>e</w:t>
        </w:r>
        <w:r w:rsidR="0078423F" w:rsidRPr="00EC46FB">
          <w:rPr>
            <w:rStyle w:val="ac"/>
            <w:szCs w:val="24"/>
          </w:rPr>
          <w:t>9066</w:t>
        </w:r>
        <w:r w:rsidR="0078423F" w:rsidRPr="00EC46FB">
          <w:rPr>
            <w:rStyle w:val="ac"/>
            <w:szCs w:val="24"/>
            <w:lang w:val="en-US"/>
          </w:rPr>
          <w:t>ad</w:t>
        </w:r>
        <w:r w:rsidR="0078423F" w:rsidRPr="00EC46FB">
          <w:rPr>
            <w:rStyle w:val="ac"/>
            <w:szCs w:val="24"/>
          </w:rPr>
          <w:t>?</w:t>
        </w:r>
        <w:r w:rsidR="0078423F" w:rsidRPr="00EC46FB">
          <w:rPr>
            <w:rStyle w:val="ac"/>
            <w:szCs w:val="24"/>
            <w:lang w:val="en-US"/>
          </w:rPr>
          <w:t>t</w:t>
        </w:r>
        <w:r w:rsidR="0078423F" w:rsidRPr="00EC46FB">
          <w:rPr>
            <w:rStyle w:val="ac"/>
            <w:szCs w:val="24"/>
          </w:rPr>
          <w:t>=1633004533458</w:t>
        </w:r>
      </w:hyperlink>
    </w:p>
    <w:p w:rsidR="00D834AB" w:rsidRPr="008848EE" w:rsidRDefault="00D834AB" w:rsidP="00FB7D84">
      <w:pPr>
        <w:rPr>
          <w:szCs w:val="24"/>
          <w:lang w:eastAsia="en-GB"/>
        </w:rPr>
      </w:pPr>
    </w:p>
    <w:sectPr w:rsidR="00D834AB" w:rsidRPr="008848EE">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50" w:rsidRDefault="00BA2C50" w:rsidP="00F73DBC">
      <w:pPr>
        <w:spacing w:after="0" w:line="240" w:lineRule="auto"/>
      </w:pPr>
      <w:r>
        <w:separator/>
      </w:r>
    </w:p>
  </w:endnote>
  <w:endnote w:type="continuationSeparator" w:id="0">
    <w:p w:rsidR="00BA2C50" w:rsidRDefault="00BA2C5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75" w:rsidRDefault="00A85E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75" w:rsidRDefault="00A85E7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75" w:rsidRDefault="00A85E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50" w:rsidRDefault="00BA2C50" w:rsidP="00F73DBC">
      <w:pPr>
        <w:spacing w:after="0" w:line="240" w:lineRule="auto"/>
      </w:pPr>
      <w:r>
        <w:separator/>
      </w:r>
    </w:p>
  </w:footnote>
  <w:footnote w:type="continuationSeparator" w:id="0">
    <w:p w:rsidR="00BA2C50" w:rsidRDefault="00BA2C50" w:rsidP="00F73DBC">
      <w:pPr>
        <w:spacing w:after="0" w:line="240" w:lineRule="auto"/>
      </w:pPr>
      <w:r>
        <w:continuationSeparator/>
      </w:r>
    </w:p>
  </w:footnote>
  <w:footnote w:id="1">
    <w:p w:rsidR="00BA2C50" w:rsidRPr="002B7F6F" w:rsidRDefault="00BA2C50" w:rsidP="00BA2C50">
      <w:pPr>
        <w:pStyle w:val="a4"/>
      </w:pPr>
      <w:r>
        <w:rPr>
          <w:rStyle w:val="a6"/>
        </w:rPr>
        <w:footnoteRef/>
      </w:r>
      <w:r w:rsidRPr="002B7F6F">
        <w:t xml:space="preserve"> </w:t>
      </w:r>
      <w:r>
        <w:t>См</w:t>
      </w:r>
      <w:r w:rsidRPr="002B7F6F">
        <w:t xml:space="preserve">. </w:t>
      </w:r>
      <w:r>
        <w:t>МКПС</w:t>
      </w:r>
      <w:r w:rsidRPr="002B7F6F">
        <w:t xml:space="preserve"> 02011 </w:t>
      </w:r>
      <w:r>
        <w:t>Нападение</w:t>
      </w:r>
      <w:r w:rsidRPr="002B7F6F">
        <w:t>.</w:t>
      </w:r>
    </w:p>
  </w:footnote>
  <w:footnote w:id="2">
    <w:p w:rsidR="00BA2C50" w:rsidRPr="00DB2AE5" w:rsidRDefault="00BA2C50" w:rsidP="00BA2C50">
      <w:pPr>
        <w:pStyle w:val="a4"/>
      </w:pPr>
      <w:r>
        <w:rPr>
          <w:rStyle w:val="a6"/>
        </w:rPr>
        <w:footnoteRef/>
      </w:r>
      <w:r w:rsidRPr="00DB2AE5">
        <w:t xml:space="preserve"> Согласно </w:t>
      </w:r>
      <w:r>
        <w:t>МКПС</w:t>
      </w:r>
      <w:r w:rsidRPr="00DB2AE5">
        <w:t>, «угроза» относится к любому типу угрожающего поведения, если предполагается, что угроза может быть реализована.</w:t>
      </w:r>
    </w:p>
  </w:footnote>
  <w:footnote w:id="3">
    <w:p w:rsidR="00BA2C50" w:rsidRPr="00043E77" w:rsidRDefault="00BA2C50" w:rsidP="00BA2C50">
      <w:pPr>
        <w:pStyle w:val="a4"/>
      </w:pPr>
      <w:r>
        <w:rPr>
          <w:rStyle w:val="a6"/>
        </w:rPr>
        <w:footnoteRef/>
      </w:r>
      <w:r>
        <w:t xml:space="preserve"> См</w:t>
      </w:r>
      <w:r w:rsidRPr="00BA2C50">
        <w:t>.</w:t>
      </w:r>
      <w:r>
        <w:t xml:space="preserve"> МКПС 0401 Грабеж.</w:t>
      </w:r>
    </w:p>
  </w:footnote>
  <w:footnote w:id="4">
    <w:p w:rsidR="00BA2C50" w:rsidRPr="00E32466" w:rsidRDefault="00BA2C50" w:rsidP="00E32466">
      <w:pPr>
        <w:pStyle w:val="a4"/>
      </w:pPr>
      <w:r>
        <w:rPr>
          <w:rStyle w:val="a6"/>
        </w:rPr>
        <w:footnoteRef/>
      </w:r>
      <w:r w:rsidRPr="00E32466">
        <w:t xml:space="preserve"> В случаях, когда данные о</w:t>
      </w:r>
      <w:r>
        <w:t>бследования</w:t>
      </w:r>
      <w:r w:rsidRPr="00E32466">
        <w:t xml:space="preserve"> о физическом насилии недоступны, данные </w:t>
      </w:r>
      <w:r>
        <w:t>обследования</w:t>
      </w:r>
      <w:r w:rsidRPr="00E32466">
        <w:t xml:space="preserve"> о грабежах могут быть использованы в качестве подходящего косвенного показателя. Вопросы, подходящие для оценки опыта грабежей, см. в пунктах C2.5a/b основного вопросника инициативы LACSI, доступного по адресу: </w:t>
      </w:r>
      <w:hyperlink r:id="rId1" w:history="1">
        <w:r w:rsidRPr="00E32466">
          <w:rPr>
            <w:rStyle w:val="ac"/>
            <w:lang w:val="en-US"/>
          </w:rPr>
          <w:t>https</w:t>
        </w:r>
        <w:r w:rsidRPr="00E32466">
          <w:rPr>
            <w:rStyle w:val="ac"/>
          </w:rPr>
          <w:t>://</w:t>
        </w:r>
        <w:r w:rsidRPr="00E32466">
          <w:rPr>
            <w:rStyle w:val="ac"/>
            <w:lang w:val="en-US"/>
          </w:rPr>
          <w:t>www</w:t>
        </w:r>
        <w:r w:rsidRPr="00E32466">
          <w:rPr>
            <w:rStyle w:val="ac"/>
          </w:rPr>
          <w:t>.</w:t>
        </w:r>
        <w:proofErr w:type="spellStart"/>
        <w:r w:rsidRPr="00E32466">
          <w:rPr>
            <w:rStyle w:val="ac"/>
            <w:lang w:val="en-US"/>
          </w:rPr>
          <w:t>cdeunodc</w:t>
        </w:r>
        <w:proofErr w:type="spellEnd"/>
        <w:r w:rsidRPr="00E32466">
          <w:rPr>
            <w:rStyle w:val="ac"/>
          </w:rPr>
          <w:t>.</w:t>
        </w:r>
        <w:proofErr w:type="spellStart"/>
        <w:r w:rsidRPr="00E32466">
          <w:rPr>
            <w:rStyle w:val="ac"/>
            <w:lang w:val="en-US"/>
          </w:rPr>
          <w:t>inegi</w:t>
        </w:r>
        <w:proofErr w:type="spellEnd"/>
        <w:r w:rsidRPr="00E32466">
          <w:rPr>
            <w:rStyle w:val="ac"/>
          </w:rPr>
          <w:t>.</w:t>
        </w:r>
        <w:r w:rsidRPr="00E32466">
          <w:rPr>
            <w:rStyle w:val="ac"/>
            <w:lang w:val="en-US"/>
          </w:rPr>
          <w:t>org</w:t>
        </w:r>
        <w:r w:rsidRPr="00E32466">
          <w:rPr>
            <w:rStyle w:val="ac"/>
          </w:rPr>
          <w:t>.</w:t>
        </w:r>
        <w:r w:rsidRPr="00E32466">
          <w:rPr>
            <w:rStyle w:val="ac"/>
            <w:lang w:val="en-US"/>
          </w:rPr>
          <w:t>mx</w:t>
        </w:r>
        <w:r w:rsidRPr="00E32466">
          <w:rPr>
            <w:rStyle w:val="ac"/>
          </w:rPr>
          <w:t>/</w:t>
        </w:r>
        <w:r w:rsidRPr="00E32466">
          <w:rPr>
            <w:rStyle w:val="ac"/>
            <w:lang w:val="en-US"/>
          </w:rPr>
          <w:t>index</w:t>
        </w:r>
        <w:r w:rsidRPr="00E32466">
          <w:rPr>
            <w:rStyle w:val="ac"/>
          </w:rPr>
          <w:t>.</w:t>
        </w:r>
        <w:proofErr w:type="spellStart"/>
        <w:r w:rsidRPr="00E32466">
          <w:rPr>
            <w:rStyle w:val="ac"/>
            <w:lang w:val="en-US"/>
          </w:rPr>
          <w:t>php</w:t>
        </w:r>
        <w:proofErr w:type="spellEnd"/>
        <w:r w:rsidRPr="00E32466">
          <w:rPr>
            <w:rStyle w:val="ac"/>
          </w:rPr>
          <w:t>/</w:t>
        </w:r>
        <w:r w:rsidRPr="00E32466">
          <w:rPr>
            <w:rStyle w:val="ac"/>
            <w:lang w:val="en-US"/>
          </w:rPr>
          <w:t>questionnaire</w:t>
        </w:r>
        <w:r w:rsidRPr="00E32466">
          <w:rPr>
            <w:rStyle w:val="ac"/>
          </w:rPr>
          <w:t>/</w:t>
        </w:r>
      </w:hyperlink>
      <w:r w:rsidRPr="00E32466">
        <w:t xml:space="preserve"> </w:t>
      </w:r>
    </w:p>
  </w:footnote>
  <w:footnote w:id="5">
    <w:p w:rsidR="00BA2C50" w:rsidRPr="00E32466" w:rsidRDefault="00BA2C50" w:rsidP="00E32466">
      <w:pPr>
        <w:pStyle w:val="a4"/>
      </w:pPr>
      <w:r>
        <w:rPr>
          <w:rStyle w:val="a6"/>
        </w:rPr>
        <w:footnoteRef/>
      </w:r>
      <w:r w:rsidRPr="00E32466">
        <w:t xml:space="preserve"> Обращаем ваше внимание, что приведенный перечень действий, свидетельствующих о психологическом насилии, не является исчерпывающим.</w:t>
      </w:r>
    </w:p>
  </w:footnote>
  <w:footnote w:id="6">
    <w:p w:rsidR="00BA2C50" w:rsidRDefault="00BA2C50">
      <w:pPr>
        <w:pStyle w:val="a4"/>
      </w:pPr>
      <w:r>
        <w:rPr>
          <w:rStyle w:val="a6"/>
        </w:rPr>
        <w:footnoteRef/>
      </w:r>
      <w:r>
        <w:t xml:space="preserve"> </w:t>
      </w:r>
      <w:r w:rsidRPr="00C73C2C">
        <w:t>Признаны экстремистскими организациями и запрещены на территории РФ</w:t>
      </w:r>
      <w:r>
        <w:t>.</w:t>
      </w:r>
    </w:p>
  </w:footnote>
  <w:footnote w:id="7">
    <w:p w:rsidR="00BA2C50" w:rsidRDefault="00BA2C50">
      <w:pPr>
        <w:pStyle w:val="a4"/>
      </w:pPr>
      <w:r>
        <w:rPr>
          <w:rStyle w:val="a6"/>
        </w:rPr>
        <w:footnoteRef/>
      </w:r>
      <w:r>
        <w:t xml:space="preserve"> Запрещена на территории РФ.</w:t>
      </w:r>
    </w:p>
  </w:footnote>
  <w:footnote w:id="8">
    <w:p w:rsidR="00BA2C50" w:rsidRPr="00767ED7" w:rsidRDefault="00BA2C50">
      <w:pPr>
        <w:pStyle w:val="a4"/>
      </w:pPr>
      <w:r>
        <w:rPr>
          <w:rStyle w:val="a6"/>
        </w:rPr>
        <w:footnoteRef/>
      </w:r>
      <w:r w:rsidRPr="00767ED7">
        <w:t xml:space="preserve"> </w:t>
      </w:r>
      <w:r w:rsidRPr="00B60E06">
        <w:t>См</w:t>
      </w:r>
      <w:r>
        <w:t>.</w:t>
      </w:r>
      <w:r w:rsidRPr="00B60E06">
        <w:t xml:space="preserve"> </w:t>
      </w:r>
      <w:r w:rsidR="00DD200E">
        <w:t>Вопросник</w:t>
      </w:r>
      <w:r w:rsidRPr="00B60E06">
        <w:t xml:space="preserve"> по ЦУР 16 (доступен на английском, арабском, испанском, </w:t>
      </w:r>
      <w:r>
        <w:t>французском и китайском языках)</w:t>
      </w:r>
      <w:r w:rsidRPr="00B60E06">
        <w:t>:</w:t>
      </w:r>
      <w:r w:rsidRPr="00BC754D">
        <w:t>https</w:t>
      </w:r>
      <w:r w:rsidRPr="00B60E06">
        <w:t>://</w:t>
      </w:r>
      <w:r w:rsidRPr="00BC754D">
        <w:t>www</w:t>
      </w:r>
      <w:r w:rsidRPr="00B60E06">
        <w:t>.</w:t>
      </w:r>
      <w:r w:rsidRPr="00BC754D">
        <w:t>sdg</w:t>
      </w:r>
      <w:r w:rsidRPr="00B60E06">
        <w:t>16</w:t>
      </w:r>
      <w:r w:rsidRPr="00BC754D">
        <w:t>hub</w:t>
      </w:r>
      <w:r w:rsidRPr="00B60E06">
        <w:t>.</w:t>
      </w:r>
      <w:r w:rsidRPr="00BC754D">
        <w:t>org</w:t>
      </w:r>
      <w:r w:rsidRPr="00B60E06">
        <w:t>/</w:t>
      </w:r>
      <w:r w:rsidRPr="00BC754D">
        <w:t>topic</w:t>
      </w:r>
      <w:r w:rsidRPr="00B60E06">
        <w:t>/</w:t>
      </w:r>
      <w:r w:rsidRPr="00BC754D">
        <w:t>sdg</w:t>
      </w:r>
      <w:r w:rsidRPr="00B60E06">
        <w:t>-16-</w:t>
      </w:r>
      <w:r w:rsidRPr="00BC754D">
        <w:t>survey</w:t>
      </w:r>
      <w:r w:rsidRPr="00B60E06">
        <w:t>-</w:t>
      </w:r>
      <w:r w:rsidRPr="00BC754D">
        <w:t>initiative</w:t>
      </w:r>
      <w:r w:rsidRPr="00B60E06">
        <w:t>-</w:t>
      </w:r>
      <w:r w:rsidRPr="00BC754D">
        <w:t>questionnaire</w:t>
      </w:r>
    </w:p>
  </w:footnote>
  <w:footnote w:id="9">
    <w:p w:rsidR="00BA2C50" w:rsidRPr="00767ED7" w:rsidRDefault="00BA2C50">
      <w:pPr>
        <w:pStyle w:val="a4"/>
      </w:pPr>
      <w:r>
        <w:rPr>
          <w:rStyle w:val="a6"/>
        </w:rPr>
        <w:footnoteRef/>
      </w:r>
      <w:r w:rsidRPr="00767ED7">
        <w:t xml:space="preserve"> Во многих случаях жертвы насилия могут столкнуться с несколькими актами насилия одновременно. При обращении в полицию или другие компетентные органы могут быть зарегистрированы только наиболее серьезные действия в зависимости от законов или правил регистрации.</w:t>
      </w:r>
    </w:p>
  </w:footnote>
  <w:footnote w:id="10">
    <w:p w:rsidR="00BA2C50" w:rsidRPr="00397D97" w:rsidRDefault="00BA2C50">
      <w:pPr>
        <w:pStyle w:val="a4"/>
      </w:pPr>
      <w:r>
        <w:rPr>
          <w:rStyle w:val="a6"/>
        </w:rPr>
        <w:footnoteRef/>
      </w:r>
      <w:r>
        <w:t xml:space="preserve"> </w:t>
      </w:r>
      <w:r w:rsidRPr="00397D97">
        <w:t xml:space="preserve">Чтобы узнать больше о том, какие страны провели национальные или субнациональные автономные обследования </w:t>
      </w:r>
      <w:proofErr w:type="spellStart"/>
      <w:r w:rsidRPr="00397D97">
        <w:t>виктимизации</w:t>
      </w:r>
      <w:proofErr w:type="spellEnd"/>
      <w:r w:rsidRPr="00397D97">
        <w:t xml:space="preserve">, посетите Атлас Центра передового опыта УНП </w:t>
      </w:r>
      <w:proofErr w:type="gramStart"/>
      <w:r w:rsidRPr="00397D97">
        <w:t>ООН</w:t>
      </w:r>
      <w:proofErr w:type="gramEnd"/>
      <w:r w:rsidRPr="00397D97">
        <w:t xml:space="preserve">-INEGI по обследованиям </w:t>
      </w:r>
      <w:proofErr w:type="spellStart"/>
      <w:r w:rsidRPr="00397D97">
        <w:t>виктимизации</w:t>
      </w:r>
      <w:proofErr w:type="spellEnd"/>
      <w:r w:rsidRPr="00397D97">
        <w:t xml:space="preserve">: </w:t>
      </w:r>
      <w:r w:rsidRPr="00080707">
        <w:rPr>
          <w:lang w:val="en-US"/>
        </w:rPr>
        <w:t>https</w:t>
      </w:r>
      <w:r w:rsidRPr="00397D97">
        <w:t>://</w:t>
      </w:r>
      <w:r w:rsidRPr="00080707">
        <w:rPr>
          <w:lang w:val="en-US"/>
        </w:rPr>
        <w:t>www</w:t>
      </w:r>
      <w:r w:rsidRPr="00397D97">
        <w:t>.</w:t>
      </w:r>
      <w:proofErr w:type="spellStart"/>
      <w:r w:rsidRPr="00080707">
        <w:rPr>
          <w:lang w:val="en-US"/>
        </w:rPr>
        <w:t>cdeunodc</w:t>
      </w:r>
      <w:proofErr w:type="spellEnd"/>
      <w:r w:rsidRPr="00397D97">
        <w:t>.</w:t>
      </w:r>
      <w:proofErr w:type="spellStart"/>
      <w:r w:rsidRPr="00080707">
        <w:rPr>
          <w:lang w:val="en-US"/>
        </w:rPr>
        <w:t>inegi</w:t>
      </w:r>
      <w:proofErr w:type="spellEnd"/>
      <w:r w:rsidRPr="00397D97">
        <w:t>.</w:t>
      </w:r>
      <w:r w:rsidRPr="00080707">
        <w:rPr>
          <w:lang w:val="en-US"/>
        </w:rPr>
        <w:t>org</w:t>
      </w:r>
      <w:r w:rsidRPr="00397D97">
        <w:t>.</w:t>
      </w:r>
      <w:r w:rsidRPr="00080707">
        <w:rPr>
          <w:lang w:val="en-US"/>
        </w:rPr>
        <w:t>mx</w:t>
      </w:r>
      <w:r w:rsidRPr="00397D97">
        <w:t>/</w:t>
      </w:r>
      <w:r w:rsidRPr="00080707">
        <w:rPr>
          <w:lang w:val="en-US"/>
        </w:rPr>
        <w:t>index</w:t>
      </w:r>
      <w:r w:rsidRPr="00397D97">
        <w:t>.</w:t>
      </w:r>
      <w:proofErr w:type="spellStart"/>
      <w:r w:rsidRPr="00080707">
        <w:rPr>
          <w:lang w:val="en-US"/>
        </w:rPr>
        <w:t>php</w:t>
      </w:r>
      <w:proofErr w:type="spellEnd"/>
      <w:r w:rsidRPr="00397D97">
        <w:t>/</w:t>
      </w:r>
      <w:r w:rsidRPr="00080707">
        <w:rPr>
          <w:lang w:val="en-US"/>
        </w:rPr>
        <w:t>atlas</w:t>
      </w:r>
      <w:r w:rsidRPr="00397D97">
        <w:t>-</w:t>
      </w:r>
      <w:r w:rsidRPr="00080707">
        <w:rPr>
          <w:lang w:val="en-US"/>
        </w:rPr>
        <w:t>on</w:t>
      </w:r>
      <w:r w:rsidRPr="00397D97">
        <w:t>-</w:t>
      </w:r>
      <w:proofErr w:type="spellStart"/>
      <w:r w:rsidRPr="00080707">
        <w:rPr>
          <w:lang w:val="en-US"/>
        </w:rPr>
        <w:t>cvs</w:t>
      </w:r>
      <w:proofErr w:type="spellEnd"/>
      <w:r w:rsidRPr="00397D97">
        <w:t>/</w:t>
      </w:r>
    </w:p>
  </w:footnote>
  <w:footnote w:id="11">
    <w:p w:rsidR="00BA2C50" w:rsidRPr="00397D97" w:rsidRDefault="00BA2C50">
      <w:pPr>
        <w:pStyle w:val="a4"/>
      </w:pPr>
      <w:r>
        <w:rPr>
          <w:rStyle w:val="a6"/>
        </w:rPr>
        <w:footnoteRef/>
      </w:r>
      <w:r w:rsidRPr="00397D97">
        <w:t xml:space="preserve"> </w:t>
      </w:r>
      <w:r w:rsidRPr="00397D97">
        <w:rPr>
          <w:rStyle w:val="ui-provider"/>
        </w:rPr>
        <w:t xml:space="preserve">Техническую помощь по внедрению методологии </w:t>
      </w:r>
      <w:r w:rsidRPr="00397D97">
        <w:rPr>
          <w:rStyle w:val="ui-provider"/>
          <w:lang w:val="en-US"/>
        </w:rPr>
        <w:t>LACSI</w:t>
      </w:r>
      <w:r w:rsidRPr="00397D97">
        <w:rPr>
          <w:rStyle w:val="ui-provider"/>
        </w:rPr>
        <w:t xml:space="preserve"> в регионе Латинской Америки и Карибского бассейна оказывает Центр передового опыта УНП </w:t>
      </w:r>
      <w:proofErr w:type="gramStart"/>
      <w:r w:rsidRPr="00397D97">
        <w:rPr>
          <w:rStyle w:val="ui-provider"/>
        </w:rPr>
        <w:t>ООН</w:t>
      </w:r>
      <w:proofErr w:type="gramEnd"/>
      <w:r w:rsidRPr="00397D97">
        <w:rPr>
          <w:rStyle w:val="ui-provider"/>
        </w:rPr>
        <w:t>-</w:t>
      </w:r>
      <w:r w:rsidRPr="00397D97">
        <w:rPr>
          <w:rStyle w:val="ui-provider"/>
          <w:lang w:val="en-US"/>
        </w:rPr>
        <w:t>INEGI</w:t>
      </w:r>
      <w:r w:rsidRPr="00397D97">
        <w:rPr>
          <w:rStyle w:val="ui-provider"/>
        </w:rPr>
        <w:t xml:space="preserve"> в области статистической информации о правительстве, преступности, </w:t>
      </w:r>
      <w:proofErr w:type="spellStart"/>
      <w:r w:rsidRPr="00397D97">
        <w:rPr>
          <w:rStyle w:val="ui-provider"/>
        </w:rPr>
        <w:t>виктимизации</w:t>
      </w:r>
      <w:proofErr w:type="spellEnd"/>
      <w:r w:rsidRPr="00397D97">
        <w:rPr>
          <w:rStyle w:val="ui-provider"/>
        </w:rPr>
        <w:t xml:space="preserve"> и правосудии (СЕ). Для получения дополнительной информации посетите</w:t>
      </w:r>
      <w:r>
        <w:rPr>
          <w:rStyle w:val="ui-provider"/>
        </w:rPr>
        <w:t xml:space="preserve"> сайт</w:t>
      </w:r>
      <w:r w:rsidRPr="00397D97">
        <w:rPr>
          <w:rStyle w:val="ui-provider"/>
        </w:rPr>
        <w:t xml:space="preserve">: </w:t>
      </w:r>
      <w:hyperlink r:id="rId2" w:tgtFrame="_blank" w:tooltip="https://www.cdeunodc.inegi.org.mx/index.php/en/" w:history="1">
        <w:r w:rsidRPr="00397D97">
          <w:rPr>
            <w:rStyle w:val="ac"/>
            <w:lang w:val="en-US"/>
          </w:rPr>
          <w:t>https</w:t>
        </w:r>
        <w:r w:rsidRPr="00397D97">
          <w:rPr>
            <w:rStyle w:val="ac"/>
          </w:rPr>
          <w:t>://</w:t>
        </w:r>
        <w:r w:rsidRPr="00397D97">
          <w:rPr>
            <w:rStyle w:val="ac"/>
            <w:lang w:val="en-US"/>
          </w:rPr>
          <w:t>www</w:t>
        </w:r>
        <w:r w:rsidRPr="00397D97">
          <w:rPr>
            <w:rStyle w:val="ac"/>
          </w:rPr>
          <w:t>.</w:t>
        </w:r>
        <w:proofErr w:type="spellStart"/>
        <w:r w:rsidRPr="00397D97">
          <w:rPr>
            <w:rStyle w:val="ac"/>
            <w:lang w:val="en-US"/>
          </w:rPr>
          <w:t>cdeunodc</w:t>
        </w:r>
        <w:proofErr w:type="spellEnd"/>
        <w:r w:rsidRPr="00397D97">
          <w:rPr>
            <w:rStyle w:val="ac"/>
          </w:rPr>
          <w:t>.</w:t>
        </w:r>
        <w:proofErr w:type="spellStart"/>
        <w:r w:rsidRPr="00397D97">
          <w:rPr>
            <w:rStyle w:val="ac"/>
            <w:lang w:val="en-US"/>
          </w:rPr>
          <w:t>inegi</w:t>
        </w:r>
        <w:proofErr w:type="spellEnd"/>
        <w:r w:rsidRPr="00397D97">
          <w:rPr>
            <w:rStyle w:val="ac"/>
          </w:rPr>
          <w:t>.</w:t>
        </w:r>
        <w:r w:rsidRPr="00397D97">
          <w:rPr>
            <w:rStyle w:val="ac"/>
            <w:lang w:val="en-US"/>
          </w:rPr>
          <w:t>org</w:t>
        </w:r>
        <w:r w:rsidRPr="00397D97">
          <w:rPr>
            <w:rStyle w:val="ac"/>
          </w:rPr>
          <w:t>.</w:t>
        </w:r>
        <w:r w:rsidRPr="00397D97">
          <w:rPr>
            <w:rStyle w:val="ac"/>
            <w:lang w:val="en-US"/>
          </w:rPr>
          <w:t>mx</w:t>
        </w:r>
        <w:r w:rsidRPr="00397D97">
          <w:rPr>
            <w:rStyle w:val="ac"/>
          </w:rPr>
          <w:t>/</w:t>
        </w:r>
        <w:r w:rsidRPr="00397D97">
          <w:rPr>
            <w:rStyle w:val="ac"/>
            <w:lang w:val="en-US"/>
          </w:rPr>
          <w:t>index</w:t>
        </w:r>
        <w:r w:rsidRPr="00397D97">
          <w:rPr>
            <w:rStyle w:val="ac"/>
          </w:rPr>
          <w:t>.</w:t>
        </w:r>
        <w:proofErr w:type="spellStart"/>
        <w:r w:rsidRPr="00397D97">
          <w:rPr>
            <w:rStyle w:val="ac"/>
            <w:lang w:val="en-US"/>
          </w:rPr>
          <w:t>php</w:t>
        </w:r>
        <w:proofErr w:type="spellEnd"/>
        <w:r w:rsidRPr="00397D97">
          <w:rPr>
            <w:rStyle w:val="ac"/>
          </w:rPr>
          <w:t>/</w:t>
        </w:r>
        <w:proofErr w:type="spellStart"/>
        <w:r w:rsidRPr="00397D97">
          <w:rPr>
            <w:rStyle w:val="ac"/>
            <w:lang w:val="en-US"/>
          </w:rPr>
          <w:t>en</w:t>
        </w:r>
        <w:proofErr w:type="spellEnd"/>
        <w:r w:rsidRPr="00397D97">
          <w:rPr>
            <w:rStyle w:val="ac"/>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75" w:rsidRDefault="00A85E7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50" w:rsidRPr="00087B96" w:rsidRDefault="00BA2C50" w:rsidP="009508D1">
    <w:pPr>
      <w:pStyle w:val="ae"/>
      <w:jc w:val="right"/>
      <w:rPr>
        <w:rFonts w:cs="Times New Roman"/>
        <w:i/>
      </w:rPr>
    </w:pPr>
    <w:r w:rsidRPr="00087B96">
      <w:rPr>
        <w:rFonts w:cs="Times New Roman"/>
        <w:i/>
      </w:rPr>
      <w:t xml:space="preserve">Неофициальный перевод </w:t>
    </w:r>
  </w:p>
  <w:p w:rsidR="00BA2C50" w:rsidRPr="00087B96" w:rsidRDefault="00BA2C50" w:rsidP="009508D1">
    <w:pPr>
      <w:pStyle w:val="ae"/>
      <w:jc w:val="right"/>
      <w:rPr>
        <w:rFonts w:cs="Times New Roman"/>
      </w:rPr>
    </w:pPr>
    <w:r w:rsidRPr="00087B96">
      <w:rPr>
        <w:rFonts w:cs="Times New Roman"/>
      </w:rPr>
      <w:t xml:space="preserve">Последнее обновление: </w:t>
    </w:r>
    <w:r w:rsidR="00A85E75">
      <w:rPr>
        <w:rFonts w:cs="Times New Roman"/>
      </w:rPr>
      <w:t>июнь</w:t>
    </w:r>
    <w:bookmarkStart w:id="5" w:name="_GoBack"/>
    <w:bookmarkEnd w:id="5"/>
    <w:r>
      <w:rPr>
        <w:rFonts w:cs="Times New Roman"/>
      </w:rPr>
      <w:t xml:space="preserve"> </w:t>
    </w:r>
    <w:r w:rsidRPr="00087B96">
      <w:rPr>
        <w:rFonts w:cs="Times New Roman"/>
      </w:rPr>
      <w:t>202</w:t>
    </w:r>
    <w:r>
      <w:rPr>
        <w:rFonts w:cs="Times New Roman"/>
      </w:rPr>
      <w:t>4</w:t>
    </w:r>
  </w:p>
  <w:p w:rsidR="00BA2C50" w:rsidRDefault="00BA2C5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75" w:rsidRDefault="00A85E7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ACA"/>
    <w:multiLevelType w:val="hybridMultilevel"/>
    <w:tmpl w:val="6BF63002"/>
    <w:lvl w:ilvl="0" w:tplc="D7B27AC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7940A2"/>
    <w:multiLevelType w:val="hybridMultilevel"/>
    <w:tmpl w:val="9CC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8563E"/>
    <w:multiLevelType w:val="hybridMultilevel"/>
    <w:tmpl w:val="E0E09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1E477B"/>
    <w:multiLevelType w:val="hybridMultilevel"/>
    <w:tmpl w:val="9A263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18AE"/>
    <w:rsid w:val="00041C4B"/>
    <w:rsid w:val="00047434"/>
    <w:rsid w:val="000476F9"/>
    <w:rsid w:val="00053D20"/>
    <w:rsid w:val="000810C8"/>
    <w:rsid w:val="00087B96"/>
    <w:rsid w:val="000A210D"/>
    <w:rsid w:val="000A229E"/>
    <w:rsid w:val="000B796A"/>
    <w:rsid w:val="000C5EF5"/>
    <w:rsid w:val="000F3B83"/>
    <w:rsid w:val="000F5EF6"/>
    <w:rsid w:val="00107A08"/>
    <w:rsid w:val="00116248"/>
    <w:rsid w:val="00135002"/>
    <w:rsid w:val="001366AD"/>
    <w:rsid w:val="001470A2"/>
    <w:rsid w:val="00147D8F"/>
    <w:rsid w:val="00155070"/>
    <w:rsid w:val="001612F6"/>
    <w:rsid w:val="00165896"/>
    <w:rsid w:val="00175DCE"/>
    <w:rsid w:val="001762D0"/>
    <w:rsid w:val="0018353F"/>
    <w:rsid w:val="001A163A"/>
    <w:rsid w:val="001C07E2"/>
    <w:rsid w:val="001C4663"/>
    <w:rsid w:val="001E2FC9"/>
    <w:rsid w:val="002064C4"/>
    <w:rsid w:val="002306F8"/>
    <w:rsid w:val="002573A0"/>
    <w:rsid w:val="002652D0"/>
    <w:rsid w:val="00291E49"/>
    <w:rsid w:val="00291FA0"/>
    <w:rsid w:val="002C7BF9"/>
    <w:rsid w:val="002E122C"/>
    <w:rsid w:val="002E15F9"/>
    <w:rsid w:val="002F63E5"/>
    <w:rsid w:val="00303D71"/>
    <w:rsid w:val="003143BC"/>
    <w:rsid w:val="00362143"/>
    <w:rsid w:val="003746BC"/>
    <w:rsid w:val="003859BD"/>
    <w:rsid w:val="00397D97"/>
    <w:rsid w:val="003A25AB"/>
    <w:rsid w:val="003A325C"/>
    <w:rsid w:val="003D33FA"/>
    <w:rsid w:val="003D58DC"/>
    <w:rsid w:val="003D79B4"/>
    <w:rsid w:val="003D7A38"/>
    <w:rsid w:val="00407AF0"/>
    <w:rsid w:val="00407E4E"/>
    <w:rsid w:val="004143B4"/>
    <w:rsid w:val="00421928"/>
    <w:rsid w:val="0043089C"/>
    <w:rsid w:val="004336AA"/>
    <w:rsid w:val="004344AC"/>
    <w:rsid w:val="00437178"/>
    <w:rsid w:val="00456E71"/>
    <w:rsid w:val="00467B9B"/>
    <w:rsid w:val="004A7D1A"/>
    <w:rsid w:val="004B458D"/>
    <w:rsid w:val="004D2413"/>
    <w:rsid w:val="004E087E"/>
    <w:rsid w:val="004E0E1C"/>
    <w:rsid w:val="00503B4A"/>
    <w:rsid w:val="00507CC5"/>
    <w:rsid w:val="00532D98"/>
    <w:rsid w:val="00563627"/>
    <w:rsid w:val="00587D0B"/>
    <w:rsid w:val="005B109C"/>
    <w:rsid w:val="005C6119"/>
    <w:rsid w:val="005D343A"/>
    <w:rsid w:val="005E47BD"/>
    <w:rsid w:val="005F2C0B"/>
    <w:rsid w:val="00655F55"/>
    <w:rsid w:val="006704C2"/>
    <w:rsid w:val="00682107"/>
    <w:rsid w:val="00694160"/>
    <w:rsid w:val="006B260E"/>
    <w:rsid w:val="006B3939"/>
    <w:rsid w:val="006C43F8"/>
    <w:rsid w:val="006D5488"/>
    <w:rsid w:val="006D7049"/>
    <w:rsid w:val="006E228A"/>
    <w:rsid w:val="006E5488"/>
    <w:rsid w:val="00702333"/>
    <w:rsid w:val="00705161"/>
    <w:rsid w:val="00724018"/>
    <w:rsid w:val="00741A39"/>
    <w:rsid w:val="0075371E"/>
    <w:rsid w:val="00753F18"/>
    <w:rsid w:val="00767ED7"/>
    <w:rsid w:val="00780F08"/>
    <w:rsid w:val="00781DE7"/>
    <w:rsid w:val="0078423F"/>
    <w:rsid w:val="007B07B2"/>
    <w:rsid w:val="007B0CFD"/>
    <w:rsid w:val="007B32CE"/>
    <w:rsid w:val="007C27E0"/>
    <w:rsid w:val="007D1185"/>
    <w:rsid w:val="007D1FD7"/>
    <w:rsid w:val="007E53AC"/>
    <w:rsid w:val="007F06DF"/>
    <w:rsid w:val="008138AD"/>
    <w:rsid w:val="0083122B"/>
    <w:rsid w:val="00836F3E"/>
    <w:rsid w:val="00846111"/>
    <w:rsid w:val="00853C09"/>
    <w:rsid w:val="00864C1A"/>
    <w:rsid w:val="00866752"/>
    <w:rsid w:val="008848EE"/>
    <w:rsid w:val="008D5C50"/>
    <w:rsid w:val="009065C7"/>
    <w:rsid w:val="0092739E"/>
    <w:rsid w:val="009508D1"/>
    <w:rsid w:val="009513FF"/>
    <w:rsid w:val="00957A62"/>
    <w:rsid w:val="00963238"/>
    <w:rsid w:val="009655B4"/>
    <w:rsid w:val="009737AE"/>
    <w:rsid w:val="00977843"/>
    <w:rsid w:val="00980F79"/>
    <w:rsid w:val="00982FE8"/>
    <w:rsid w:val="009B34B6"/>
    <w:rsid w:val="009B5E02"/>
    <w:rsid w:val="009C064B"/>
    <w:rsid w:val="009C5978"/>
    <w:rsid w:val="009C5CE0"/>
    <w:rsid w:val="009D0B32"/>
    <w:rsid w:val="009D4322"/>
    <w:rsid w:val="009F43A6"/>
    <w:rsid w:val="00A0288C"/>
    <w:rsid w:val="00A110F9"/>
    <w:rsid w:val="00A34C5A"/>
    <w:rsid w:val="00A36FA2"/>
    <w:rsid w:val="00A41517"/>
    <w:rsid w:val="00A416C7"/>
    <w:rsid w:val="00A53D4B"/>
    <w:rsid w:val="00A618FC"/>
    <w:rsid w:val="00A62205"/>
    <w:rsid w:val="00A71EC6"/>
    <w:rsid w:val="00A82CD3"/>
    <w:rsid w:val="00A83A86"/>
    <w:rsid w:val="00A85E75"/>
    <w:rsid w:val="00A91FDE"/>
    <w:rsid w:val="00AB2844"/>
    <w:rsid w:val="00AC1A97"/>
    <w:rsid w:val="00AF483F"/>
    <w:rsid w:val="00B0378B"/>
    <w:rsid w:val="00B0576C"/>
    <w:rsid w:val="00B26D92"/>
    <w:rsid w:val="00B30292"/>
    <w:rsid w:val="00B518DC"/>
    <w:rsid w:val="00B60CCD"/>
    <w:rsid w:val="00B72F77"/>
    <w:rsid w:val="00BA2C50"/>
    <w:rsid w:val="00BD29EC"/>
    <w:rsid w:val="00BE2C5D"/>
    <w:rsid w:val="00BE415C"/>
    <w:rsid w:val="00BF6FC6"/>
    <w:rsid w:val="00C307B2"/>
    <w:rsid w:val="00C47A4A"/>
    <w:rsid w:val="00C515AF"/>
    <w:rsid w:val="00C52B00"/>
    <w:rsid w:val="00C648C5"/>
    <w:rsid w:val="00C73C2C"/>
    <w:rsid w:val="00C8596F"/>
    <w:rsid w:val="00C90708"/>
    <w:rsid w:val="00C9589E"/>
    <w:rsid w:val="00C95AB2"/>
    <w:rsid w:val="00CA1CB1"/>
    <w:rsid w:val="00CA53CA"/>
    <w:rsid w:val="00CE5528"/>
    <w:rsid w:val="00D05466"/>
    <w:rsid w:val="00D13182"/>
    <w:rsid w:val="00D13E64"/>
    <w:rsid w:val="00D2619D"/>
    <w:rsid w:val="00D834AB"/>
    <w:rsid w:val="00D8631E"/>
    <w:rsid w:val="00D95B0C"/>
    <w:rsid w:val="00DA19D7"/>
    <w:rsid w:val="00DB7ADF"/>
    <w:rsid w:val="00DC18AA"/>
    <w:rsid w:val="00DD200E"/>
    <w:rsid w:val="00E123F7"/>
    <w:rsid w:val="00E21B43"/>
    <w:rsid w:val="00E27922"/>
    <w:rsid w:val="00E32466"/>
    <w:rsid w:val="00E33CA8"/>
    <w:rsid w:val="00E559F9"/>
    <w:rsid w:val="00E90BD4"/>
    <w:rsid w:val="00EA206F"/>
    <w:rsid w:val="00EB362A"/>
    <w:rsid w:val="00EB389E"/>
    <w:rsid w:val="00EE0900"/>
    <w:rsid w:val="00F23CF4"/>
    <w:rsid w:val="00F374BA"/>
    <w:rsid w:val="00F50DE1"/>
    <w:rsid w:val="00F53A75"/>
    <w:rsid w:val="00F5412C"/>
    <w:rsid w:val="00F6371F"/>
    <w:rsid w:val="00F73DBC"/>
    <w:rsid w:val="00F84FF1"/>
    <w:rsid w:val="00F85991"/>
    <w:rsid w:val="00F92D6F"/>
    <w:rsid w:val="00FA3FEA"/>
    <w:rsid w:val="00FB66D9"/>
    <w:rsid w:val="00FB7D84"/>
    <w:rsid w:val="00FC5800"/>
    <w:rsid w:val="00FD5F36"/>
    <w:rsid w:val="00FD79FA"/>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aliases w:val="5_G"/>
    <w:basedOn w:val="a"/>
    <w:link w:val="a5"/>
    <w:uiPriority w:val="99"/>
    <w:unhideWhenUsed/>
    <w:rsid w:val="00F73DBC"/>
    <w:pPr>
      <w:spacing w:after="0" w:line="240" w:lineRule="auto"/>
    </w:pPr>
    <w:rPr>
      <w:sz w:val="20"/>
      <w:szCs w:val="20"/>
    </w:rPr>
  </w:style>
  <w:style w:type="character" w:customStyle="1" w:styleId="a5">
    <w:name w:val="Текст сноски Знак"/>
    <w:aliases w:val="5_G Знак"/>
    <w:basedOn w:val="a0"/>
    <w:link w:val="a4"/>
    <w:uiPriority w:val="99"/>
    <w:rsid w:val="00F73DBC"/>
    <w:rPr>
      <w:sz w:val="20"/>
      <w:szCs w:val="20"/>
    </w:rPr>
  </w:style>
  <w:style w:type="character" w:styleId="a6">
    <w:name w:val="footnote reference"/>
    <w:aliases w:val="4_G"/>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A36FA2"/>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A36FA2"/>
    <w:rPr>
      <w:rFonts w:eastAsia="Times New Roman" w:cs="Times New Roman"/>
      <w:color w:val="333333"/>
      <w:sz w:val="21"/>
      <w:szCs w:val="21"/>
      <w:shd w:val="clear" w:color="auto" w:fill="F5F5F5"/>
      <w:lang w:val="en-GB" w:eastAsia="en-GB"/>
    </w:rPr>
  </w:style>
  <w:style w:type="table" w:customStyle="1" w:styleId="TableGrid1">
    <w:name w:val="Table Grid1"/>
    <w:basedOn w:val="a1"/>
    <w:next w:val="aa"/>
    <w:uiPriority w:val="59"/>
    <w:rsid w:val="00041C4B"/>
    <w:pPr>
      <w:spacing w:after="0" w:line="240" w:lineRule="auto"/>
    </w:pPr>
    <w:rPr>
      <w:rFonts w:ascii="Calibri" w:eastAsia="SimSun" w:hAnsi="Calibri" w:cs="Times New Roman"/>
      <w:sz w:val="20"/>
      <w:szCs w:val="20"/>
      <w:lang w:val="en-GB"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a0"/>
    <w:rsid w:val="00397D97"/>
  </w:style>
  <w:style w:type="character" w:customStyle="1" w:styleId="normaltextrun">
    <w:name w:val="normaltextrun"/>
    <w:basedOn w:val="a0"/>
    <w:rsid w:val="00FB7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aliases w:val="5_G"/>
    <w:basedOn w:val="a"/>
    <w:link w:val="a5"/>
    <w:uiPriority w:val="99"/>
    <w:unhideWhenUsed/>
    <w:rsid w:val="00F73DBC"/>
    <w:pPr>
      <w:spacing w:after="0" w:line="240" w:lineRule="auto"/>
    </w:pPr>
    <w:rPr>
      <w:sz w:val="20"/>
      <w:szCs w:val="20"/>
    </w:rPr>
  </w:style>
  <w:style w:type="character" w:customStyle="1" w:styleId="a5">
    <w:name w:val="Текст сноски Знак"/>
    <w:aliases w:val="5_G Знак"/>
    <w:basedOn w:val="a0"/>
    <w:link w:val="a4"/>
    <w:uiPriority w:val="99"/>
    <w:rsid w:val="00F73DBC"/>
    <w:rPr>
      <w:sz w:val="20"/>
      <w:szCs w:val="20"/>
    </w:rPr>
  </w:style>
  <w:style w:type="character" w:styleId="a6">
    <w:name w:val="footnote reference"/>
    <w:aliases w:val="4_G"/>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A36FA2"/>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A36FA2"/>
    <w:rPr>
      <w:rFonts w:eastAsia="Times New Roman" w:cs="Times New Roman"/>
      <w:color w:val="333333"/>
      <w:sz w:val="21"/>
      <w:szCs w:val="21"/>
      <w:shd w:val="clear" w:color="auto" w:fill="F5F5F5"/>
      <w:lang w:val="en-GB" w:eastAsia="en-GB"/>
    </w:rPr>
  </w:style>
  <w:style w:type="table" w:customStyle="1" w:styleId="TableGrid1">
    <w:name w:val="Table Grid1"/>
    <w:basedOn w:val="a1"/>
    <w:next w:val="aa"/>
    <w:uiPriority w:val="59"/>
    <w:rsid w:val="00041C4B"/>
    <w:pPr>
      <w:spacing w:after="0" w:line="240" w:lineRule="auto"/>
    </w:pPr>
    <w:rPr>
      <w:rFonts w:ascii="Calibri" w:eastAsia="SimSun" w:hAnsi="Calibri" w:cs="Times New Roman"/>
      <w:sz w:val="20"/>
      <w:szCs w:val="20"/>
      <w:lang w:val="en-GB"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a0"/>
    <w:rsid w:val="00397D97"/>
  </w:style>
  <w:style w:type="character" w:customStyle="1" w:styleId="normaltextrun">
    <w:name w:val="normaltextrun"/>
    <w:basedOn w:val="a0"/>
    <w:rsid w:val="00FB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dg16hub.org/topic/sdg-16-survey-initiative-questionnaire" TargetMode="External"/><Relationship Id="rId18" Type="http://schemas.openxmlformats.org/officeDocument/2006/relationships/hyperlink" Target="https://www.sdg16hub.org/topic/sdg-16-survey-initiative-questionnai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eunodc.inegi.org.mx/index.php/questionnaire/" TargetMode="External"/><Relationship Id="rId7" Type="http://schemas.openxmlformats.org/officeDocument/2006/relationships/footnotes" Target="footnotes.xml"/><Relationship Id="rId12" Type="http://schemas.openxmlformats.org/officeDocument/2006/relationships/hyperlink" Target="https://www.unodc.org/documents/data-and-analysis/sdgs/SDG16_Survey_Initiative_-_Implementation_Manual.pdf" TargetMode="External"/><Relationship Id="rId17" Type="http://schemas.openxmlformats.org/officeDocument/2006/relationships/hyperlink" Target="https://www.unodc.org/unodc/en/data-and-analysis/Manual-on-victim-survey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unodc.inegi.org.mx/index.php/questionnaire/" TargetMode="External"/><Relationship Id="rId20" Type="http://schemas.openxmlformats.org/officeDocument/2006/relationships/hyperlink" Target="https://www.cdeunodc.inegi.org.mx/index.php/lacsi-initiativ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dc.org/documents/data-and-analysis/sdgs/SDG16_Survey_Initiative_-_Questionnaire.pdf" TargetMode="External"/><Relationship Id="rId24" Type="http://schemas.openxmlformats.org/officeDocument/2006/relationships/hyperlink" Target="https://ec.europa.eu/eurostat/documents/3859598/13484289/KS-GQ-21-009-EN-N.pdf/1478786c-5fb3-fe31-d759-7bbe0e9066ad?t=163300453345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deunodc.inegi.org.mx/index.php/lacsi-initiative/" TargetMode="External"/><Relationship Id="rId23" Type="http://schemas.openxmlformats.org/officeDocument/2006/relationships/hyperlink" Target="https://fra.europa.eu/en/publication/2014/violence-against-women-eu-wide-survey-main-results-report" TargetMode="External"/><Relationship Id="rId28" Type="http://schemas.openxmlformats.org/officeDocument/2006/relationships/footer" Target="footer2.xml"/><Relationship Id="rId10" Type="http://schemas.openxmlformats.org/officeDocument/2006/relationships/hyperlink" Target="https://undocs.org/en/A/RES/3021(XXVII)" TargetMode="External"/><Relationship Id="rId19" Type="http://schemas.openxmlformats.org/officeDocument/2006/relationships/hyperlink" Target="https://www.sdg16hub.org/topic/sdg-16-survey-initiative-implementation-manua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nodc.org/unodc/en/data-and-analysis/statistics/iccs.html" TargetMode="External"/><Relationship Id="rId14" Type="http://schemas.openxmlformats.org/officeDocument/2006/relationships/hyperlink" Target="https://www.sdg16hub.org/topic/sdg-16-survey-initiative-implementation-manual" TargetMode="External"/><Relationship Id="rId22" Type="http://schemas.openxmlformats.org/officeDocument/2006/relationships/hyperlink" Target="https://fra.europa.eu/en/publication/2014/violence-against-women-eu-wide-survey-main-results-report"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deunodc.inegi.org.mx/index.php/en/" TargetMode="External"/><Relationship Id="rId1" Type="http://schemas.openxmlformats.org/officeDocument/2006/relationships/hyperlink" Target="https://www.cdeunodc.inegi.org.mx/index.php/questionna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3322-656F-4F9B-89D6-CAFC695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5840</Words>
  <Characters>33289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43</cp:revision>
  <dcterms:created xsi:type="dcterms:W3CDTF">2022-08-04T14:34:00Z</dcterms:created>
  <dcterms:modified xsi:type="dcterms:W3CDTF">2024-06-18T08:25:00Z</dcterms:modified>
</cp:coreProperties>
</file>