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</w:t>
      </w:r>
      <w:r w:rsidR="003E679E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1.1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2D493B" w:rsidRPr="00E36CE2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A343D5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 w:cs="Times New Roman"/>
          <w:szCs w:val="24"/>
          <w:bdr w:val="nil"/>
          <w:lang w:eastAsia="ru-RU"/>
        </w:rPr>
        <w:t>1</w:t>
      </w:r>
      <w:r w:rsidR="002D493B" w:rsidRPr="002D493B">
        <w:rPr>
          <w:rFonts w:eastAsia="Arial Unicode MS" w:cs="Times New Roman"/>
          <w:szCs w:val="24"/>
          <w:bdr w:val="nil"/>
          <w:lang w:eastAsia="ru-RU"/>
        </w:rPr>
        <w:t>5</w:t>
      </w:r>
      <w:r w:rsidRPr="00A343D5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2D493B" w:rsidRPr="002D493B">
        <w:t xml:space="preserve">Защита и восстановление экосистем </w:t>
      </w:r>
      <w:proofErr w:type="gramStart"/>
      <w:r w:rsidR="002D493B" w:rsidRPr="002D493B">
        <w:t>суши</w:t>
      </w:r>
      <w:proofErr w:type="gramEnd"/>
      <w:r w:rsidR="002D493B" w:rsidRPr="002D493B"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3143BC" w:rsidRPr="00A343D5" w:rsidRDefault="003143BC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2F63E5" w:rsidRPr="00147D02" w:rsidRDefault="00935B97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D493B" w:rsidRPr="002D493B">
        <w:rPr>
          <w:rFonts w:cs="Times New Roman"/>
          <w:szCs w:val="24"/>
        </w:rPr>
        <w:t>5</w:t>
      </w:r>
      <w:r w:rsidR="00780F08" w:rsidRPr="00A343D5">
        <w:rPr>
          <w:rFonts w:cs="Times New Roman"/>
          <w:szCs w:val="24"/>
        </w:rPr>
        <w:t>.</w:t>
      </w:r>
      <w:r w:rsidR="00D50626" w:rsidRPr="00D50626">
        <w:rPr>
          <w:rFonts w:cs="Times New Roman"/>
          <w:szCs w:val="24"/>
        </w:rPr>
        <w:t>6</w:t>
      </w:r>
      <w:r w:rsidR="00780F08" w:rsidRPr="00A343D5">
        <w:rPr>
          <w:rFonts w:cs="Times New Roman"/>
          <w:szCs w:val="24"/>
        </w:rPr>
        <w:t xml:space="preserve">.  </w:t>
      </w:r>
      <w:r w:rsidR="00D50626" w:rsidRPr="00D50626">
        <w:rPr>
          <w:rFonts w:cs="Times New Roman"/>
          <w:szCs w:val="24"/>
        </w:rPr>
        <w:t>Содействовать справедливому распределению благ от использования генетических ресурсов и способствовать обеспечению надлежащего доступа к таким ресурсам на согласованных на международном уровне условиях.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067E3E" w:rsidRPr="00147D02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A343D5">
        <w:rPr>
          <w:rFonts w:cs="Times New Roman"/>
          <w:szCs w:val="24"/>
        </w:rPr>
        <w:t xml:space="preserve">Показатель </w:t>
      </w:r>
      <w:r w:rsidR="00935B97">
        <w:rPr>
          <w:rFonts w:cs="Times New Roman"/>
          <w:szCs w:val="24"/>
        </w:rPr>
        <w:t>1</w:t>
      </w:r>
      <w:r w:rsidR="002D493B" w:rsidRPr="002D493B">
        <w:rPr>
          <w:rFonts w:cs="Times New Roman"/>
          <w:szCs w:val="24"/>
        </w:rPr>
        <w:t>5</w:t>
      </w:r>
      <w:r w:rsidR="00780F08" w:rsidRPr="00A343D5">
        <w:rPr>
          <w:rFonts w:cs="Times New Roman"/>
          <w:szCs w:val="24"/>
        </w:rPr>
        <w:t>.</w:t>
      </w:r>
      <w:r w:rsidR="00D50626" w:rsidRPr="00D50626">
        <w:rPr>
          <w:rFonts w:cs="Times New Roman"/>
          <w:szCs w:val="24"/>
        </w:rPr>
        <w:t>6</w:t>
      </w:r>
      <w:r w:rsidR="00465587">
        <w:rPr>
          <w:rFonts w:cs="Times New Roman"/>
          <w:szCs w:val="24"/>
        </w:rPr>
        <w:t>.</w:t>
      </w:r>
      <w:r w:rsidR="00067E3E" w:rsidRPr="00067E3E">
        <w:rPr>
          <w:rFonts w:cs="Times New Roman"/>
          <w:szCs w:val="24"/>
        </w:rPr>
        <w:t>1</w:t>
      </w:r>
      <w:r w:rsidR="006677B0">
        <w:rPr>
          <w:rFonts w:cs="Times New Roman"/>
          <w:szCs w:val="24"/>
        </w:rPr>
        <w:t>.</w:t>
      </w:r>
      <w:r w:rsidR="006677B0" w:rsidRPr="006677B0">
        <w:rPr>
          <w:rFonts w:cs="Times New Roman"/>
          <w:szCs w:val="24"/>
        </w:rPr>
        <w:t xml:space="preserve"> </w:t>
      </w:r>
      <w:r w:rsidR="00D50626" w:rsidRPr="00D50626">
        <w:rPr>
          <w:rFonts w:cs="Times New Roman"/>
          <w:szCs w:val="24"/>
        </w:rPr>
        <w:t>Число стран, принявших комплексы законодательных, административных и директивных мер, обеспечивающих справедливое и недискриминационное распределение благ.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 w:cs="Times New Roman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 данных</w:t>
      </w:r>
    </w:p>
    <w:p w:rsidR="00D50626" w:rsidRDefault="00D50626" w:rsidP="00D50626">
      <w:pPr>
        <w:rPr>
          <w:lang w:eastAsia="ru-RU"/>
        </w:rPr>
      </w:pPr>
      <w:r>
        <w:rPr>
          <w:lang w:eastAsia="ru-RU"/>
        </w:rPr>
        <w:t>Страны, являющиеся договаривающимися сторонами Международного договора о генетических ресурсах растений для производства продовольствия и ведения сельского хозяйств</w:t>
      </w:r>
      <w:r w:rsidR="003E679E">
        <w:rPr>
          <w:lang w:eastAsia="ru-RU"/>
        </w:rPr>
        <w:t>а (ГРРПСХ) (1 = ДА; 0 = НЕТ)</w:t>
      </w:r>
      <w:r w:rsidR="00543300">
        <w:rPr>
          <w:lang w:eastAsia="ru-RU"/>
        </w:rPr>
        <w:t xml:space="preserve"> </w:t>
      </w:r>
      <w:r w:rsidR="00543300" w:rsidRPr="00543300">
        <w:rPr>
          <w:lang w:eastAsia="ru-RU"/>
        </w:rPr>
        <w:t>ER_CBD_PTYPGRFA</w:t>
      </w:r>
      <w:bookmarkStart w:id="0" w:name="_GoBack"/>
      <w:bookmarkEnd w:id="0"/>
    </w:p>
    <w:p w:rsidR="00D50626" w:rsidRDefault="00D50626" w:rsidP="00D50626">
      <w:pPr>
        <w:rPr>
          <w:lang w:eastAsia="ru-RU"/>
        </w:rPr>
      </w:pPr>
      <w:r>
        <w:rPr>
          <w:lang w:eastAsia="ru-RU"/>
        </w:rPr>
        <w:t xml:space="preserve">Страны, являющиеся участниками </w:t>
      </w:r>
      <w:proofErr w:type="spellStart"/>
      <w:r>
        <w:rPr>
          <w:lang w:eastAsia="ru-RU"/>
        </w:rPr>
        <w:t>Нагойског</w:t>
      </w:r>
      <w:r w:rsidR="003E679E">
        <w:rPr>
          <w:lang w:eastAsia="ru-RU"/>
        </w:rPr>
        <w:t>о</w:t>
      </w:r>
      <w:proofErr w:type="spellEnd"/>
      <w:r w:rsidR="003E679E">
        <w:rPr>
          <w:lang w:eastAsia="ru-RU"/>
        </w:rPr>
        <w:t xml:space="preserve"> протокола (1 = ДА; 0 = НЕТ)</w:t>
      </w:r>
      <w:r w:rsidR="00543300">
        <w:rPr>
          <w:lang w:eastAsia="ru-RU"/>
        </w:rPr>
        <w:t xml:space="preserve"> </w:t>
      </w:r>
      <w:r w:rsidR="00543300" w:rsidRPr="00543300">
        <w:rPr>
          <w:lang w:eastAsia="ru-RU"/>
        </w:rPr>
        <w:t>ER_CBD_NAGOYA</w:t>
      </w:r>
    </w:p>
    <w:p w:rsidR="00D50626" w:rsidRDefault="00D50626" w:rsidP="00D50626">
      <w:pPr>
        <w:rPr>
          <w:lang w:eastAsia="ru-RU"/>
        </w:rPr>
      </w:pPr>
      <w:r>
        <w:rPr>
          <w:lang w:eastAsia="ru-RU"/>
        </w:rPr>
        <w:t>Страны, которые имеют законодательные, административные и политические рамки или меры, о которых сообщается через Систему онлайн-отчетности о соблюдении Международного договора о генетических ресурсах растений для производства продовольствия и ведения сельского хозяйст</w:t>
      </w:r>
      <w:r w:rsidR="003E679E">
        <w:rPr>
          <w:lang w:eastAsia="ru-RU"/>
        </w:rPr>
        <w:t>ва (ГРРПСХ) (1 = ДА; 0 = НЕТ)</w:t>
      </w:r>
      <w:r w:rsidR="00543300">
        <w:rPr>
          <w:lang w:eastAsia="ru-RU"/>
        </w:rPr>
        <w:t xml:space="preserve"> </w:t>
      </w:r>
      <w:r w:rsidR="00543300" w:rsidRPr="00543300">
        <w:rPr>
          <w:lang w:eastAsia="ru-RU"/>
        </w:rPr>
        <w:t>ER_CBD_ORSPGRFA</w:t>
      </w:r>
    </w:p>
    <w:p w:rsidR="00D50626" w:rsidRDefault="00D50626" w:rsidP="00D50626">
      <w:pPr>
        <w:rPr>
          <w:lang w:eastAsia="ru-RU"/>
        </w:rPr>
      </w:pPr>
      <w:r>
        <w:rPr>
          <w:lang w:eastAsia="ru-RU"/>
        </w:rPr>
        <w:t>Страны, имеющие законодательные, административные и политические рамки или меры, представленные в Информационный центр по доступу и совместному исполь</w:t>
      </w:r>
      <w:r w:rsidR="003E679E">
        <w:rPr>
          <w:lang w:eastAsia="ru-RU"/>
        </w:rPr>
        <w:t>зованию выгод (1 = ДА; 0 = НЕТ)</w:t>
      </w:r>
      <w:r w:rsidR="00543300">
        <w:rPr>
          <w:lang w:eastAsia="ru-RU"/>
        </w:rPr>
        <w:t xml:space="preserve"> </w:t>
      </w:r>
      <w:r w:rsidR="00543300" w:rsidRPr="00543300">
        <w:rPr>
          <w:lang w:eastAsia="ru-RU"/>
        </w:rPr>
        <w:t>ER_CBD_ABSCLRHS</w:t>
      </w:r>
    </w:p>
    <w:p w:rsidR="002540B1" w:rsidRPr="002540B1" w:rsidRDefault="00D50626" w:rsidP="00D50626">
      <w:pPr>
        <w:rPr>
          <w:lang w:eastAsia="ru-RU"/>
        </w:rPr>
      </w:pPr>
      <w:r>
        <w:rPr>
          <w:lang w:eastAsia="ru-RU"/>
        </w:rPr>
        <w:t>Общее зарегистрированное количество Стандартных соглашений о передаче материалов (ССПМ), по которым генетические ресурсы растений для производства продовольствия и ведения сельского хозяйства</w:t>
      </w:r>
      <w:r w:rsidR="003E679E">
        <w:rPr>
          <w:lang w:eastAsia="ru-RU"/>
        </w:rPr>
        <w:t xml:space="preserve"> передаются стране (количество)</w:t>
      </w:r>
      <w:r w:rsidR="00543300">
        <w:rPr>
          <w:lang w:eastAsia="ru-RU"/>
        </w:rPr>
        <w:t xml:space="preserve"> </w:t>
      </w:r>
      <w:r w:rsidR="00543300" w:rsidRPr="00A671C6">
        <w:rPr>
          <w:color w:val="000000" w:themeColor="text1"/>
          <w:lang w:val="en-GB" w:eastAsia="ru-RU"/>
        </w:rPr>
        <w:t>ER</w:t>
      </w:r>
      <w:r w:rsidR="00543300" w:rsidRPr="00A671C6">
        <w:rPr>
          <w:color w:val="000000" w:themeColor="text1"/>
          <w:lang w:eastAsia="ru-RU"/>
        </w:rPr>
        <w:t>_</w:t>
      </w:r>
      <w:r w:rsidR="00543300" w:rsidRPr="00A671C6">
        <w:rPr>
          <w:color w:val="000000" w:themeColor="text1"/>
          <w:lang w:val="en-GB" w:eastAsia="ru-RU"/>
        </w:rPr>
        <w:t>CBD</w:t>
      </w:r>
      <w:r w:rsidR="00543300" w:rsidRPr="00A671C6">
        <w:rPr>
          <w:color w:val="000000" w:themeColor="text1"/>
          <w:lang w:eastAsia="ru-RU"/>
        </w:rPr>
        <w:t>_</w:t>
      </w:r>
      <w:r w:rsidR="00543300" w:rsidRPr="00A671C6">
        <w:rPr>
          <w:color w:val="000000" w:themeColor="text1"/>
          <w:lang w:val="en-GB" w:eastAsia="ru-RU"/>
        </w:rPr>
        <w:t>SMTA</w:t>
      </w:r>
    </w:p>
    <w:p w:rsidR="00C8596F" w:rsidRPr="00A343D5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3B63C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12 апреля 2022</w:t>
      </w:r>
    </w:p>
    <w:p w:rsidR="00C8596F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:rsidR="00D50626" w:rsidRPr="00D50626" w:rsidRDefault="00D50626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Style w:val="tlid-translation"/>
          <w:rFonts w:cs="Times New Roman"/>
          <w:szCs w:val="24"/>
        </w:rPr>
      </w:pPr>
      <w:r>
        <w:rPr>
          <w:rStyle w:val="tlid-translation"/>
          <w:rFonts w:cs="Times New Roman"/>
          <w:szCs w:val="24"/>
        </w:rPr>
        <w:t>Информация недоступна.</w:t>
      </w:r>
    </w:p>
    <w:p w:rsidR="00A91FDE" w:rsidRPr="008501F4" w:rsidRDefault="00E33CA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D50626" w:rsidRDefault="00D50626" w:rsidP="00D50626">
      <w:pPr>
        <w:rPr>
          <w:shd w:val="clear" w:color="auto" w:fill="FFFFFF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D50626">
        <w:rPr>
          <w:shd w:val="clear" w:color="auto" w:fill="FFFFFF"/>
        </w:rPr>
        <w:t>Секретариат Конвенции о биологическом разнообразии</w:t>
      </w:r>
      <w:r w:rsidR="003B63C8">
        <w:rPr>
          <w:shd w:val="clear" w:color="auto" w:fill="FFFFFF"/>
        </w:rPr>
        <w:t xml:space="preserve"> (</w:t>
      </w:r>
      <w:r w:rsidR="003B63C8">
        <w:rPr>
          <w:shd w:val="clear" w:color="auto" w:fill="FFFFFF"/>
          <w:lang w:val="en-US"/>
        </w:rPr>
        <w:t>CBD</w:t>
      </w:r>
      <w:r w:rsidR="003B63C8" w:rsidRPr="003B63C8">
        <w:rPr>
          <w:shd w:val="clear" w:color="auto" w:fill="FFFFFF"/>
        </w:rPr>
        <w:t>)</w:t>
      </w:r>
    </w:p>
    <w:p w:rsidR="003B63C8" w:rsidRPr="003B63C8" w:rsidRDefault="003B63C8" w:rsidP="003B63C8">
      <w:pPr>
        <w:pStyle w:val="a0"/>
      </w:pP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D50626" w:rsidRDefault="00D50626" w:rsidP="00D50626">
      <w:pPr>
        <w:rPr>
          <w:shd w:val="clear" w:color="auto" w:fill="FFFFFF"/>
        </w:rPr>
      </w:pPr>
      <w:r w:rsidRPr="00D50626">
        <w:rPr>
          <w:shd w:val="clear" w:color="auto" w:fill="FFFFFF"/>
        </w:rPr>
        <w:lastRenderedPageBreak/>
        <w:t>Секретариат Конвенции о биологическом разнообразии</w:t>
      </w:r>
    </w:p>
    <w:p w:rsidR="0018458D" w:rsidRPr="002D493B" w:rsidRDefault="00957A62" w:rsidP="00953DBD">
      <w:pPr>
        <w:pStyle w:val="MHeader"/>
        <w:spacing w:after="120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 xml:space="preserve">2. Определения, </w:t>
      </w:r>
      <w:r w:rsidR="00A41B68" w:rsidRPr="002D493B">
        <w:rPr>
          <w:b/>
          <w:color w:val="auto"/>
          <w:sz w:val="24"/>
          <w:lang w:val="ru-RU"/>
        </w:rPr>
        <w:t>понятия</w:t>
      </w:r>
      <w:r w:rsidRPr="002D493B">
        <w:rPr>
          <w:b/>
          <w:color w:val="auto"/>
          <w:sz w:val="24"/>
          <w:lang w:val="ru-RU"/>
        </w:rPr>
        <w:t xml:space="preserve"> и классификации</w:t>
      </w:r>
    </w:p>
    <w:p w:rsidR="00953DBD" w:rsidRPr="00953DBD" w:rsidRDefault="00953DBD" w:rsidP="00953DBD">
      <w:pPr>
        <w:pStyle w:val="MHeader"/>
        <w:spacing w:after="120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2.a. Определения</w:t>
      </w:r>
      <w:r w:rsidRPr="00953DBD">
        <w:rPr>
          <w:b/>
          <w:color w:val="auto"/>
          <w:sz w:val="24"/>
          <w:lang w:val="ru-RU"/>
        </w:rPr>
        <w:t xml:space="preserve"> </w:t>
      </w:r>
      <w:r>
        <w:rPr>
          <w:b/>
          <w:color w:val="auto"/>
          <w:sz w:val="24"/>
          <w:lang w:val="ru-RU"/>
        </w:rPr>
        <w:t>и понятия</w:t>
      </w:r>
    </w:p>
    <w:p w:rsidR="002D493B" w:rsidRPr="002D493B" w:rsidRDefault="002D493B" w:rsidP="002D493B">
      <w:pPr>
        <w:rPr>
          <w:b/>
        </w:rPr>
      </w:pPr>
      <w:r w:rsidRPr="002D493B">
        <w:rPr>
          <w:b/>
        </w:rPr>
        <w:t>Определения</w:t>
      </w:r>
      <w:r w:rsidR="00953DBD">
        <w:rPr>
          <w:b/>
        </w:rPr>
        <w:t>:</w:t>
      </w:r>
    </w:p>
    <w:p w:rsidR="00986E8F" w:rsidRDefault="00986E8F" w:rsidP="00986E8F">
      <w:pPr>
        <w:spacing w:after="0"/>
      </w:pPr>
      <w:r>
        <w:t xml:space="preserve">Показатель определяется как количество стран, принявших законодательные, административные и политические рамки для обеспечения справедливого и равноправного распределения выгод. Речь идет об усилиях стран по реализации </w:t>
      </w:r>
      <w:proofErr w:type="spellStart"/>
      <w:r>
        <w:t>Нагойского</w:t>
      </w:r>
      <w:proofErr w:type="spellEnd"/>
      <w:r>
        <w:t xml:space="preserve"> протокола о доступе к генетическим ресурсам и справедливом и равноправном распределении выгод от их использования к Конвенции о биологическом разнообразии (2010 г.) и Международному договору о растительных генетических ресурсах для производства продовольствия и ведения сельского хозяйства. (2001).</w:t>
      </w:r>
    </w:p>
    <w:p w:rsidR="00986E8F" w:rsidRDefault="00986E8F" w:rsidP="00986E8F">
      <w:pPr>
        <w:spacing w:after="0"/>
      </w:pPr>
    </w:p>
    <w:p w:rsidR="00986E8F" w:rsidRDefault="00986E8F" w:rsidP="00986E8F">
      <w:pPr>
        <w:spacing w:after="0"/>
      </w:pPr>
      <w:proofErr w:type="spellStart"/>
      <w:r>
        <w:t>Нагойский</w:t>
      </w:r>
      <w:proofErr w:type="spellEnd"/>
      <w:r>
        <w:t xml:space="preserve"> протокол охватывает генетические ресурсы и традиционные знания, связанные с генетическими ресурсами, а также выгоды, возникающие в результате их использования, путем установления основных обязатель</w:t>
      </w:r>
      <w:proofErr w:type="gramStart"/>
      <w:r>
        <w:t>ств дл</w:t>
      </w:r>
      <w:proofErr w:type="gramEnd"/>
      <w:r>
        <w:t>я его договаривающихся сторон по принятию мер в отношении доступа, совместного использования выгод и соблюдения. Целями Международного договора являются сохранение и устойчивое использование генетических ресурсов растений для производства продовольствия и ведения сельского хозяйства, а также справедливое и равноправное распределение выгод, возникающих в результате их использования, в соответствии с Конвенцией о биологическом разнообразии.</w:t>
      </w:r>
    </w:p>
    <w:p w:rsidR="00986E8F" w:rsidRDefault="00986E8F" w:rsidP="00986E8F">
      <w:pPr>
        <w:spacing w:after="0"/>
      </w:pPr>
    </w:p>
    <w:p w:rsidR="00986E8F" w:rsidRDefault="00986E8F" w:rsidP="00986E8F">
      <w:pPr>
        <w:spacing w:after="0"/>
      </w:pPr>
      <w:r>
        <w:t xml:space="preserve">Протокол обеспечивает большую правовую определенность и </w:t>
      </w:r>
      <w:proofErr w:type="gramStart"/>
      <w:r>
        <w:t>прозрачность</w:t>
      </w:r>
      <w:proofErr w:type="gramEnd"/>
      <w:r>
        <w:t xml:space="preserve"> как для поставщиков, так и для пользователей генетических ресурсов и связанных с ними традиционных знаний и, следовательно, поощряет развитие исследований в области генетических ресурсов, которые могут привести к новым открытиям на благо всех.</w:t>
      </w:r>
    </w:p>
    <w:p w:rsidR="00986E8F" w:rsidRDefault="00986E8F" w:rsidP="00986E8F">
      <w:pPr>
        <w:spacing w:after="0"/>
      </w:pPr>
      <w:proofErr w:type="spellStart"/>
      <w:r>
        <w:t>Нагойский</w:t>
      </w:r>
      <w:proofErr w:type="spellEnd"/>
      <w:r>
        <w:t xml:space="preserve"> протокол также создает стимулы для сохранения и устойчивого использования генетических ресурсов и тем самым увеличивает вклад биоразнообразия в развитие и благополучие человека. Кроме того, Стороны Протокола должны поощрять пользователей и поставщиков направлять выгоды, получаемые от использования генетических ресурсов, на сохранение биологического разнообразия и устойчивое использование его компонентов.</w:t>
      </w:r>
    </w:p>
    <w:p w:rsidR="00986E8F" w:rsidRDefault="00986E8F" w:rsidP="00986E8F">
      <w:pPr>
        <w:spacing w:after="0"/>
      </w:pPr>
    </w:p>
    <w:p w:rsidR="00AE510C" w:rsidRDefault="00986E8F" w:rsidP="00986E8F">
      <w:pPr>
        <w:spacing w:after="0"/>
      </w:pPr>
      <w:r>
        <w:t xml:space="preserve">Международный договор создал Многостороннюю систему доступа и распределения выгод, </w:t>
      </w:r>
      <w:proofErr w:type="gramStart"/>
      <w:r>
        <w:t>которая</w:t>
      </w:r>
      <w:proofErr w:type="gramEnd"/>
      <w:r>
        <w:t xml:space="preserve"> облегчает обмен генетическими ресурсами растений для целей сельскохозяйственных исследований и селекции, чтобы способствовать устойчивому сельскому хозяйству и продовольственной безопасности, обеспечивая прозрачную и над</w:t>
      </w:r>
      <w:r w:rsidR="007A1B69">
        <w:t xml:space="preserve">ежную основу для обмена </w:t>
      </w:r>
      <w:r>
        <w:t>генетические ресурсы</w:t>
      </w:r>
      <w:r w:rsidR="007A1B69" w:rsidRPr="007A1B69">
        <w:t xml:space="preserve"> </w:t>
      </w:r>
      <w:r w:rsidR="007A1B69">
        <w:t>урожая</w:t>
      </w:r>
      <w:r>
        <w:t>. Многосторонняя система играет важную роль в обеспечении сохранения и устойчивого использования генетических ресурсов растений, а также справедливого и равноправного распределения выгод, возникающих в результате их использования. Стандартное соглашение о передаче материала является обязательным стандартным договором для сторон, желающих предоставлять и получать материалы в рамках Многосторонней системы.</w:t>
      </w:r>
    </w:p>
    <w:p w:rsidR="00986E8F" w:rsidRPr="00986E8F" w:rsidRDefault="00986E8F" w:rsidP="00986E8F">
      <w:pPr>
        <w:pStyle w:val="a0"/>
      </w:pPr>
    </w:p>
    <w:p w:rsidR="00407E4E" w:rsidRPr="006C10F0" w:rsidRDefault="00407E4E" w:rsidP="00C013D8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</w:t>
      </w:r>
      <w:r w:rsidRPr="006C10F0">
        <w:rPr>
          <w:b/>
          <w:color w:val="auto"/>
          <w:sz w:val="24"/>
          <w:szCs w:val="24"/>
          <w:lang w:val="ru-RU"/>
        </w:rPr>
        <w:t xml:space="preserve"> </w:t>
      </w:r>
      <w:r w:rsidRPr="00A343D5">
        <w:rPr>
          <w:b/>
          <w:color w:val="auto"/>
          <w:sz w:val="24"/>
          <w:szCs w:val="24"/>
          <w:lang w:val="ru-RU"/>
        </w:rPr>
        <w:t>измерения</w:t>
      </w:r>
    </w:p>
    <w:p w:rsidR="00D50626" w:rsidRPr="00D50626" w:rsidRDefault="00D50626" w:rsidP="00D50626">
      <w:r w:rsidRPr="00D50626">
        <w:t>Для серий данных ER CBD PTYPGRFA, ER CBD NAGOYA, ER CBD ORSPGRFA, CBD ABSCLRHS единицей измерения является количество стран.</w:t>
      </w:r>
    </w:p>
    <w:p w:rsidR="00D50626" w:rsidRDefault="00D50626" w:rsidP="00D50626">
      <w:r w:rsidRPr="00D50626">
        <w:t>Для серии данных ER CBD SMTA единицей измерения является количество SMTA.</w:t>
      </w:r>
    </w:p>
    <w:p w:rsidR="000A229E" w:rsidRDefault="000A229E" w:rsidP="00704A9B">
      <w:pPr>
        <w:pStyle w:val="MHeader2"/>
        <w:spacing w:after="0"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704A9B" w:rsidRDefault="00704A9B" w:rsidP="00704A9B">
      <w:pPr>
        <w:pStyle w:val="MHeader2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</w:p>
    <w:p w:rsidR="00704A9B" w:rsidRPr="00704A9B" w:rsidRDefault="00704A9B" w:rsidP="00704A9B">
      <w:pPr>
        <w:pStyle w:val="MHeader2"/>
        <w:spacing w:after="0" w:line="276" w:lineRule="auto"/>
        <w:rPr>
          <w:color w:val="auto"/>
          <w:sz w:val="24"/>
          <w:szCs w:val="24"/>
          <w:lang w:val="ru-RU"/>
        </w:rPr>
      </w:pP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4326FB" w:rsidRDefault="004326FB" w:rsidP="004326FB">
      <w:pPr>
        <w:spacing w:after="0"/>
      </w:pPr>
      <w:r>
        <w:t xml:space="preserve">Профили стран Механизма посредничества по доступу и распределению выгод: </w:t>
      </w:r>
      <w:hyperlink r:id="rId9" w:history="1">
        <w:r w:rsidRPr="00E510E5">
          <w:rPr>
            <w:rStyle w:val="ad"/>
          </w:rPr>
          <w:t>https://absch.cbd.int/en/countries</w:t>
        </w:r>
      </w:hyperlink>
    </w:p>
    <w:p w:rsidR="004326FB" w:rsidRPr="004326FB" w:rsidRDefault="004326FB" w:rsidP="004326FB">
      <w:pPr>
        <w:pStyle w:val="a0"/>
      </w:pPr>
    </w:p>
    <w:p w:rsidR="004326FB" w:rsidRDefault="004326FB" w:rsidP="004326FB">
      <w:pPr>
        <w:spacing w:after="0"/>
      </w:pPr>
      <w:r>
        <w:t xml:space="preserve">Система онлайн-отчетности о соблюдении Международного договора о ГРРПСХ, </w:t>
      </w:r>
      <w:hyperlink r:id="rId10" w:history="1">
        <w:r w:rsidRPr="00E510E5">
          <w:rPr>
            <w:rStyle w:val="ad"/>
          </w:rPr>
          <w:t>http://www.fao.org/plant-treaty/areas-of-work/compliance/compliance-reports/en/</w:t>
        </w:r>
      </w:hyperlink>
    </w:p>
    <w:p w:rsidR="004326FB" w:rsidRPr="004326FB" w:rsidRDefault="004326FB" w:rsidP="004326FB">
      <w:pPr>
        <w:pStyle w:val="a0"/>
      </w:pPr>
    </w:p>
    <w:p w:rsidR="00FC39AA" w:rsidRPr="00A671C6" w:rsidRDefault="004326FB" w:rsidP="004326FB">
      <w:pPr>
        <w:spacing w:after="0"/>
        <w:rPr>
          <w:lang w:val="en-US"/>
        </w:rPr>
      </w:pPr>
      <w:r w:rsidRPr="004326FB">
        <w:rPr>
          <w:lang w:val="en-US"/>
        </w:rPr>
        <w:t xml:space="preserve">Easy-SMTA, </w:t>
      </w:r>
      <w:hyperlink r:id="rId11" w:history="1">
        <w:r w:rsidRPr="00E510E5">
          <w:rPr>
            <w:rStyle w:val="ad"/>
            <w:lang w:val="en-US"/>
          </w:rPr>
          <w:t>https://mls.planttreaty.org</w:t>
        </w:r>
      </w:hyperlink>
    </w:p>
    <w:p w:rsidR="004326FB" w:rsidRPr="00A671C6" w:rsidRDefault="004326FB" w:rsidP="004326FB">
      <w:pPr>
        <w:pStyle w:val="a0"/>
        <w:rPr>
          <w:lang w:val="en-US"/>
        </w:rPr>
      </w:pPr>
    </w:p>
    <w:p w:rsidR="00995788" w:rsidRDefault="000A229E" w:rsidP="003424DF">
      <w:pPr>
        <w:pStyle w:val="MHeader"/>
        <w:rPr>
          <w:b/>
          <w:color w:val="auto"/>
          <w:sz w:val="24"/>
          <w:lang w:val="ru-RU"/>
        </w:rPr>
      </w:pPr>
      <w:r w:rsidRPr="00D50626">
        <w:rPr>
          <w:b/>
          <w:color w:val="auto"/>
          <w:sz w:val="24"/>
          <w:lang w:val="ru-RU"/>
        </w:rPr>
        <w:t>3.</w:t>
      </w:r>
      <w:r w:rsidRPr="003424DF">
        <w:rPr>
          <w:b/>
          <w:color w:val="auto"/>
          <w:sz w:val="24"/>
        </w:rPr>
        <w:t>b</w:t>
      </w:r>
      <w:r w:rsidRPr="00D50626">
        <w:rPr>
          <w:b/>
          <w:color w:val="auto"/>
          <w:sz w:val="24"/>
          <w:lang w:val="ru-RU"/>
        </w:rPr>
        <w:t>. Метод сбора данных</w:t>
      </w:r>
    </w:p>
    <w:p w:rsidR="004326FB" w:rsidRDefault="004326FB" w:rsidP="004326FB">
      <w:r>
        <w:t>Данные собираются с существующих онлайн-платформ двух инструментов (см. пункт 3.a выше).</w:t>
      </w:r>
    </w:p>
    <w:p w:rsidR="004326FB" w:rsidRDefault="004326FB" w:rsidP="004326FB"/>
    <w:p w:rsidR="004326FB" w:rsidRDefault="004326FB" w:rsidP="004326FB">
      <w:r>
        <w:t xml:space="preserve">В рамках Механизма посредничества по ДГРСИВ страна должна разработать и опубликовать общий формат законодательных, административных или политических мер. Общий формат можно скачать по следующей ссылке: </w:t>
      </w:r>
      <w:hyperlink r:id="rId12" w:history="1">
        <w:r w:rsidRPr="00E510E5">
          <w:rPr>
            <w:rStyle w:val="ad"/>
          </w:rPr>
          <w:t>https://www.cbd.int/abs/common-formats/en/ABSCH-MSR-en.doc</w:t>
        </w:r>
      </w:hyperlink>
      <w:r>
        <w:t>. Как только формат будет завершен, он будет опубликован в качестве национального отчета в Механизме посредничества по ДГРСИВ, и отныне страна будет считаться страной, в которой принята такая мера.</w:t>
      </w:r>
    </w:p>
    <w:p w:rsidR="00FC39AA" w:rsidRDefault="004326FB" w:rsidP="004326FB">
      <w:pPr>
        <w:spacing w:after="0"/>
      </w:pPr>
      <w:r>
        <w:t>По Международному договору страны (Договаривающиеся стороны) представляют национальный отчет о выполнении положений Международного договора в соответствии с процедурой соблюдения, используя стандартную форму отчетности. Представленные национальные отчеты доступны по следующей ссылке: https://www.fao.org/plant-treaty/areas-of-work/compliance/compliance-reports/en/</w:t>
      </w:r>
    </w:p>
    <w:p w:rsidR="004326FB" w:rsidRPr="004326FB" w:rsidRDefault="004326FB" w:rsidP="004326FB">
      <w:pPr>
        <w:pStyle w:val="a0"/>
      </w:pPr>
    </w:p>
    <w:p w:rsidR="009E707C" w:rsidRPr="003424DF" w:rsidRDefault="009E707C" w:rsidP="003424DF">
      <w:pPr>
        <w:pStyle w:val="MHeader"/>
        <w:rPr>
          <w:b/>
          <w:color w:val="auto"/>
          <w:sz w:val="24"/>
          <w:lang w:val="ru-RU"/>
        </w:rPr>
      </w:pPr>
      <w:r w:rsidRPr="003424DF">
        <w:rPr>
          <w:b/>
          <w:color w:val="auto"/>
          <w:sz w:val="24"/>
          <w:lang w:val="ru-RU"/>
        </w:rPr>
        <w:t>3.</w:t>
      </w:r>
      <w:r w:rsidR="00900860" w:rsidRPr="003424DF">
        <w:rPr>
          <w:b/>
          <w:color w:val="auto"/>
          <w:sz w:val="24"/>
          <w:lang w:val="ru-RU"/>
        </w:rPr>
        <w:t>с</w:t>
      </w:r>
      <w:r w:rsidRPr="003424DF">
        <w:rPr>
          <w:b/>
          <w:color w:val="auto"/>
          <w:sz w:val="24"/>
          <w:lang w:val="ru-RU"/>
        </w:rPr>
        <w:t>.</w:t>
      </w:r>
      <w:r w:rsidR="00900860" w:rsidRPr="003424DF">
        <w:rPr>
          <w:b/>
          <w:color w:val="auto"/>
          <w:sz w:val="24"/>
          <w:lang w:val="ru-RU"/>
        </w:rPr>
        <w:t xml:space="preserve"> </w:t>
      </w:r>
      <w:r w:rsidRPr="003424DF">
        <w:rPr>
          <w:b/>
          <w:color w:val="auto"/>
          <w:sz w:val="24"/>
          <w:lang w:val="ru-RU"/>
        </w:rPr>
        <w:t>Календарь сбора данных</w:t>
      </w:r>
    </w:p>
    <w:p w:rsidR="00FC39AA" w:rsidRDefault="005742A3" w:rsidP="00FC39AA">
      <w:r w:rsidRPr="005742A3">
        <w:t xml:space="preserve">Данные собираются на постоянной основе по мере поступления новой информации от стран (CBD ABSCLRHS и ER_CBD_ORSPGRFA) или пользователей генетических </w:t>
      </w:r>
      <w:r>
        <w:t>ресурсов растений (ER_CBD_SMTA)</w:t>
      </w:r>
      <w:r w:rsidR="00FC39AA" w:rsidRPr="00FC39AA">
        <w:t>.</w:t>
      </w:r>
    </w:p>
    <w:p w:rsidR="005742A3" w:rsidRDefault="005742A3" w:rsidP="005742A3">
      <w:pPr>
        <w:pStyle w:val="a0"/>
      </w:pPr>
    </w:p>
    <w:p w:rsidR="005742A3" w:rsidRDefault="005742A3" w:rsidP="005742A3">
      <w:pPr>
        <w:pStyle w:val="a0"/>
      </w:pPr>
    </w:p>
    <w:p w:rsidR="005742A3" w:rsidRPr="005742A3" w:rsidRDefault="005742A3" w:rsidP="005742A3">
      <w:pPr>
        <w:pStyle w:val="a0"/>
      </w:pPr>
    </w:p>
    <w:p w:rsidR="000A229E" w:rsidRDefault="009E707C" w:rsidP="00FC39AA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lastRenderedPageBreak/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FC39AA" w:rsidRDefault="005742A3" w:rsidP="00FC39AA">
      <w:r w:rsidRPr="005742A3">
        <w:t xml:space="preserve">Данные по </w:t>
      </w:r>
      <w:proofErr w:type="spellStart"/>
      <w:r w:rsidRPr="005742A3">
        <w:t>Нагойскому</w:t>
      </w:r>
      <w:proofErr w:type="spellEnd"/>
      <w:r w:rsidRPr="005742A3">
        <w:t xml:space="preserve"> протоколу и Международному договору собираются и предоставляются по состоянию на 15 февраля каждого года, чтобы соответствовать требованиям ежегодной отчетности по ЦУР.</w:t>
      </w:r>
    </w:p>
    <w:p w:rsidR="000A229E" w:rsidRPr="00A343D5" w:rsidRDefault="000A229E" w:rsidP="00FC39A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FC39AA" w:rsidRDefault="00FC39AA" w:rsidP="00FC39AA">
      <w:r w:rsidRPr="00FC39AA">
        <w:t>Издательские органы для Механизма посредничества для регулирования ДГРСИВ, назначенные национальными координационными центрами КБР или координационными центрами ДГРСИВ. Органами, издающими онлайн-систему отчетности о соблюдении Международного договора о ГРРПСХ, являются официально назначенные национальные координационные центры или назначенные органы отчетности.</w:t>
      </w:r>
    </w:p>
    <w:p w:rsidR="00350C2D" w:rsidRPr="002375D8" w:rsidRDefault="000A229E" w:rsidP="002375D8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2375D8" w:rsidRDefault="002375D8" w:rsidP="002375D8">
      <w:pPr>
        <w:pStyle w:val="a0"/>
      </w:pPr>
      <w:r w:rsidRPr="002375D8">
        <w:t>Секретариат Конвенции о биологическом разнообразии и Секретариат Международного договора о генетических ресурсах растений для производства продовольствия и ведения сельского хозяйства.</w:t>
      </w:r>
    </w:p>
    <w:p w:rsidR="002375D8" w:rsidRPr="002375D8" w:rsidRDefault="002375D8" w:rsidP="002375D8">
      <w:pPr>
        <w:pStyle w:val="a0"/>
      </w:pPr>
    </w:p>
    <w:p w:rsidR="000A229E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350C2D" w:rsidRPr="00350C2D" w:rsidRDefault="00350C2D" w:rsidP="002375D8">
      <w:pPr>
        <w:spacing w:after="120"/>
      </w:pPr>
      <w:r w:rsidRPr="00350C2D">
        <w:t xml:space="preserve">Механизм посредничества для регулирования ДГРСИВ - это платформа для обмена информацией о доступе к генетическим ресурсам и совместном использовании выгод, созданная в соответствии со статьей 14 Протокола. Механизм посредничества для регулирования ДГРСИВ является ключевым инструментом для содействия осуществлению </w:t>
      </w:r>
      <w:proofErr w:type="spellStart"/>
      <w:r w:rsidRPr="00350C2D">
        <w:t>Нагойского</w:t>
      </w:r>
      <w:proofErr w:type="spellEnd"/>
      <w:r w:rsidRPr="00350C2D">
        <w:t xml:space="preserve"> протокола путем повышения правовой определенности и прозрачности в отношении процедуры доступа и мониторинга использования генетических ресурсов в цепочке создания стоимости. Протокол требует, чтобы Стороны предоставляли информацию о законодательных, административных и политических мерах в Механизм посредничества для регулирования ДГРСИВ. Странам, не являющимся Сторонами, также рекомендуется предоставлять эту информацию таким же образом.</w:t>
      </w:r>
    </w:p>
    <w:p w:rsidR="00350C2D" w:rsidRPr="00350C2D" w:rsidRDefault="00350C2D" w:rsidP="00350C2D">
      <w:r w:rsidRPr="00350C2D">
        <w:t>В целях содействия соблюдению всех положений Международного договора, включая обязательства по доступу к генетическим ресурсам и совместному использованию выгод, а также для решения вопросов несоблюдения Управляющий орган Международного договора утвердил процедуры и рабочие механизмы своей резолюцией 2/2011. В соответствии с разделом V. 1 отмечается, что каждая Договаривающаяся сторона должна представить Комитету по соблюдению, учрежденному Управляющим органом резолюцией 3/2006, через Секретаря отчет о мерах, которые она приняла для выполнения своих обязательств по Международному соглашению. Договор на одном из шести языков ООН. Договаривающиеся стороны представили свой отчет, используя стандартную форму отчетности, утвержденную Управляющим органом, и направили его Секретарю. Секретариат Международного договора готовит анализ отчетов, полученных от Договаривающихся сторон, для рассмотрения Комитетом по соблюдению.</w:t>
      </w:r>
    </w:p>
    <w:p w:rsidR="00350C2D" w:rsidRPr="00350C2D" w:rsidRDefault="00350C2D" w:rsidP="00350C2D">
      <w:r w:rsidRPr="00350C2D">
        <w:t xml:space="preserve">Соответствующие резолюции Административного совета: </w:t>
      </w:r>
      <w:hyperlink r:id="rId13" w:history="1">
        <w:r w:rsidR="002375D8" w:rsidRPr="00E510E5">
          <w:rPr>
            <w:rStyle w:val="ad"/>
          </w:rPr>
          <w:t>http://www.fao.org/3/a-be452e.pdf</w:t>
        </w:r>
      </w:hyperlink>
      <w:r w:rsidRPr="00350C2D">
        <w:t xml:space="preserve"> (резолюция 2/2011); </w:t>
      </w:r>
      <w:hyperlink r:id="rId14" w:history="1">
        <w:r w:rsidR="002375D8" w:rsidRPr="00E510E5">
          <w:rPr>
            <w:rStyle w:val="ad"/>
          </w:rPr>
          <w:t>http://www.fao.org/3/a-mn566e.pdf</w:t>
        </w:r>
      </w:hyperlink>
      <w:r w:rsidRPr="00350C2D">
        <w:t xml:space="preserve"> (Резолюция 9/2013)</w:t>
      </w:r>
    </w:p>
    <w:p w:rsidR="00350C2D" w:rsidRDefault="00350C2D" w:rsidP="00350C2D">
      <w:r w:rsidRPr="00350C2D">
        <w:lastRenderedPageBreak/>
        <w:t>Что касается количества ССПМ, то Секретариат Международного договора разработал систему под названием «</w:t>
      </w:r>
      <w:proofErr w:type="spellStart"/>
      <w:r w:rsidRPr="00350C2D">
        <w:t>Easy</w:t>
      </w:r>
      <w:proofErr w:type="spellEnd"/>
      <w:r w:rsidRPr="00350C2D">
        <w:t>-SMTA» (ссылка представлена ​​в разделе 3. как Источники данных), чтобы помочь пользователям генетических ресурсов растений составлять и составлять ССПМ на шести официальных языках. Международного договора и отчетности о ССПМ, заключенных в соответствии с инструкциями Управляющего органа Международного договора.</w:t>
      </w:r>
    </w:p>
    <w:p w:rsidR="00543300" w:rsidRPr="00543300" w:rsidRDefault="00543300" w:rsidP="00543300">
      <w:pPr>
        <w:pStyle w:val="a0"/>
      </w:pPr>
    </w:p>
    <w:p w:rsidR="002E15F9" w:rsidRDefault="002E15F9" w:rsidP="00350C2D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D51C14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070599" w:rsidRDefault="00350C2D" w:rsidP="001E77AA">
      <w:pPr>
        <w:spacing w:after="0"/>
      </w:pPr>
      <w:proofErr w:type="spellStart"/>
      <w:r w:rsidRPr="00350C2D">
        <w:t>Нагойский</w:t>
      </w:r>
      <w:proofErr w:type="spellEnd"/>
      <w:r w:rsidRPr="00350C2D">
        <w:t xml:space="preserve"> протокол, который должен быть действующим, требует соблюдения определенных благоприятных условий на национальном уровне для его эффективного осуществления. В частности, странам потребуется, в зависимости от конкретных обстоятельств, пересмотреть законодательные, административные или политические меры, уже существующие или разработать новые меры в целях выполнения обязат</w:t>
      </w:r>
      <w:r w:rsidR="00070599">
        <w:t>ельств, изложенных в Протоколе.</w:t>
      </w:r>
    </w:p>
    <w:p w:rsidR="00350C2D" w:rsidRPr="00350C2D" w:rsidRDefault="00350C2D" w:rsidP="001E77AA">
      <w:pPr>
        <w:spacing w:after="0"/>
      </w:pPr>
      <w:proofErr w:type="gramStart"/>
      <w:r w:rsidRPr="00350C2D">
        <w:t xml:space="preserve">В частности, </w:t>
      </w:r>
      <w:proofErr w:type="spellStart"/>
      <w:r w:rsidRPr="00350C2D">
        <w:t>Нагойский</w:t>
      </w:r>
      <w:proofErr w:type="spellEnd"/>
      <w:r w:rsidRPr="00350C2D">
        <w:t xml:space="preserve"> протокол предусматривает, что Стороны должны принимать законодательные, административные или политические меры в соответствующих случаях, для обеспечения совместного использования на справедливой и равной основе выгод от использования генетических ресурсов, в том числе в отношении генетических ресурсов, которые содержатся общинами коренных народов, и выгод, связанных с использованием традиционных знаний, связанных с генетическими ресурсами.</w:t>
      </w:r>
      <w:proofErr w:type="gramEnd"/>
      <w:r w:rsidRPr="00350C2D">
        <w:t xml:space="preserve"> Механизм посредничества ДГРСИВ является платформой для обмена информацией о доступе к генетическим ресурсам и совместного использования выгод, учрежденный в соответствии со статьей 14 Протокола, Механизм посредничества ДГРСИВ является ключевым инструментом осуществления </w:t>
      </w:r>
      <w:proofErr w:type="spellStart"/>
      <w:r w:rsidRPr="00350C2D">
        <w:t>Нагойского</w:t>
      </w:r>
      <w:proofErr w:type="spellEnd"/>
      <w:r w:rsidRPr="00350C2D">
        <w:t xml:space="preserve"> протокола путем повышения правовой определенности и прозрачности процедур доступа и мониторинга использования генетических ресурсов по цепочке создания стоимости. Протокол требует от Сторон предоставлять информацию о законодательных, административных и политических мерах, доступных для Механизма посредничества ДГРСИВ. Государствам, не являющимся Сторонами, также предлагается предоставлять эту информацию в том же виде. Цель состоит в том, чтобы легко разрешить пользователям генетических ресурсов и связанных с ними традиционных знаний найти информацию о Механизме посредничества ДГРСИВ, о том, как получить доступ к этим ресурсам и знаниям в одном удобном для всех месте.</w:t>
      </w:r>
    </w:p>
    <w:p w:rsidR="00070599" w:rsidRDefault="00070599" w:rsidP="001E77AA">
      <w:pPr>
        <w:spacing w:after="0"/>
      </w:pPr>
      <w:r>
        <w:t>Международный договор предусматривает, что Договаривающиеся стороны обеспечивают соответствие своих законов, правил и процедур своим обязательствам по Международному договору (статья 4). В рамках Многосторонней системы доступа и распределения выгод (статьи 10–13) страны предоставляют друг другу облегченный доступ к некоторым своим генетическим ресурсам растений для производства продовольствия и ведения сельского хозяйства, а пользователям предлагается делиться своими выгодами с Многосторонней системой. Такие выгоды должны в первую очередь доставаться фермерам в развивающихся странах, которые способствуют сохранению и устойчивому использованию генетических ресурсов растений.</w:t>
      </w:r>
    </w:p>
    <w:p w:rsidR="00070599" w:rsidRDefault="00070599" w:rsidP="001E77AA">
      <w:pPr>
        <w:spacing w:after="0"/>
      </w:pPr>
    </w:p>
    <w:p w:rsidR="00070599" w:rsidRDefault="00070599" w:rsidP="001E77AA">
      <w:pPr>
        <w:spacing w:after="0"/>
      </w:pPr>
      <w:r>
        <w:lastRenderedPageBreak/>
        <w:t xml:space="preserve">В соответствии со статьей 21 Управляющий орган утвердил процедуры и оперативный механизм для содействия соблюдению и решения проблем несоблюдения. В рамках мониторинга и отчетности, предусмотренных Процедурами, каждой Договаривающейся стороне предлагается представить отчет о мерах, которые она приняла для выполнения своих обязательств по Международному договору, включая меры по доступу и совместному использованию выгод. Договаривающиеся стороны отчитываются в согласованном стандартном формате и через онлайн-систему отчетности о соблюдении. Кроме того, информация о количестве стандартных соглашений о передаче материала собирается из хранилища данных Международного договора через </w:t>
      </w:r>
      <w:proofErr w:type="spellStart"/>
      <w:r>
        <w:t>Easy</w:t>
      </w:r>
      <w:proofErr w:type="spellEnd"/>
      <w:r>
        <w:t>-SMTA. ССПМ – это обязательный контракт, который Договаривающиеся стороны Международного договора согласились использовать всякий раз, когда становятся доступными генетические ресурсы растений, подпадающие под Многостороннюю систему.</w:t>
      </w:r>
    </w:p>
    <w:p w:rsidR="00070599" w:rsidRDefault="00070599" w:rsidP="001E77AA">
      <w:pPr>
        <w:spacing w:after="0"/>
      </w:pPr>
    </w:p>
    <w:p w:rsidR="00350C2D" w:rsidRDefault="00070599" w:rsidP="001E77AA">
      <w:pPr>
        <w:spacing w:after="0"/>
      </w:pPr>
      <w:r>
        <w:t>Показатель 15.6.1 напрямую измеряет прогресс, достигнутый странами в создании законодательных, административных или политических рамок доступа и совместного использования выгод (ДРВ). Разрабатывая свои механизмы ДГРСИВ, страны вносят свой вклад в достижение задачи 15.6 ЦУР, а также в сохранение и устойчивое использование биологического и генетического разнообразия. Прогресс по этому показателю оценивается путем измерения увеличения числа стран, которые приняли законодательные, административные и политические меры ДГРСИВ и которые предоставили эту информацию в Механизм посредничества ДГРСИВ и через Систему онлайн-отчетности о соблюдении Международного договора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отношении генетических ресурсов растений для производства продовольствия и ведения сельского хозяйства.</w:t>
      </w:r>
    </w:p>
    <w:p w:rsidR="00070599" w:rsidRPr="00070599" w:rsidRDefault="00070599" w:rsidP="001E77AA">
      <w:pPr>
        <w:pStyle w:val="a0"/>
        <w:rPr>
          <w:u w:val="single"/>
        </w:rPr>
      </w:pPr>
      <w:r>
        <w:rPr>
          <w:u w:val="single"/>
        </w:rPr>
        <w:t>Показатель</w:t>
      </w:r>
      <w:r w:rsidRPr="00070599">
        <w:rPr>
          <w:u w:val="single"/>
        </w:rPr>
        <w:t xml:space="preserve"> состоит из 4 </w:t>
      </w:r>
      <w:r>
        <w:rPr>
          <w:u w:val="single"/>
        </w:rPr>
        <w:t>подпоказателей</w:t>
      </w:r>
      <w:r w:rsidRPr="00070599">
        <w:rPr>
          <w:u w:val="single"/>
        </w:rPr>
        <w:t>:</w:t>
      </w:r>
    </w:p>
    <w:p w:rsidR="00070599" w:rsidRDefault="00070599" w:rsidP="001E77AA">
      <w:pPr>
        <w:pStyle w:val="a0"/>
        <w:numPr>
          <w:ilvl w:val="0"/>
          <w:numId w:val="23"/>
        </w:numPr>
      </w:pPr>
      <w:r>
        <w:t>Страны, являющиеся Договаривающимися сторонами Международного договора о генетических ресурсах растений для производства продовольствия и ведения сельского хозяйства;</w:t>
      </w:r>
    </w:p>
    <w:p w:rsidR="00070599" w:rsidRDefault="00070599" w:rsidP="001E77AA">
      <w:pPr>
        <w:pStyle w:val="a0"/>
        <w:numPr>
          <w:ilvl w:val="0"/>
          <w:numId w:val="23"/>
        </w:numPr>
      </w:pPr>
      <w:r>
        <w:t xml:space="preserve">Страны, являющиеся Сторонами </w:t>
      </w:r>
      <w:proofErr w:type="spellStart"/>
      <w:r>
        <w:t>Нагойского</w:t>
      </w:r>
      <w:proofErr w:type="spellEnd"/>
      <w:r>
        <w:t xml:space="preserve"> протокола к Конвенции о биологическом разнообразии;</w:t>
      </w:r>
    </w:p>
    <w:p w:rsidR="00070599" w:rsidRDefault="00070599" w:rsidP="001E77AA">
      <w:pPr>
        <w:pStyle w:val="a0"/>
        <w:numPr>
          <w:ilvl w:val="0"/>
          <w:numId w:val="23"/>
        </w:numPr>
      </w:pPr>
      <w:r>
        <w:t>Страны, принявшие законодательные, административные и политические меры, сообщили через Интернет-систему отчетности о соблюдении Международного договора о генетических ресурсах растений для производства продовольствия и ведения сельского хозяйства;</w:t>
      </w:r>
    </w:p>
    <w:p w:rsidR="00070599" w:rsidRDefault="00070599" w:rsidP="001E77AA">
      <w:pPr>
        <w:pStyle w:val="a0"/>
        <w:numPr>
          <w:ilvl w:val="0"/>
          <w:numId w:val="23"/>
        </w:numPr>
      </w:pPr>
      <w:r>
        <w:t>Страны, принявшие законодательные, административные или политические меры, сообщили в Механизм посредничества по доступу и распределению выгод Секретариата Конвенции о биологическом разнообразии;</w:t>
      </w:r>
    </w:p>
    <w:p w:rsidR="00070599" w:rsidRDefault="00070599" w:rsidP="00070599">
      <w:pPr>
        <w:pStyle w:val="a0"/>
      </w:pPr>
    </w:p>
    <w:p w:rsidR="00070599" w:rsidRPr="00070599" w:rsidRDefault="00070599" w:rsidP="00070599">
      <w:pPr>
        <w:pStyle w:val="a0"/>
        <w:spacing w:after="120"/>
      </w:pPr>
      <w:proofErr w:type="gramStart"/>
      <w:r>
        <w:t>Дополнительный</w:t>
      </w:r>
      <w:proofErr w:type="gramEnd"/>
      <w:r>
        <w:t xml:space="preserve"> подпоказатель предоставляет дополнительную информацию о количестве стандартных соглашений о передаче материала (ССПМ), по которым осуществляется передача генетических ресурсов растений для производства продовольствия и ведения сельского хозяйства, по странам.</w:t>
      </w:r>
    </w:p>
    <w:p w:rsidR="002E15F9" w:rsidRPr="00A343D5" w:rsidRDefault="002E15F9" w:rsidP="00350C2D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350C2D" w:rsidRPr="00350C2D" w:rsidRDefault="00350C2D" w:rsidP="00350C2D">
      <w:r w:rsidRPr="00350C2D">
        <w:t>Показатель может использоваться для измерения прогресса в принятии законодательных, административных и политических рамок Механизма посредничества ДГРСИВ с течением времени.</w:t>
      </w:r>
    </w:p>
    <w:p w:rsidR="001E77AA" w:rsidRDefault="001E77AA" w:rsidP="001E77AA">
      <w:r>
        <w:lastRenderedPageBreak/>
        <w:t>Этот показатель не оценивает масштабы и эффективность законодательных, административных и политических рамок ДГРСИВ.</w:t>
      </w:r>
    </w:p>
    <w:p w:rsidR="001E77AA" w:rsidRDefault="001E77AA" w:rsidP="001E77AA"/>
    <w:p w:rsidR="00350C2D" w:rsidRDefault="001E77AA" w:rsidP="001E77AA">
      <w:r>
        <w:t>Понятие структуры предполагает, что существует полный набор правил, установленных в отношении доступа и совместного использования выгод. Однако трудно иметь заранее определенное представление о том, что представляет собой структура ДГРСИВ. В контексте этого показателя публикация страной одной или нескольких законодательных, административных и политических мер по ДГРСИВ в Механизме посредничества по ДГРСИВ будет считаться прогрессом этой страны в создании законодательной, административной и политической базы ДГРСИВ, а также посредством Система онлайн-отчетности о соблюдении Международного договора в отношении генетических ресурсов растений для производства продовольствия и ведения сельского хозяйства.</w:t>
      </w:r>
    </w:p>
    <w:p w:rsidR="00D273C6" w:rsidRDefault="002E15F9" w:rsidP="00350C2D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4F3B53">
        <w:rPr>
          <w:color w:val="auto"/>
          <w:sz w:val="24"/>
          <w:szCs w:val="24"/>
          <w:lang w:val="ru-RU"/>
        </w:rPr>
        <w:t xml:space="preserve">. </w:t>
      </w:r>
      <w:r w:rsidR="00CA1CB1" w:rsidRPr="004F3B53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8501F4">
        <w:rPr>
          <w:color w:val="auto"/>
          <w:sz w:val="24"/>
          <w:szCs w:val="24"/>
          <w:lang w:val="ru-RU"/>
        </w:rPr>
        <w:t xml:space="preserve"> </w:t>
      </w:r>
    </w:p>
    <w:p w:rsidR="00BE64C1" w:rsidRDefault="00BE64C1" w:rsidP="00BE64C1">
      <w:r>
        <w:t>Для ABSCLRHS КБР показатель рассчитывается на основе национальной информации, предоставляемой Механизму посредничества по вопросам доступа и распределения выгод. Если страна опубликовала хотя бы одну законодательную, административную или политическую меру для обеспечения справедливого и равноправного распределения выгод, составители данных укажут 1 (1 = ДА). Для ER_CBD_ORSPGRFA метод расчета тот же, но рассчитывается на основе информации из национальных отчетов, представляемых в Секретариат Международного договора о ГРРПСХ.</w:t>
      </w:r>
    </w:p>
    <w:p w:rsidR="00BE64C1" w:rsidRDefault="00BE64C1" w:rsidP="00BE64C1"/>
    <w:p w:rsidR="00BE64C1" w:rsidRDefault="00BE64C1" w:rsidP="00BE64C1">
      <w:r>
        <w:t xml:space="preserve">Для ER_CBD_NAGOYA и ER_CBD_PTYPGRFA показатель рассчитывается на основе статуса ратификаций </w:t>
      </w:r>
      <w:proofErr w:type="spellStart"/>
      <w:r>
        <w:t>Нагойского</w:t>
      </w:r>
      <w:proofErr w:type="spellEnd"/>
      <w:r>
        <w:t xml:space="preserve"> протокола и Международного договора о ГРРПСХ соответственно. Если страна </w:t>
      </w:r>
      <w:proofErr w:type="gramStart"/>
      <w:r>
        <w:t>ратифицировала</w:t>
      </w:r>
      <w:proofErr w:type="gramEnd"/>
      <w:r>
        <w:t>/присоединилась/приняла соответствующий договор, составители данных укажут 1 (1=ДА).</w:t>
      </w:r>
    </w:p>
    <w:p w:rsidR="00BE64C1" w:rsidRDefault="00BE64C1" w:rsidP="00BE64C1"/>
    <w:p w:rsidR="00350C2D" w:rsidRDefault="00BE64C1" w:rsidP="00BE64C1">
      <w:r>
        <w:t xml:space="preserve">Для ER_CBD_SMTA (дополнительный </w:t>
      </w:r>
      <w:proofErr w:type="spellStart"/>
      <w:r>
        <w:t>субиндикатор</w:t>
      </w:r>
      <w:proofErr w:type="spellEnd"/>
      <w:r>
        <w:t xml:space="preserve">) показатель рассчитывается на основе информации, генерируемой с помощью платформы </w:t>
      </w:r>
      <w:proofErr w:type="spellStart"/>
      <w:r>
        <w:t>Easy</w:t>
      </w:r>
      <w:proofErr w:type="spellEnd"/>
      <w:r>
        <w:t xml:space="preserve">-SMTA. Данные представляют собой количество SMTA, сообщенное через онлайн-систему </w:t>
      </w:r>
      <w:proofErr w:type="spellStart"/>
      <w:r>
        <w:t>Easy</w:t>
      </w:r>
      <w:proofErr w:type="spellEnd"/>
      <w:r>
        <w:t>-SMTA для каждой страны. ССПМ представляет собой обязательный контракт, который Договаривающиеся стороны Международного договора согласились использовать всякий раз, когда генетические ресурсы растений, подпадающие под Многостороннюю систему, становятся доступными посредством передачи.</w:t>
      </w:r>
    </w:p>
    <w:p w:rsidR="002E15F9" w:rsidRPr="00A671C6" w:rsidRDefault="002E15F9" w:rsidP="00F947E9">
      <w:pPr>
        <w:pStyle w:val="MHeader2"/>
        <w:rPr>
          <w:b/>
          <w:color w:val="auto"/>
          <w:sz w:val="24"/>
          <w:lang w:val="ru-RU"/>
        </w:rPr>
      </w:pPr>
      <w:r w:rsidRPr="00A671C6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A671C6">
        <w:rPr>
          <w:b/>
          <w:color w:val="auto"/>
          <w:sz w:val="24"/>
          <w:lang w:val="ru-RU"/>
        </w:rPr>
        <w:t xml:space="preserve">. </w:t>
      </w:r>
      <w:proofErr w:type="spellStart"/>
      <w:r w:rsidR="00694160" w:rsidRPr="00FE175E">
        <w:rPr>
          <w:b/>
          <w:color w:val="auto"/>
          <w:sz w:val="24"/>
          <w:lang w:val="ru-RU"/>
        </w:rPr>
        <w:t>Валидация</w:t>
      </w:r>
      <w:proofErr w:type="spellEnd"/>
    </w:p>
    <w:p w:rsidR="00C947E6" w:rsidRDefault="00C947E6" w:rsidP="00C947E6">
      <w:r>
        <w:t xml:space="preserve">Данные </w:t>
      </w:r>
      <w:proofErr w:type="spellStart"/>
      <w:r>
        <w:t>субпоказателя</w:t>
      </w:r>
      <w:proofErr w:type="spellEnd"/>
      <w:r>
        <w:t xml:space="preserve"> можно проверить независимо, посетив следующие веб-сайты:</w:t>
      </w:r>
    </w:p>
    <w:p w:rsidR="00C947E6" w:rsidRDefault="00C947E6" w:rsidP="00C947E6">
      <w:r>
        <w:t>- ER_CBD_PTYPGRFA: Веб-сайт Международного договора о ГРРПСХ (http://www.fao.org/plant-treaty/countries/membership/en/)</w:t>
      </w:r>
    </w:p>
    <w:p w:rsidR="00C947E6" w:rsidRDefault="00C947E6" w:rsidP="00C947E6">
      <w:r>
        <w:t>- ER_CBD_NAGOYA: Сборник договоров Организации Объединенных Наций (</w:t>
      </w:r>
      <w:hyperlink r:id="rId15" w:history="1">
        <w:r w:rsidRPr="00E510E5">
          <w:rPr>
            <w:rStyle w:val="ad"/>
          </w:rPr>
          <w:t>https://treaties.un.org/Pages/ViewDetails.aspx?src=TREATY&amp;mtdsg_no=XXVII-8-b&amp;chapter=27</w:t>
        </w:r>
      </w:hyperlink>
      <w:r>
        <w:t>)</w:t>
      </w:r>
    </w:p>
    <w:p w:rsidR="00C947E6" w:rsidRDefault="00C947E6" w:rsidP="00C947E6">
      <w:r>
        <w:lastRenderedPageBreak/>
        <w:t>- CBD ABSCLRHS: Профили стран Механизма посредничества по доступу и распределению выгод (</w:t>
      </w:r>
      <w:hyperlink r:id="rId16" w:history="1">
        <w:r w:rsidRPr="00E510E5">
          <w:rPr>
            <w:rStyle w:val="ad"/>
          </w:rPr>
          <w:t>https://absch.cbd.int/countries</w:t>
        </w:r>
      </w:hyperlink>
      <w:r>
        <w:t>)</w:t>
      </w:r>
    </w:p>
    <w:p w:rsidR="00C947E6" w:rsidRDefault="00C947E6" w:rsidP="00C947E6">
      <w:r>
        <w:t>- ER_CBD_ORSPGRFA: Национальные отчеты Международного договора (</w:t>
      </w:r>
      <w:hyperlink r:id="rId17" w:history="1">
        <w:r w:rsidRPr="00E510E5">
          <w:rPr>
            <w:rStyle w:val="ad"/>
          </w:rPr>
          <w:t>http://www.fao.org/plant-treaty/areas-of-work/compliance/compliance-reports/en/</w:t>
        </w:r>
      </w:hyperlink>
      <w:r>
        <w:t>)</w:t>
      </w:r>
    </w:p>
    <w:p w:rsidR="00C947E6" w:rsidRPr="00C947E6" w:rsidRDefault="00C947E6" w:rsidP="00C947E6">
      <w:pPr>
        <w:spacing w:after="0"/>
        <w:rPr>
          <w:lang w:val="en-US"/>
        </w:rPr>
      </w:pPr>
      <w:r w:rsidRPr="00C947E6">
        <w:rPr>
          <w:lang w:val="en-US"/>
        </w:rPr>
        <w:t>- ER_CBD_SMTA: Easy-SMTA (</w:t>
      </w:r>
      <w:hyperlink r:id="rId18" w:history="1">
        <w:r w:rsidRPr="00E510E5">
          <w:rPr>
            <w:rStyle w:val="ad"/>
            <w:lang w:val="en-US"/>
          </w:rPr>
          <w:t>https://mls.planttreaty.org</w:t>
        </w:r>
      </w:hyperlink>
      <w:r w:rsidRPr="00C947E6">
        <w:rPr>
          <w:lang w:val="en-US"/>
        </w:rPr>
        <w:t>)</w:t>
      </w:r>
    </w:p>
    <w:p w:rsidR="00C947E6" w:rsidRPr="00C947E6" w:rsidRDefault="00C947E6" w:rsidP="00C947E6">
      <w:pPr>
        <w:spacing w:after="0"/>
        <w:rPr>
          <w:lang w:val="en-US"/>
        </w:rPr>
      </w:pPr>
    </w:p>
    <w:p w:rsidR="008275D7" w:rsidRDefault="00C947E6" w:rsidP="00C947E6">
      <w:r>
        <w:t xml:space="preserve">Поскольку эти </w:t>
      </w:r>
      <w:proofErr w:type="spellStart"/>
      <w:r>
        <w:t>подпоказатели</w:t>
      </w:r>
      <w:proofErr w:type="spellEnd"/>
      <w:r>
        <w:t xml:space="preserve"> основаны на информации, представленной на национальном уровне, не требуется дополнительных консультаций или процесса проверки с национальными координаторами или органами власти.</w:t>
      </w:r>
    </w:p>
    <w:p w:rsidR="007B6F97" w:rsidRPr="007B6F97" w:rsidRDefault="007B6F97" w:rsidP="007B6F97">
      <w:pPr>
        <w:pStyle w:val="a0"/>
      </w:pPr>
    </w:p>
    <w:p w:rsidR="002E15F9" w:rsidRDefault="008275D7" w:rsidP="00350C2D">
      <w:pPr>
        <w:rPr>
          <w:rStyle w:val="MHeaderChar"/>
          <w:rFonts w:eastAsiaTheme="minorHAnsi"/>
          <w:b/>
          <w:color w:val="auto"/>
          <w:sz w:val="24"/>
          <w:lang w:val="ru-RU"/>
        </w:rPr>
      </w:pPr>
      <w:r w:rsidRPr="008275D7">
        <w:rPr>
          <w:rStyle w:val="MHeaderChar"/>
          <w:rFonts w:eastAsiaTheme="minorHAnsi"/>
          <w:b/>
          <w:color w:val="auto"/>
          <w:sz w:val="24"/>
          <w:lang w:val="ru-RU"/>
        </w:rPr>
        <w:t xml:space="preserve">4.е. </w:t>
      </w:r>
      <w:r w:rsidR="00694160" w:rsidRPr="008275D7">
        <w:rPr>
          <w:rStyle w:val="MHeaderChar"/>
          <w:rFonts w:eastAsiaTheme="minorHAnsi"/>
          <w:b/>
          <w:color w:val="auto"/>
          <w:sz w:val="24"/>
          <w:lang w:val="ru-RU"/>
        </w:rPr>
        <w:t>Корректировки</w:t>
      </w:r>
    </w:p>
    <w:p w:rsidR="00C066FE" w:rsidRDefault="00C066FE" w:rsidP="00C066FE">
      <w:pPr>
        <w:pStyle w:val="a0"/>
        <w:rPr>
          <w:lang w:eastAsia="en-GB"/>
        </w:rPr>
      </w:pPr>
      <w:r>
        <w:rPr>
          <w:lang w:eastAsia="en-GB"/>
        </w:rPr>
        <w:t xml:space="preserve">Для CBD ABSCLRHS и ER_CBD_NAGOYA, а также ER_CBD_PTYPGRFA и ER_CBD_ORSPGRFA составителям данных необходимо вычесть Европейский Союз из региональных и глобальных агрегированных данных. Европейский Союз является стороной </w:t>
      </w:r>
      <w:proofErr w:type="spellStart"/>
      <w:r>
        <w:rPr>
          <w:lang w:eastAsia="en-GB"/>
        </w:rPr>
        <w:t>Нагойского</w:t>
      </w:r>
      <w:proofErr w:type="spellEnd"/>
      <w:r>
        <w:rPr>
          <w:lang w:eastAsia="en-GB"/>
        </w:rPr>
        <w:t xml:space="preserve"> протокола и Международного договора, но не учитывается в качестве страны по этим показателям.</w:t>
      </w:r>
    </w:p>
    <w:p w:rsidR="00C066FE" w:rsidRDefault="00C066FE" w:rsidP="00C066FE">
      <w:pPr>
        <w:pStyle w:val="a0"/>
        <w:rPr>
          <w:lang w:eastAsia="en-GB"/>
        </w:rPr>
      </w:pPr>
    </w:p>
    <w:p w:rsidR="00C066FE" w:rsidRDefault="00C066FE" w:rsidP="00C066FE">
      <w:pPr>
        <w:pStyle w:val="a0"/>
        <w:rPr>
          <w:lang w:eastAsia="en-GB"/>
        </w:rPr>
      </w:pPr>
      <w:r>
        <w:rPr>
          <w:lang w:eastAsia="en-GB"/>
        </w:rPr>
        <w:t>Для ER_CBD_SMTA SMTA является частным контрактом, поэтому о нем сообщают пользователи, а не государственный координатор. У пользователей также есть двухлетний период для представления своих ССПМ, и поэтому число, сообщаемое за конкретный год, будет фиксированным через два года (также может измениться в течение двух лет).</w:t>
      </w:r>
    </w:p>
    <w:p w:rsidR="00C066FE" w:rsidRPr="00C066FE" w:rsidRDefault="00C066FE" w:rsidP="00C066FE">
      <w:pPr>
        <w:pStyle w:val="a0"/>
        <w:rPr>
          <w:lang w:eastAsia="en-GB"/>
        </w:rPr>
      </w:pPr>
    </w:p>
    <w:p w:rsidR="002E15F9" w:rsidRPr="00A343D5" w:rsidRDefault="002E15F9" w:rsidP="00A343D5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343D5">
        <w:rPr>
          <w:b/>
          <w:color w:val="auto"/>
          <w:sz w:val="24"/>
          <w:szCs w:val="24"/>
        </w:rPr>
        <w:t>i</w:t>
      </w:r>
      <w:proofErr w:type="spellEnd"/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FF1BAD" w:rsidRPr="00C066FE" w:rsidRDefault="00FF1BAD" w:rsidP="00C066FE">
      <w:pPr>
        <w:pStyle w:val="ac"/>
        <w:numPr>
          <w:ilvl w:val="0"/>
          <w:numId w:val="24"/>
        </w:numPr>
        <w:rPr>
          <w:b/>
        </w:rPr>
      </w:pPr>
      <w:r w:rsidRPr="00C066FE">
        <w:rPr>
          <w:b/>
        </w:rPr>
        <w:t xml:space="preserve">На </w:t>
      </w:r>
      <w:r w:rsidR="00C066FE">
        <w:rPr>
          <w:b/>
        </w:rPr>
        <w:t>страновом уровне</w:t>
      </w:r>
      <w:r w:rsidR="00C066FE" w:rsidRPr="00C066FE">
        <w:rPr>
          <w:b/>
        </w:rPr>
        <w:t>:</w:t>
      </w:r>
    </w:p>
    <w:p w:rsidR="008275D7" w:rsidRDefault="00C066FE" w:rsidP="0033081A">
      <w:r w:rsidRPr="00C066FE">
        <w:t>Что касается количества ССПМ, данные представляют собой количество ССПМ, сообщенное через онлайн-систему Международного договора (</w:t>
      </w:r>
      <w:proofErr w:type="spellStart"/>
      <w:r w:rsidRPr="00C066FE">
        <w:t>Easy</w:t>
      </w:r>
      <w:proofErr w:type="spellEnd"/>
      <w:r w:rsidRPr="00C066FE">
        <w:t>-SMTA) для каждой страны, тогда как фактическое количество выпущенных (подписанных) ССПМ может быть выше, поскольку все подписанные ССПМ могут быть выше</w:t>
      </w:r>
      <w:proofErr w:type="gramStart"/>
      <w:r w:rsidRPr="00C066FE">
        <w:t>.</w:t>
      </w:r>
      <w:proofErr w:type="gramEnd"/>
      <w:r w:rsidRPr="00C066FE">
        <w:t xml:space="preserve"> </w:t>
      </w:r>
      <w:proofErr w:type="gramStart"/>
      <w:r w:rsidRPr="00C066FE">
        <w:t>н</w:t>
      </w:r>
      <w:proofErr w:type="gramEnd"/>
      <w:r w:rsidRPr="00C066FE">
        <w:t>е сообщается через онлайн-систему и, следовательно, не регистрируется.</w:t>
      </w:r>
    </w:p>
    <w:p w:rsidR="00C066FE" w:rsidRDefault="00FF1BAD" w:rsidP="00C066FE">
      <w:pPr>
        <w:pStyle w:val="ac"/>
        <w:numPr>
          <w:ilvl w:val="0"/>
          <w:numId w:val="24"/>
        </w:numPr>
        <w:spacing w:after="0"/>
        <w:ind w:left="714" w:hanging="357"/>
        <w:rPr>
          <w:b/>
        </w:rPr>
      </w:pPr>
      <w:r w:rsidRPr="00C066FE">
        <w:rPr>
          <w:b/>
        </w:rPr>
        <w:t>На региональном и глобальном уровнях</w:t>
      </w:r>
    </w:p>
    <w:p w:rsidR="00C066FE" w:rsidRPr="00C066FE" w:rsidRDefault="00C066FE" w:rsidP="00C066FE">
      <w:pPr>
        <w:spacing w:after="0"/>
        <w:ind w:left="357"/>
        <w:rPr>
          <w:b/>
        </w:rPr>
      </w:pPr>
    </w:p>
    <w:p w:rsidR="002E15F9" w:rsidRDefault="002E15F9" w:rsidP="00083D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A343D5">
        <w:rPr>
          <w:color w:val="auto"/>
          <w:sz w:val="24"/>
          <w:szCs w:val="24"/>
          <w:lang w:val="ru-RU"/>
        </w:rPr>
        <w:t xml:space="preserve"> </w:t>
      </w:r>
    </w:p>
    <w:p w:rsidR="0055604B" w:rsidRDefault="0055604B" w:rsidP="0092659A">
      <w:pPr>
        <w:rPr>
          <w:szCs w:val="24"/>
        </w:rPr>
      </w:pPr>
      <w:r w:rsidRPr="0055604B">
        <w:rPr>
          <w:szCs w:val="24"/>
        </w:rPr>
        <w:t>Для CBD ABSCLRHS и ER_CBD_NAGOYA региональные агрегированные данные могут быть созданы с использованием соответствующих фильтров на странице «Профили стран» Механизма посредничества по доступу и распределению выгод. Эти фильтры соответствуют региональным группам ООН. ER_CBD_PTYPGRFA, ER_CBD_ORSPGRFA и ER_CBD_SMTA, агрегированные на региональном уровне данные, предоставляются каждый год в соответствии с требованиями отчетности по показателям ЦУР ООН.</w:t>
      </w:r>
    </w:p>
    <w:p w:rsidR="0055604B" w:rsidRPr="0055604B" w:rsidRDefault="0055604B" w:rsidP="0055604B">
      <w:pPr>
        <w:pStyle w:val="a0"/>
      </w:pPr>
    </w:p>
    <w:p w:rsidR="00F56853" w:rsidRPr="00436030" w:rsidRDefault="002E15F9" w:rsidP="0092659A">
      <w:r w:rsidRPr="00A343D5">
        <w:rPr>
          <w:szCs w:val="24"/>
        </w:rPr>
        <w:t xml:space="preserve">4.h. </w:t>
      </w:r>
      <w:r w:rsidR="00E27922" w:rsidRPr="00A343D5">
        <w:rPr>
          <w:b/>
          <w:szCs w:val="24"/>
        </w:rPr>
        <w:t>Доступные странам методы для сбора данных на национальном уровне</w:t>
      </w:r>
    </w:p>
    <w:p w:rsidR="0055604B" w:rsidRPr="0055604B" w:rsidRDefault="0055604B" w:rsidP="0055604B">
      <w:pPr>
        <w:pStyle w:val="MHeader"/>
        <w:rPr>
          <w:color w:val="auto"/>
          <w:sz w:val="24"/>
          <w:lang w:val="ru-RU"/>
        </w:rPr>
      </w:pPr>
      <w:proofErr w:type="spellStart"/>
      <w:r w:rsidRPr="0055604B">
        <w:rPr>
          <w:color w:val="auto"/>
          <w:sz w:val="24"/>
          <w:lang w:val="ru-RU"/>
        </w:rPr>
        <w:t>Нагойский</w:t>
      </w:r>
      <w:proofErr w:type="spellEnd"/>
      <w:r w:rsidRPr="0055604B">
        <w:rPr>
          <w:color w:val="auto"/>
          <w:sz w:val="24"/>
          <w:lang w:val="ru-RU"/>
        </w:rPr>
        <w:t xml:space="preserve"> протокол требует от своих Сторон предоставлять определенные виды информации в Механизм посредничества по доступу и совместному использованию </w:t>
      </w:r>
      <w:r w:rsidRPr="0055604B">
        <w:rPr>
          <w:color w:val="auto"/>
          <w:sz w:val="24"/>
          <w:lang w:val="ru-RU"/>
        </w:rPr>
        <w:lastRenderedPageBreak/>
        <w:t xml:space="preserve">выгод, включая информацию о законодательных, административных или политических мерах, действующих в отношении доступа и совместного использования выгод. Дополнительную информацию об этом требовании и о шагах по публикации информации в Информационном центре можно найти по адресу: </w:t>
      </w:r>
      <w:hyperlink r:id="rId19" w:history="1">
        <w:r w:rsidRPr="00E510E5">
          <w:rPr>
            <w:rStyle w:val="ad"/>
            <w:sz w:val="24"/>
            <w:lang w:val="ru-RU"/>
          </w:rPr>
          <w:t>https://absch.cbd.int/en/kb/tags/getting-started/Getting-started-using-the-ABS-. Информационная палата для правительств/5bbe211fb899670001de9bb9</w:t>
        </w:r>
      </w:hyperlink>
      <w:r w:rsidRPr="0055604B">
        <w:rPr>
          <w:color w:val="auto"/>
          <w:sz w:val="24"/>
          <w:lang w:val="ru-RU"/>
        </w:rPr>
        <w:t>.</w:t>
      </w:r>
    </w:p>
    <w:p w:rsidR="0055604B" w:rsidRPr="0055604B" w:rsidRDefault="0055604B" w:rsidP="0055604B">
      <w:pPr>
        <w:pStyle w:val="MHeader"/>
        <w:rPr>
          <w:color w:val="auto"/>
          <w:sz w:val="24"/>
          <w:lang w:val="ru-RU"/>
        </w:rPr>
      </w:pPr>
      <w:r w:rsidRPr="0055604B">
        <w:rPr>
          <w:color w:val="auto"/>
          <w:sz w:val="24"/>
          <w:lang w:val="ru-RU"/>
        </w:rPr>
        <w:t>В Международном договоре предусмотрены процедуры содействия соблюдению и решения проблем несоблюдения. В рамках мониторинга и отчетности, предусмотренных Процедурами, каждой Договаривающейся стороне предлагается представить отчет о мерах, которые она приняла для выполнения своих обязательств по Международному договору, включая меры по доступу и совместному использованию выгод. Договаривающиеся стороны отчитываются в согласованном стандартном формате и через онлайн-систему отчетности о соблюдении. Ссылка ниже на веб-сайте Международного договора предоставляет соответствующую информацию о том, как сообщать в соответствии с Процедурами соблюдения.</w:t>
      </w:r>
    </w:p>
    <w:p w:rsidR="0055604B" w:rsidRPr="0055604B" w:rsidRDefault="0055604B" w:rsidP="0055604B">
      <w:pPr>
        <w:pStyle w:val="MHeader"/>
        <w:rPr>
          <w:color w:val="auto"/>
          <w:sz w:val="24"/>
          <w:lang w:val="ru-RU"/>
        </w:rPr>
      </w:pPr>
      <w:r w:rsidRPr="0055604B">
        <w:rPr>
          <w:color w:val="auto"/>
          <w:sz w:val="24"/>
          <w:lang w:val="ru-RU"/>
        </w:rPr>
        <w:t>https://www.fao.org/plant-treaty/areas-of-work/compliance/howtoreport/en/</w:t>
      </w:r>
    </w:p>
    <w:p w:rsidR="0055604B" w:rsidRDefault="0055604B" w:rsidP="00EF24FF">
      <w:pPr>
        <w:pStyle w:val="MHeader"/>
        <w:rPr>
          <w:b/>
          <w:color w:val="auto"/>
          <w:sz w:val="24"/>
          <w:lang w:val="ru-RU"/>
        </w:rPr>
      </w:pPr>
    </w:p>
    <w:p w:rsidR="00151C00" w:rsidRDefault="002E15F9" w:rsidP="00EF24FF">
      <w:pPr>
        <w:pStyle w:val="MHeader"/>
        <w:rPr>
          <w:b/>
          <w:color w:val="auto"/>
          <w:sz w:val="24"/>
          <w:lang w:val="ru-RU"/>
        </w:rPr>
      </w:pPr>
      <w:r w:rsidRPr="007A45FD">
        <w:rPr>
          <w:b/>
          <w:color w:val="auto"/>
          <w:sz w:val="24"/>
          <w:lang w:val="ru-RU"/>
        </w:rPr>
        <w:t>4.</w:t>
      </w:r>
      <w:proofErr w:type="spellStart"/>
      <w:r w:rsidRPr="00EF24FF">
        <w:rPr>
          <w:b/>
          <w:color w:val="auto"/>
          <w:sz w:val="24"/>
        </w:rPr>
        <w:t>i</w:t>
      </w:r>
      <w:proofErr w:type="spellEnd"/>
      <w:r w:rsidRPr="007A45FD">
        <w:rPr>
          <w:b/>
          <w:color w:val="auto"/>
          <w:sz w:val="24"/>
          <w:lang w:val="ru-RU"/>
        </w:rPr>
        <w:t xml:space="preserve">. </w:t>
      </w:r>
      <w:r w:rsidR="00E27922" w:rsidRPr="007A45FD">
        <w:rPr>
          <w:b/>
          <w:color w:val="auto"/>
          <w:sz w:val="24"/>
          <w:lang w:val="ru-RU"/>
        </w:rPr>
        <w:t>Управление качеством</w:t>
      </w:r>
    </w:p>
    <w:p w:rsidR="0055604B" w:rsidRDefault="009C0501" w:rsidP="00EF24FF">
      <w:pPr>
        <w:pStyle w:val="MHeader"/>
        <w:rPr>
          <w:color w:val="auto"/>
          <w:sz w:val="24"/>
          <w:lang w:val="ru-RU"/>
        </w:rPr>
      </w:pPr>
      <w:r w:rsidRPr="009C0501">
        <w:rPr>
          <w:color w:val="auto"/>
          <w:sz w:val="24"/>
          <w:lang w:val="ru-RU"/>
        </w:rPr>
        <w:t xml:space="preserve">Регулярное обслуживание и обновление онлайн-платформ, </w:t>
      </w:r>
      <w:proofErr w:type="gramStart"/>
      <w:r w:rsidRPr="009C0501">
        <w:rPr>
          <w:color w:val="auto"/>
          <w:sz w:val="24"/>
          <w:lang w:val="ru-RU"/>
        </w:rPr>
        <w:t>размещаемых</w:t>
      </w:r>
      <w:proofErr w:type="gramEnd"/>
      <w:r w:rsidRPr="009C0501">
        <w:rPr>
          <w:color w:val="auto"/>
          <w:sz w:val="24"/>
          <w:lang w:val="ru-RU"/>
        </w:rPr>
        <w:t xml:space="preserve"> секретариатами КБР и Международного договора о ГРРПСХ.</w:t>
      </w:r>
    </w:p>
    <w:p w:rsidR="009C0501" w:rsidRPr="0055604B" w:rsidRDefault="009C0501" w:rsidP="00EF24FF">
      <w:pPr>
        <w:pStyle w:val="MHeader"/>
        <w:rPr>
          <w:color w:val="auto"/>
          <w:sz w:val="24"/>
          <w:lang w:val="ru-RU"/>
        </w:rPr>
      </w:pPr>
    </w:p>
    <w:p w:rsidR="00151C00" w:rsidRDefault="002E15F9" w:rsidP="00B8481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j</w:t>
      </w:r>
      <w:r w:rsidR="00E27922" w:rsidRPr="00A343D5">
        <w:rPr>
          <w:color w:val="auto"/>
          <w:sz w:val="24"/>
          <w:szCs w:val="24"/>
          <w:lang w:val="ru-RU"/>
        </w:rPr>
        <w:t>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9C0501" w:rsidRPr="009C0501" w:rsidRDefault="009C0501" w:rsidP="00B8481C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</w:p>
    <w:p w:rsidR="009C0501" w:rsidRDefault="0075371E" w:rsidP="00222E13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>4.</w:t>
      </w:r>
      <w:r w:rsidRPr="00333E4E">
        <w:rPr>
          <w:b/>
          <w:color w:val="auto"/>
          <w:sz w:val="24"/>
        </w:rPr>
        <w:t>k</w:t>
      </w:r>
      <w:r w:rsidR="009C0501">
        <w:rPr>
          <w:b/>
          <w:color w:val="auto"/>
          <w:sz w:val="24"/>
          <w:lang w:val="ru-RU"/>
        </w:rPr>
        <w:t>. Оценка качества</w:t>
      </w:r>
    </w:p>
    <w:p w:rsidR="009C0501" w:rsidRPr="009C0501" w:rsidRDefault="009C0501" w:rsidP="00222E13">
      <w:pPr>
        <w:pStyle w:val="MHeader"/>
        <w:rPr>
          <w:color w:val="auto"/>
          <w:sz w:val="24"/>
          <w:lang w:val="ru-RU"/>
        </w:rPr>
      </w:pPr>
    </w:p>
    <w:p w:rsidR="002E15F9" w:rsidRPr="00A343D5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</w:t>
      </w:r>
      <w:r w:rsidR="009C0501">
        <w:rPr>
          <w:b/>
          <w:color w:val="auto"/>
          <w:sz w:val="24"/>
          <w:szCs w:val="24"/>
          <w:lang w:val="ru-RU"/>
        </w:rPr>
        <w:t>ация</w:t>
      </w:r>
      <w:r w:rsidR="0075371E" w:rsidRPr="00EA60C7">
        <w:rPr>
          <w:b/>
          <w:color w:val="auto"/>
          <w:sz w:val="24"/>
          <w:szCs w:val="24"/>
          <w:lang w:val="ru-RU"/>
        </w:rPr>
        <w:t xml:space="preserve"> данных</w:t>
      </w:r>
    </w:p>
    <w:p w:rsidR="009C0501" w:rsidRDefault="009C0501" w:rsidP="009C0501">
      <w:pPr>
        <w:spacing w:after="0"/>
      </w:pPr>
      <w:r>
        <w:t>Для рядов данных КБР доступны данные по 196 Сторонам (195 стран плюс Европейский Союз) Конвенции о биологическом разнообразии. Для ABSCLRHS КБР наличие данных зависит от того, предоставляют ли страны информацию о своих законодательных, административных или политических мерах в Механизм посредничества по ДГРСИВ. Поскольку Механизм посредничества по ДГРСИВ был создан в октябре 2014 года, данные по нему имеются за 2015 календарный год. Доступны только региональные агрегирования.</w:t>
      </w:r>
    </w:p>
    <w:p w:rsidR="009C0501" w:rsidRDefault="009C0501" w:rsidP="009C0501">
      <w:pPr>
        <w:spacing w:after="0"/>
      </w:pPr>
    </w:p>
    <w:p w:rsidR="0083636B" w:rsidRDefault="009C0501" w:rsidP="009C0501">
      <w:pPr>
        <w:spacing w:after="0"/>
      </w:pPr>
      <w:r>
        <w:t>Для Международного договора доступны данные по 148 Договаривающимся сторонам (147 стран плюс Европейский Союз), которые ратифицировали, приняли, утвердили Международный договор о генетических ресурсах растений для производства продовольствия и ведения сельского хозяйства или присоединились к нему. Для ER_CBD_ORSPGRFA доступность данных зависит от предоставления странами информации о своих законодательных, административных или политических мерах в своих национальных отчетах, представляемых в соответствии с процедурами обеспечения соответствия.</w:t>
      </w:r>
    </w:p>
    <w:p w:rsidR="009C0501" w:rsidRPr="009C0501" w:rsidRDefault="009C0501" w:rsidP="009C0501">
      <w:pPr>
        <w:pStyle w:val="a0"/>
      </w:pPr>
    </w:p>
    <w:p w:rsidR="002E15F9" w:rsidRDefault="00845FE2" w:rsidP="00AF3B1B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lastRenderedPageBreak/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BA61D3" w:rsidRPr="00426BAB" w:rsidRDefault="00BA61D3" w:rsidP="008275D7">
      <w:pPr>
        <w:rPr>
          <w:b/>
        </w:rPr>
      </w:pPr>
      <w:r w:rsidRPr="00426BAB">
        <w:rPr>
          <w:b/>
        </w:rPr>
        <w:t>Источники расхождений:</w:t>
      </w:r>
    </w:p>
    <w:p w:rsidR="008275D7" w:rsidRPr="00406805" w:rsidRDefault="008275D7" w:rsidP="008275D7">
      <w:pPr>
        <w:rPr>
          <w:rFonts w:cs="Times New Roman"/>
          <w:szCs w:val="24"/>
        </w:rPr>
      </w:pPr>
      <w:r w:rsidRPr="00406805">
        <w:rPr>
          <w:rFonts w:cs="Times New Roman"/>
          <w:szCs w:val="24"/>
        </w:rPr>
        <w:t xml:space="preserve">Надежность индикатора зависит от стран, предоставляющих информацию в Механизм посредничества </w:t>
      </w:r>
      <w:r>
        <w:rPr>
          <w:rFonts w:cs="Times New Roman"/>
          <w:szCs w:val="24"/>
        </w:rPr>
        <w:t>ДГРСИВ</w:t>
      </w:r>
      <w:r w:rsidRPr="00406805">
        <w:rPr>
          <w:rFonts w:cs="Times New Roman"/>
          <w:szCs w:val="24"/>
        </w:rPr>
        <w:t xml:space="preserve"> по законодательным, администрат</w:t>
      </w:r>
      <w:r>
        <w:rPr>
          <w:rFonts w:cs="Times New Roman"/>
          <w:szCs w:val="24"/>
        </w:rPr>
        <w:t>ивным или политическим мерам</w:t>
      </w:r>
      <w:r w:rsidRPr="00406805">
        <w:rPr>
          <w:rFonts w:cs="Times New Roman"/>
          <w:szCs w:val="24"/>
        </w:rPr>
        <w:t>.</w:t>
      </w:r>
    </w:p>
    <w:p w:rsidR="00426BAB" w:rsidRPr="00426BAB" w:rsidRDefault="00426BAB" w:rsidP="00426BA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cs="Times New Roman"/>
          <w:szCs w:val="24"/>
        </w:rPr>
      </w:pPr>
      <w:proofErr w:type="gramStart"/>
      <w:r w:rsidRPr="00426BAB">
        <w:rPr>
          <w:rFonts w:cs="Times New Roman"/>
          <w:szCs w:val="24"/>
        </w:rPr>
        <w:t xml:space="preserve">Помимо информации, предоставляемой странами в Механизм посредничества по ДГРСИВ, Секретариат КБР собирает информацию из других источников: национальных стратегий и планов действий по сохранению биоразнообразия, национальных докладов, представляемых в рамках КБР, национальных докладов о реализации </w:t>
      </w:r>
      <w:proofErr w:type="spellStart"/>
      <w:r w:rsidRPr="00426BAB">
        <w:rPr>
          <w:rFonts w:cs="Times New Roman"/>
          <w:szCs w:val="24"/>
        </w:rPr>
        <w:t>Нагойского</w:t>
      </w:r>
      <w:proofErr w:type="spellEnd"/>
      <w:r w:rsidRPr="00426BAB">
        <w:rPr>
          <w:rFonts w:cs="Times New Roman"/>
          <w:szCs w:val="24"/>
        </w:rPr>
        <w:t xml:space="preserve"> протокола и официальные сообщения в СКБР (ответы на уведомления, сообщения по электронной почте и т. д.).</w:t>
      </w:r>
      <w:proofErr w:type="gramEnd"/>
      <w:r w:rsidRPr="00426BAB">
        <w:rPr>
          <w:rFonts w:cs="Times New Roman"/>
          <w:szCs w:val="24"/>
        </w:rPr>
        <w:t xml:space="preserve"> Информация, собранная из этих источников, служит основой для вклада Секретариата в другие процессы в рамках Протокола, в частности, в рассмотрение Конференцией Сторон, действующей в качестве совещания Сторон Протокола (КС-СС), национальных докладов (статья 29) и оценка и обзор (статья 31). Полученная в результате информация о количестве стран, принявших законодательные, административные или политические меры ДГРСИВ, может отличаться от количества стран, которые предоставили эту информацию в Механизм посредничества ДГРСИВ.</w:t>
      </w:r>
    </w:p>
    <w:p w:rsidR="00426BAB" w:rsidRPr="00426BAB" w:rsidRDefault="00426BAB" w:rsidP="00426BA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cs="Times New Roman"/>
          <w:szCs w:val="24"/>
        </w:rPr>
      </w:pPr>
      <w:r w:rsidRPr="00426BAB">
        <w:rPr>
          <w:rFonts w:cs="Times New Roman"/>
          <w:szCs w:val="24"/>
        </w:rPr>
        <w:t xml:space="preserve"> </w:t>
      </w:r>
    </w:p>
    <w:p w:rsidR="00426BAB" w:rsidRDefault="00426BAB" w:rsidP="00426BA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cs="Times New Roman"/>
          <w:szCs w:val="24"/>
        </w:rPr>
      </w:pPr>
      <w:r w:rsidRPr="00426BAB">
        <w:rPr>
          <w:rFonts w:cs="Times New Roman"/>
          <w:szCs w:val="24"/>
        </w:rPr>
        <w:t xml:space="preserve">В дополнение к информации, предоставляемой странами в онлайн-системе отчетности о соблюдении Международного договора, ФАО собирает информацию от стран, представляемую через их национальные отчеты, о сохранении и использовании ГРРПСХ и их усилиях в этом отношении для подготовки </w:t>
      </w:r>
      <w:r w:rsidRPr="00426BAB">
        <w:rPr>
          <w:rFonts w:cs="Times New Roman"/>
          <w:i/>
          <w:szCs w:val="24"/>
        </w:rPr>
        <w:t>Состояние мировых генетических ресурсов растений для производства продовольствия и ведения сельского хозяйства</w:t>
      </w:r>
      <w:r w:rsidRPr="00426BAB">
        <w:rPr>
          <w:rFonts w:cs="Times New Roman"/>
          <w:szCs w:val="24"/>
        </w:rPr>
        <w:t>.</w:t>
      </w:r>
    </w:p>
    <w:p w:rsidR="00CB0C48" w:rsidRDefault="00CB0C48" w:rsidP="0083636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</w:p>
    <w:p w:rsidR="00333E4E" w:rsidRPr="00CB0C48" w:rsidRDefault="00845FE2" w:rsidP="0083636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lang w:eastAsia="en-GB"/>
        </w:rPr>
      </w:pPr>
      <w:r w:rsidRPr="00CB0C48">
        <w:rPr>
          <w:rFonts w:eastAsia="Times New Roman" w:cs="Times New Roman"/>
          <w:b/>
          <w:szCs w:val="24"/>
          <w:lang w:eastAsia="en-GB"/>
        </w:rPr>
        <w:t>7</w:t>
      </w:r>
      <w:r w:rsidR="00040034" w:rsidRPr="00CB0C48">
        <w:rPr>
          <w:rFonts w:eastAsia="Times New Roman" w:cs="Times New Roman"/>
          <w:b/>
          <w:szCs w:val="24"/>
          <w:lang w:eastAsia="en-GB"/>
        </w:rPr>
        <w:t xml:space="preserve">.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Ссылки</w:t>
      </w:r>
      <w:r w:rsidR="00040034" w:rsidRPr="00CB0C48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и</w:t>
      </w:r>
      <w:r w:rsidR="00040034" w:rsidRPr="00CB0C48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документы</w:t>
      </w:r>
    </w:p>
    <w:sdt>
      <w:sdtPr>
        <w:rPr>
          <w:rFonts w:asciiTheme="minorHAnsi" w:eastAsiaTheme="minorEastAsia" w:hAnsiTheme="minorHAnsi"/>
          <w:sz w:val="22"/>
          <w:lang w:val="en-GB" w:eastAsia="zh-CN"/>
        </w:rPr>
        <w:id w:val="-573587230"/>
        <w:bibliography/>
      </w:sdtPr>
      <w:sdtEndPr>
        <w:rPr>
          <w:rFonts w:ascii="Times New Roman" w:eastAsiaTheme="minorHAnsi" w:hAnsi="Times New Roman"/>
          <w:color w:val="4A4A4A"/>
          <w:sz w:val="24"/>
          <w:lang w:val="ru-RU" w:eastAsia="en-US"/>
        </w:rPr>
      </w:sdtEndPr>
      <w:sdtContent>
        <w:p w:rsidR="00CB0C48" w:rsidRPr="00CB0C48" w:rsidRDefault="00CB0C48" w:rsidP="00CB0C48">
          <w:pPr>
            <w:rPr>
              <w:lang w:eastAsia="en-GB"/>
            </w:rPr>
          </w:pPr>
          <w:r w:rsidRPr="00CB0C48">
            <w:rPr>
              <w:lang w:eastAsia="en-GB"/>
            </w:rPr>
            <w:t xml:space="preserve">Текст </w:t>
          </w:r>
          <w:proofErr w:type="spellStart"/>
          <w:r w:rsidRPr="00CB0C48">
            <w:rPr>
              <w:lang w:eastAsia="en-GB"/>
            </w:rPr>
            <w:t>Нагойского</w:t>
          </w:r>
          <w:proofErr w:type="spellEnd"/>
          <w:r w:rsidRPr="00CB0C48">
            <w:rPr>
              <w:lang w:eastAsia="en-GB"/>
            </w:rPr>
            <w:t xml:space="preserve"> протокола о доступе к генетическим ресурсам и справедливом и равноправном распределении выгод от их использования к Конвенции о биологическом разнообразии: </w:t>
          </w:r>
          <w:hyperlink r:id="rId20" w:history="1">
            <w:r w:rsidRPr="00E510E5">
              <w:rPr>
                <w:rStyle w:val="ad"/>
                <w:lang w:val="en-US" w:eastAsia="en-GB"/>
              </w:rPr>
              <w:t>https</w:t>
            </w:r>
            <w:r w:rsidRPr="00E510E5">
              <w:rPr>
                <w:rStyle w:val="ad"/>
                <w:lang w:eastAsia="en-GB"/>
              </w:rPr>
              <w:t>://</w:t>
            </w:r>
            <w:r w:rsidRPr="00E510E5">
              <w:rPr>
                <w:rStyle w:val="ad"/>
                <w:lang w:val="en-US" w:eastAsia="en-GB"/>
              </w:rPr>
              <w:t>www</w:t>
            </w:r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cbd</w:t>
            </w:r>
            <w:proofErr w:type="spellEnd"/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int</w:t>
            </w:r>
            <w:proofErr w:type="spellEnd"/>
            <w:r w:rsidRPr="00E510E5">
              <w:rPr>
                <w:rStyle w:val="ad"/>
                <w:lang w:eastAsia="en-GB"/>
              </w:rPr>
              <w:t>/</w:t>
            </w:r>
            <w:r w:rsidRPr="00E510E5">
              <w:rPr>
                <w:rStyle w:val="ad"/>
                <w:lang w:val="en-US" w:eastAsia="en-GB"/>
              </w:rPr>
              <w:t>abs</w:t>
            </w:r>
            <w:r w:rsidRPr="00E510E5">
              <w:rPr>
                <w:rStyle w:val="ad"/>
                <w:lang w:eastAsia="en-GB"/>
              </w:rPr>
              <w:t>/</w:t>
            </w:r>
            <w:r w:rsidRPr="00E510E5">
              <w:rPr>
                <w:rStyle w:val="ad"/>
                <w:lang w:val="en-US" w:eastAsia="en-GB"/>
              </w:rPr>
              <w:t>text</w:t>
            </w:r>
            <w:r w:rsidRPr="00E510E5">
              <w:rPr>
                <w:rStyle w:val="ad"/>
                <w:lang w:eastAsia="en-GB"/>
              </w:rPr>
              <w:t>/</w:t>
            </w:r>
            <w:r w:rsidRPr="00E510E5">
              <w:rPr>
                <w:rStyle w:val="ad"/>
                <w:lang w:val="en-US" w:eastAsia="en-GB"/>
              </w:rPr>
              <w:t>default</w:t>
            </w:r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shtml</w:t>
            </w:r>
            <w:proofErr w:type="spellEnd"/>
          </w:hyperlink>
        </w:p>
        <w:p w:rsidR="00CB0C48" w:rsidRPr="00CB0C48" w:rsidRDefault="00CB0C48" w:rsidP="00CB0C48">
          <w:pPr>
            <w:rPr>
              <w:lang w:eastAsia="en-GB"/>
            </w:rPr>
          </w:pPr>
        </w:p>
        <w:p w:rsidR="00CB0C48" w:rsidRPr="00CB0C48" w:rsidRDefault="00CB0C48" w:rsidP="00CB0C48">
          <w:pPr>
            <w:rPr>
              <w:lang w:eastAsia="en-GB"/>
            </w:rPr>
          </w:pPr>
          <w:r w:rsidRPr="00CB0C48">
            <w:rPr>
              <w:lang w:eastAsia="en-GB"/>
            </w:rPr>
            <w:t xml:space="preserve">Информационный центр по вопросам доступа и распределения выгод: </w:t>
          </w:r>
          <w:hyperlink r:id="rId21" w:history="1">
            <w:r w:rsidRPr="00E510E5">
              <w:rPr>
                <w:rStyle w:val="ad"/>
                <w:lang w:val="en-US" w:eastAsia="en-GB"/>
              </w:rPr>
              <w:t>http</w:t>
            </w:r>
            <w:r w:rsidRPr="00E510E5">
              <w:rPr>
                <w:rStyle w:val="ad"/>
                <w:lang w:eastAsia="en-GB"/>
              </w:rPr>
              <w:t>://</w:t>
            </w:r>
            <w:proofErr w:type="spellStart"/>
            <w:r w:rsidRPr="00E510E5">
              <w:rPr>
                <w:rStyle w:val="ad"/>
                <w:lang w:val="en-US" w:eastAsia="en-GB"/>
              </w:rPr>
              <w:t>absch</w:t>
            </w:r>
            <w:proofErr w:type="spellEnd"/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cbd</w:t>
            </w:r>
            <w:proofErr w:type="spellEnd"/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int</w:t>
            </w:r>
            <w:proofErr w:type="spellEnd"/>
          </w:hyperlink>
        </w:p>
        <w:p w:rsidR="00CB0C48" w:rsidRPr="00CB0C48" w:rsidRDefault="00CB0C48" w:rsidP="00CB0C48">
          <w:pPr>
            <w:rPr>
              <w:lang w:eastAsia="en-GB"/>
            </w:rPr>
          </w:pPr>
        </w:p>
        <w:p w:rsidR="00CB0C48" w:rsidRPr="00CB0C48" w:rsidRDefault="00CB0C48" w:rsidP="00CB0C48">
          <w:pPr>
            <w:rPr>
              <w:lang w:eastAsia="en-GB"/>
            </w:rPr>
          </w:pPr>
          <w:r w:rsidRPr="00CB0C48">
            <w:rPr>
              <w:lang w:eastAsia="en-GB"/>
            </w:rPr>
            <w:t>Международный договор о генетических ресурсах растений для производства продовольствия и ведения сельского хозяйств</w:t>
          </w:r>
          <w:r>
            <w:rPr>
              <w:lang w:eastAsia="en-GB"/>
            </w:rPr>
            <w:t>а,</w:t>
          </w:r>
          <w:r w:rsidRPr="00CB0C48">
            <w:rPr>
              <w:rFonts w:asciiTheme="minorHAnsi" w:eastAsiaTheme="minorEastAsia" w:hAnsiTheme="minorHAnsi" w:cs="Times New Roman"/>
              <w:color w:val="4A4A4A"/>
              <w:sz w:val="21"/>
              <w:szCs w:val="21"/>
              <w:shd w:val="clear" w:color="auto" w:fill="FFFFFF"/>
              <w:lang w:eastAsia="en-GB"/>
            </w:rPr>
            <w:t xml:space="preserve"> </w:t>
          </w:r>
          <w:r w:rsidRPr="00CB0C48">
            <w:rPr>
              <w:lang w:val="en-GB" w:eastAsia="en-GB"/>
            </w:rPr>
            <w:t>https</w:t>
          </w:r>
          <w:r w:rsidRPr="00CB0C48">
            <w:rPr>
              <w:lang w:eastAsia="en-GB"/>
            </w:rPr>
            <w:t>://</w:t>
          </w:r>
          <w:r w:rsidRPr="00CB0C48">
            <w:rPr>
              <w:lang w:val="en-GB" w:eastAsia="en-GB"/>
            </w:rPr>
            <w:t>www</w:t>
          </w:r>
          <w:r w:rsidRPr="00CB0C48">
            <w:rPr>
              <w:lang w:eastAsia="en-GB"/>
            </w:rPr>
            <w:t>.</w:t>
          </w:r>
          <w:proofErr w:type="spellStart"/>
          <w:r w:rsidRPr="00CB0C48">
            <w:rPr>
              <w:lang w:val="en-GB" w:eastAsia="en-GB"/>
            </w:rPr>
            <w:t>fao</w:t>
          </w:r>
          <w:proofErr w:type="spellEnd"/>
          <w:r w:rsidRPr="00CB0C48">
            <w:rPr>
              <w:lang w:eastAsia="en-GB"/>
            </w:rPr>
            <w:t>.</w:t>
          </w:r>
          <w:r w:rsidRPr="00CB0C48">
            <w:rPr>
              <w:lang w:val="en-GB" w:eastAsia="en-GB"/>
            </w:rPr>
            <w:t>org</w:t>
          </w:r>
          <w:r w:rsidRPr="00CB0C48">
            <w:rPr>
              <w:lang w:eastAsia="en-GB"/>
            </w:rPr>
            <w:t>/</w:t>
          </w:r>
          <w:r w:rsidRPr="00CB0C48">
            <w:rPr>
              <w:lang w:val="en-GB" w:eastAsia="en-GB"/>
            </w:rPr>
            <w:t>plant</w:t>
          </w:r>
          <w:r w:rsidRPr="00CB0C48">
            <w:rPr>
              <w:lang w:eastAsia="en-GB"/>
            </w:rPr>
            <w:t>-</w:t>
          </w:r>
          <w:r w:rsidRPr="00CB0C48">
            <w:rPr>
              <w:lang w:val="en-GB" w:eastAsia="en-GB"/>
            </w:rPr>
            <w:t>treaty</w:t>
          </w:r>
          <w:r w:rsidRPr="00CB0C48">
            <w:rPr>
              <w:lang w:eastAsia="en-GB"/>
            </w:rPr>
            <w:t>/</w:t>
          </w:r>
          <w:proofErr w:type="spellStart"/>
          <w:r w:rsidRPr="00CB0C48">
            <w:rPr>
              <w:lang w:val="en-GB" w:eastAsia="en-GB"/>
            </w:rPr>
            <w:t>en</w:t>
          </w:r>
          <w:proofErr w:type="spellEnd"/>
          <w:r w:rsidRPr="00CB0C48">
            <w:rPr>
              <w:lang w:eastAsia="en-GB"/>
            </w:rPr>
            <w:t>/</w:t>
          </w:r>
        </w:p>
        <w:p w:rsidR="00CB0C48" w:rsidRPr="00CB0C48" w:rsidRDefault="00CB0C48" w:rsidP="00CB0C48">
          <w:pPr>
            <w:rPr>
              <w:lang w:eastAsia="en-GB"/>
            </w:rPr>
          </w:pPr>
          <w:r>
            <w:rPr>
              <w:lang w:eastAsia="en-GB"/>
            </w:rPr>
            <w:t xml:space="preserve"> </w:t>
          </w:r>
        </w:p>
        <w:p w:rsidR="0083636B" w:rsidRDefault="00CB0C48" w:rsidP="00CB0C48">
          <w:pPr>
            <w:rPr>
              <w:color w:val="4A4A4A"/>
            </w:rPr>
          </w:pPr>
          <w:r w:rsidRPr="00CB0C48">
            <w:rPr>
              <w:lang w:eastAsia="en-GB"/>
            </w:rPr>
            <w:t xml:space="preserve">Хранилище данных Международного договора о ГРРПСХ, </w:t>
          </w:r>
          <w:r w:rsidRPr="00CB0C48">
            <w:rPr>
              <w:lang w:val="en-US" w:eastAsia="en-GB"/>
            </w:rPr>
            <w:t>Easy</w:t>
          </w:r>
          <w:r w:rsidRPr="00CB0C48">
            <w:rPr>
              <w:lang w:eastAsia="en-GB"/>
            </w:rPr>
            <w:t>-</w:t>
          </w:r>
          <w:r w:rsidRPr="00CB0C48">
            <w:rPr>
              <w:lang w:val="en-US" w:eastAsia="en-GB"/>
            </w:rPr>
            <w:t>SMTA</w:t>
          </w:r>
          <w:r w:rsidRPr="00CB0C48">
            <w:rPr>
              <w:lang w:eastAsia="en-GB"/>
            </w:rPr>
            <w:t xml:space="preserve">, </w:t>
          </w:r>
          <w:hyperlink r:id="rId22" w:history="1">
            <w:r w:rsidRPr="00E510E5">
              <w:rPr>
                <w:rStyle w:val="ad"/>
                <w:lang w:val="en-US" w:eastAsia="en-GB"/>
              </w:rPr>
              <w:t>https</w:t>
            </w:r>
            <w:r w:rsidRPr="00E510E5">
              <w:rPr>
                <w:rStyle w:val="ad"/>
                <w:lang w:eastAsia="en-GB"/>
              </w:rPr>
              <w:t>://</w:t>
            </w:r>
            <w:proofErr w:type="spellStart"/>
            <w:r w:rsidRPr="00E510E5">
              <w:rPr>
                <w:rStyle w:val="ad"/>
                <w:lang w:val="en-US" w:eastAsia="en-GB"/>
              </w:rPr>
              <w:t>mls</w:t>
            </w:r>
            <w:proofErr w:type="spellEnd"/>
            <w:r w:rsidRPr="00E510E5">
              <w:rPr>
                <w:rStyle w:val="ad"/>
                <w:lang w:eastAsia="en-GB"/>
              </w:rPr>
              <w:t>.</w:t>
            </w:r>
            <w:proofErr w:type="spellStart"/>
            <w:r w:rsidRPr="00E510E5">
              <w:rPr>
                <w:rStyle w:val="ad"/>
                <w:lang w:val="en-US" w:eastAsia="en-GB"/>
              </w:rPr>
              <w:t>planttreaty</w:t>
            </w:r>
            <w:proofErr w:type="spellEnd"/>
            <w:r w:rsidRPr="00E510E5">
              <w:rPr>
                <w:rStyle w:val="ad"/>
                <w:lang w:eastAsia="en-GB"/>
              </w:rPr>
              <w:t>.</w:t>
            </w:r>
            <w:r w:rsidRPr="00E510E5">
              <w:rPr>
                <w:rStyle w:val="ad"/>
                <w:lang w:val="en-US" w:eastAsia="en-GB"/>
              </w:rPr>
              <w:t>org</w:t>
            </w:r>
          </w:hyperlink>
        </w:p>
      </w:sdtContent>
    </w:sdt>
    <w:p w:rsidR="0049008B" w:rsidRPr="00222E13" w:rsidRDefault="0049008B" w:rsidP="00BA61D3">
      <w:pPr>
        <w:rPr>
          <w:lang w:eastAsia="en-GB"/>
        </w:rPr>
      </w:pPr>
    </w:p>
    <w:sectPr w:rsidR="0049008B" w:rsidRPr="00222E1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F9" w:rsidRDefault="002B4EF9" w:rsidP="00F73DBC">
      <w:pPr>
        <w:spacing w:after="0" w:line="240" w:lineRule="auto"/>
      </w:pPr>
      <w:r>
        <w:separator/>
      </w:r>
    </w:p>
  </w:endnote>
  <w:endnote w:type="continuationSeparator" w:id="0">
    <w:p w:rsidR="002B4EF9" w:rsidRDefault="002B4EF9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F9" w:rsidRDefault="002B4EF9" w:rsidP="00F73DBC">
      <w:pPr>
        <w:spacing w:after="0" w:line="240" w:lineRule="auto"/>
      </w:pPr>
      <w:r>
        <w:separator/>
      </w:r>
    </w:p>
  </w:footnote>
  <w:footnote w:type="continuationSeparator" w:id="0">
    <w:p w:rsidR="002B4EF9" w:rsidRDefault="002B4EF9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B" w:rsidRDefault="0031253B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31253B" w:rsidRPr="009508D1" w:rsidRDefault="0031253B" w:rsidP="009508D1">
    <w:pPr>
      <w:pStyle w:val="af"/>
      <w:jc w:val="right"/>
    </w:pPr>
    <w:r>
      <w:t xml:space="preserve">Последнее обновление: </w:t>
    </w:r>
    <w:r w:rsidR="003E679E">
      <w:t>сентябрь</w:t>
    </w:r>
    <w:r>
      <w:t xml:space="preserve"> 202</w:t>
    </w:r>
    <w:r w:rsidR="003E679E">
      <w:t>3</w:t>
    </w:r>
  </w:p>
  <w:p w:rsidR="0031253B" w:rsidRDefault="003125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7322"/>
    <w:multiLevelType w:val="hybridMultilevel"/>
    <w:tmpl w:val="7A74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C5968"/>
    <w:multiLevelType w:val="hybridMultilevel"/>
    <w:tmpl w:val="7034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2"/>
  </w:num>
  <w:num w:numId="5">
    <w:abstractNumId w:val="19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16"/>
  </w:num>
  <w:num w:numId="11">
    <w:abstractNumId w:val="18"/>
  </w:num>
  <w:num w:numId="12">
    <w:abstractNumId w:val="7"/>
  </w:num>
  <w:num w:numId="13">
    <w:abstractNumId w:val="21"/>
  </w:num>
  <w:num w:numId="14">
    <w:abstractNumId w:val="0"/>
  </w:num>
  <w:num w:numId="15">
    <w:abstractNumId w:val="20"/>
  </w:num>
  <w:num w:numId="16">
    <w:abstractNumId w:val="23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3"/>
  </w:num>
  <w:num w:numId="22">
    <w:abstractNumId w:val="6"/>
  </w:num>
  <w:num w:numId="23">
    <w:abstractNumId w:val="9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6140"/>
    <w:rsid w:val="00017B67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70599"/>
    <w:rsid w:val="00080FD3"/>
    <w:rsid w:val="00083DC3"/>
    <w:rsid w:val="0008593B"/>
    <w:rsid w:val="00093790"/>
    <w:rsid w:val="000A210D"/>
    <w:rsid w:val="000A229E"/>
    <w:rsid w:val="000A47E6"/>
    <w:rsid w:val="000A6836"/>
    <w:rsid w:val="000B0E12"/>
    <w:rsid w:val="000C224E"/>
    <w:rsid w:val="000E666A"/>
    <w:rsid w:val="000E7DC3"/>
    <w:rsid w:val="00104284"/>
    <w:rsid w:val="00110FE3"/>
    <w:rsid w:val="00115063"/>
    <w:rsid w:val="0011581A"/>
    <w:rsid w:val="00116248"/>
    <w:rsid w:val="00120E95"/>
    <w:rsid w:val="00122608"/>
    <w:rsid w:val="001269B1"/>
    <w:rsid w:val="00133E22"/>
    <w:rsid w:val="001373EA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5896"/>
    <w:rsid w:val="001661D2"/>
    <w:rsid w:val="0016743D"/>
    <w:rsid w:val="0017579E"/>
    <w:rsid w:val="00176A95"/>
    <w:rsid w:val="0018458D"/>
    <w:rsid w:val="001A0336"/>
    <w:rsid w:val="001A163A"/>
    <w:rsid w:val="001B0DDA"/>
    <w:rsid w:val="001B4464"/>
    <w:rsid w:val="001C2F13"/>
    <w:rsid w:val="001D47B7"/>
    <w:rsid w:val="001E2FC9"/>
    <w:rsid w:val="001E77AA"/>
    <w:rsid w:val="001F2B04"/>
    <w:rsid w:val="0020339C"/>
    <w:rsid w:val="002165E6"/>
    <w:rsid w:val="00220DFC"/>
    <w:rsid w:val="00222E13"/>
    <w:rsid w:val="00235C73"/>
    <w:rsid w:val="002375D8"/>
    <w:rsid w:val="00237F5C"/>
    <w:rsid w:val="002451DF"/>
    <w:rsid w:val="00253365"/>
    <w:rsid w:val="002540B1"/>
    <w:rsid w:val="00263E57"/>
    <w:rsid w:val="002712B1"/>
    <w:rsid w:val="00290B8E"/>
    <w:rsid w:val="002A3B50"/>
    <w:rsid w:val="002A7CD7"/>
    <w:rsid w:val="002B2508"/>
    <w:rsid w:val="002B4EF9"/>
    <w:rsid w:val="002D493B"/>
    <w:rsid w:val="002D669D"/>
    <w:rsid w:val="002E07D4"/>
    <w:rsid w:val="002E122C"/>
    <w:rsid w:val="002E15F9"/>
    <w:rsid w:val="002E2DAB"/>
    <w:rsid w:val="002F63E5"/>
    <w:rsid w:val="00303D71"/>
    <w:rsid w:val="0031253B"/>
    <w:rsid w:val="003143BC"/>
    <w:rsid w:val="0033081A"/>
    <w:rsid w:val="00333E4E"/>
    <w:rsid w:val="003424DF"/>
    <w:rsid w:val="00342801"/>
    <w:rsid w:val="00347912"/>
    <w:rsid w:val="00350C2D"/>
    <w:rsid w:val="00351952"/>
    <w:rsid w:val="0035475F"/>
    <w:rsid w:val="003563A7"/>
    <w:rsid w:val="003569AD"/>
    <w:rsid w:val="0036001C"/>
    <w:rsid w:val="00372DA0"/>
    <w:rsid w:val="003746BC"/>
    <w:rsid w:val="00376FE6"/>
    <w:rsid w:val="00390633"/>
    <w:rsid w:val="00393B97"/>
    <w:rsid w:val="00394222"/>
    <w:rsid w:val="00397764"/>
    <w:rsid w:val="003A389C"/>
    <w:rsid w:val="003B2CF2"/>
    <w:rsid w:val="003B340F"/>
    <w:rsid w:val="003B63C8"/>
    <w:rsid w:val="003E03CC"/>
    <w:rsid w:val="003E679E"/>
    <w:rsid w:val="003E6C49"/>
    <w:rsid w:val="0040583C"/>
    <w:rsid w:val="004066A3"/>
    <w:rsid w:val="00407E4E"/>
    <w:rsid w:val="004143B4"/>
    <w:rsid w:val="00422DE3"/>
    <w:rsid w:val="00426BAB"/>
    <w:rsid w:val="0042734C"/>
    <w:rsid w:val="004326FB"/>
    <w:rsid w:val="00436030"/>
    <w:rsid w:val="00446A24"/>
    <w:rsid w:val="00453CF8"/>
    <w:rsid w:val="00461079"/>
    <w:rsid w:val="00465587"/>
    <w:rsid w:val="00480D4F"/>
    <w:rsid w:val="0049008B"/>
    <w:rsid w:val="00494AAC"/>
    <w:rsid w:val="004A20F3"/>
    <w:rsid w:val="004A7876"/>
    <w:rsid w:val="004B638C"/>
    <w:rsid w:val="004B6FA0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43050"/>
    <w:rsid w:val="00543300"/>
    <w:rsid w:val="00547F84"/>
    <w:rsid w:val="0055604B"/>
    <w:rsid w:val="00562B74"/>
    <w:rsid w:val="0056571B"/>
    <w:rsid w:val="005742A3"/>
    <w:rsid w:val="00577C9B"/>
    <w:rsid w:val="0059042F"/>
    <w:rsid w:val="005919D0"/>
    <w:rsid w:val="00594963"/>
    <w:rsid w:val="005974D1"/>
    <w:rsid w:val="005A0EA5"/>
    <w:rsid w:val="005B3332"/>
    <w:rsid w:val="005C123D"/>
    <w:rsid w:val="005E2ABC"/>
    <w:rsid w:val="005E47BD"/>
    <w:rsid w:val="005F5D78"/>
    <w:rsid w:val="00607915"/>
    <w:rsid w:val="006120E1"/>
    <w:rsid w:val="00614A49"/>
    <w:rsid w:val="00623607"/>
    <w:rsid w:val="006308D5"/>
    <w:rsid w:val="006313E5"/>
    <w:rsid w:val="00642663"/>
    <w:rsid w:val="00647C5F"/>
    <w:rsid w:val="00654380"/>
    <w:rsid w:val="006677B0"/>
    <w:rsid w:val="00670C21"/>
    <w:rsid w:val="00670E26"/>
    <w:rsid w:val="006763D1"/>
    <w:rsid w:val="00676DE5"/>
    <w:rsid w:val="00693A10"/>
    <w:rsid w:val="00694160"/>
    <w:rsid w:val="00696D77"/>
    <w:rsid w:val="006B260E"/>
    <w:rsid w:val="006B3939"/>
    <w:rsid w:val="006C014C"/>
    <w:rsid w:val="006C0984"/>
    <w:rsid w:val="006C10F0"/>
    <w:rsid w:val="006C3901"/>
    <w:rsid w:val="006D7049"/>
    <w:rsid w:val="006E66FC"/>
    <w:rsid w:val="006F1198"/>
    <w:rsid w:val="006F4DA0"/>
    <w:rsid w:val="006F5EC4"/>
    <w:rsid w:val="00702333"/>
    <w:rsid w:val="00702C63"/>
    <w:rsid w:val="00704A8D"/>
    <w:rsid w:val="00704A9B"/>
    <w:rsid w:val="00705161"/>
    <w:rsid w:val="00707E86"/>
    <w:rsid w:val="00711277"/>
    <w:rsid w:val="0071671D"/>
    <w:rsid w:val="007235FA"/>
    <w:rsid w:val="007321BB"/>
    <w:rsid w:val="00743E50"/>
    <w:rsid w:val="0075349F"/>
    <w:rsid w:val="0075371E"/>
    <w:rsid w:val="00766689"/>
    <w:rsid w:val="00780F08"/>
    <w:rsid w:val="0078233F"/>
    <w:rsid w:val="0078726E"/>
    <w:rsid w:val="0079089B"/>
    <w:rsid w:val="00791F1F"/>
    <w:rsid w:val="007A1B69"/>
    <w:rsid w:val="007A45FD"/>
    <w:rsid w:val="007B0CFD"/>
    <w:rsid w:val="007B0D42"/>
    <w:rsid w:val="007B6F97"/>
    <w:rsid w:val="007C27E0"/>
    <w:rsid w:val="007C6471"/>
    <w:rsid w:val="007C6FBC"/>
    <w:rsid w:val="007D1185"/>
    <w:rsid w:val="007D2576"/>
    <w:rsid w:val="007D49DE"/>
    <w:rsid w:val="007D4F45"/>
    <w:rsid w:val="007D5E35"/>
    <w:rsid w:val="007E1533"/>
    <w:rsid w:val="007E6317"/>
    <w:rsid w:val="0080135E"/>
    <w:rsid w:val="00804196"/>
    <w:rsid w:val="00807A22"/>
    <w:rsid w:val="0081063C"/>
    <w:rsid w:val="0082082A"/>
    <w:rsid w:val="008275D7"/>
    <w:rsid w:val="0083636B"/>
    <w:rsid w:val="00845FE2"/>
    <w:rsid w:val="008501F4"/>
    <w:rsid w:val="0085248F"/>
    <w:rsid w:val="00853C09"/>
    <w:rsid w:val="008616D9"/>
    <w:rsid w:val="00865164"/>
    <w:rsid w:val="008751C8"/>
    <w:rsid w:val="0089043A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659A"/>
    <w:rsid w:val="009273B4"/>
    <w:rsid w:val="0093367B"/>
    <w:rsid w:val="00935B97"/>
    <w:rsid w:val="0094218F"/>
    <w:rsid w:val="00942EA9"/>
    <w:rsid w:val="0094718C"/>
    <w:rsid w:val="00947FA7"/>
    <w:rsid w:val="009508D1"/>
    <w:rsid w:val="00953DBD"/>
    <w:rsid w:val="009558D8"/>
    <w:rsid w:val="00957712"/>
    <w:rsid w:val="00957A62"/>
    <w:rsid w:val="00964BE9"/>
    <w:rsid w:val="00980F79"/>
    <w:rsid w:val="00983CEB"/>
    <w:rsid w:val="009843DD"/>
    <w:rsid w:val="00986D0B"/>
    <w:rsid w:val="00986E8F"/>
    <w:rsid w:val="00990634"/>
    <w:rsid w:val="009917DD"/>
    <w:rsid w:val="00995788"/>
    <w:rsid w:val="009B3820"/>
    <w:rsid w:val="009B6CB3"/>
    <w:rsid w:val="009B78A2"/>
    <w:rsid w:val="009C0501"/>
    <w:rsid w:val="009D078D"/>
    <w:rsid w:val="009D31AD"/>
    <w:rsid w:val="009E707C"/>
    <w:rsid w:val="009F0769"/>
    <w:rsid w:val="009F4A17"/>
    <w:rsid w:val="00A06695"/>
    <w:rsid w:val="00A1299E"/>
    <w:rsid w:val="00A248E2"/>
    <w:rsid w:val="00A3418B"/>
    <w:rsid w:val="00A343D5"/>
    <w:rsid w:val="00A41B68"/>
    <w:rsid w:val="00A44394"/>
    <w:rsid w:val="00A47315"/>
    <w:rsid w:val="00A47C12"/>
    <w:rsid w:val="00A55D22"/>
    <w:rsid w:val="00A56B34"/>
    <w:rsid w:val="00A618FC"/>
    <w:rsid w:val="00A671C6"/>
    <w:rsid w:val="00A7053F"/>
    <w:rsid w:val="00A71EC6"/>
    <w:rsid w:val="00A73CA7"/>
    <w:rsid w:val="00A82A69"/>
    <w:rsid w:val="00A8435E"/>
    <w:rsid w:val="00A8462E"/>
    <w:rsid w:val="00A91FDE"/>
    <w:rsid w:val="00AC112C"/>
    <w:rsid w:val="00AE510C"/>
    <w:rsid w:val="00AF3B1B"/>
    <w:rsid w:val="00B0378B"/>
    <w:rsid w:val="00B179C9"/>
    <w:rsid w:val="00B17F13"/>
    <w:rsid w:val="00B27F6B"/>
    <w:rsid w:val="00B30158"/>
    <w:rsid w:val="00B51994"/>
    <w:rsid w:val="00B51BC3"/>
    <w:rsid w:val="00B62ECD"/>
    <w:rsid w:val="00B70499"/>
    <w:rsid w:val="00B72F77"/>
    <w:rsid w:val="00B8481C"/>
    <w:rsid w:val="00B90C3B"/>
    <w:rsid w:val="00B931ED"/>
    <w:rsid w:val="00BA05C5"/>
    <w:rsid w:val="00BA49DB"/>
    <w:rsid w:val="00BA61D3"/>
    <w:rsid w:val="00BC622F"/>
    <w:rsid w:val="00BC6451"/>
    <w:rsid w:val="00BC6BB7"/>
    <w:rsid w:val="00BD1D25"/>
    <w:rsid w:val="00BD28B9"/>
    <w:rsid w:val="00BD29EC"/>
    <w:rsid w:val="00BD2BB0"/>
    <w:rsid w:val="00BD4C64"/>
    <w:rsid w:val="00BE4D76"/>
    <w:rsid w:val="00BE618D"/>
    <w:rsid w:val="00BE64C1"/>
    <w:rsid w:val="00BE70C8"/>
    <w:rsid w:val="00BF42F4"/>
    <w:rsid w:val="00C000B0"/>
    <w:rsid w:val="00C00737"/>
    <w:rsid w:val="00C013D8"/>
    <w:rsid w:val="00C066FE"/>
    <w:rsid w:val="00C1236A"/>
    <w:rsid w:val="00C22DF6"/>
    <w:rsid w:val="00C25229"/>
    <w:rsid w:val="00C34D1D"/>
    <w:rsid w:val="00C536F5"/>
    <w:rsid w:val="00C638CE"/>
    <w:rsid w:val="00C645C4"/>
    <w:rsid w:val="00C66AB0"/>
    <w:rsid w:val="00C74767"/>
    <w:rsid w:val="00C772FD"/>
    <w:rsid w:val="00C83435"/>
    <w:rsid w:val="00C8596F"/>
    <w:rsid w:val="00C909FE"/>
    <w:rsid w:val="00C947E6"/>
    <w:rsid w:val="00C95868"/>
    <w:rsid w:val="00C9679B"/>
    <w:rsid w:val="00C96C28"/>
    <w:rsid w:val="00CA1CB1"/>
    <w:rsid w:val="00CB0C48"/>
    <w:rsid w:val="00CB26D5"/>
    <w:rsid w:val="00CC1B0F"/>
    <w:rsid w:val="00CC57A0"/>
    <w:rsid w:val="00CD0810"/>
    <w:rsid w:val="00CD238E"/>
    <w:rsid w:val="00CE0762"/>
    <w:rsid w:val="00CF1BCB"/>
    <w:rsid w:val="00CF2434"/>
    <w:rsid w:val="00CF7625"/>
    <w:rsid w:val="00D006C1"/>
    <w:rsid w:val="00D00F28"/>
    <w:rsid w:val="00D05466"/>
    <w:rsid w:val="00D1082C"/>
    <w:rsid w:val="00D15CDC"/>
    <w:rsid w:val="00D27196"/>
    <w:rsid w:val="00D273C6"/>
    <w:rsid w:val="00D31F63"/>
    <w:rsid w:val="00D40E85"/>
    <w:rsid w:val="00D50626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1A86"/>
    <w:rsid w:val="00D80BC2"/>
    <w:rsid w:val="00D91D5D"/>
    <w:rsid w:val="00DB2469"/>
    <w:rsid w:val="00DB3A18"/>
    <w:rsid w:val="00DB5508"/>
    <w:rsid w:val="00DB5552"/>
    <w:rsid w:val="00DB7209"/>
    <w:rsid w:val="00DD4453"/>
    <w:rsid w:val="00DD45F3"/>
    <w:rsid w:val="00DE0C01"/>
    <w:rsid w:val="00DE2202"/>
    <w:rsid w:val="00DE5549"/>
    <w:rsid w:val="00E1711B"/>
    <w:rsid w:val="00E206E6"/>
    <w:rsid w:val="00E21B43"/>
    <w:rsid w:val="00E22DA5"/>
    <w:rsid w:val="00E27922"/>
    <w:rsid w:val="00E33CA8"/>
    <w:rsid w:val="00E36AFE"/>
    <w:rsid w:val="00E36CE2"/>
    <w:rsid w:val="00E377B5"/>
    <w:rsid w:val="00E55C4C"/>
    <w:rsid w:val="00E7596B"/>
    <w:rsid w:val="00E834AD"/>
    <w:rsid w:val="00E83733"/>
    <w:rsid w:val="00E90BD4"/>
    <w:rsid w:val="00E97471"/>
    <w:rsid w:val="00EA60C7"/>
    <w:rsid w:val="00EB1910"/>
    <w:rsid w:val="00EB389E"/>
    <w:rsid w:val="00EB4CBB"/>
    <w:rsid w:val="00EC3F04"/>
    <w:rsid w:val="00EC6F78"/>
    <w:rsid w:val="00EE3914"/>
    <w:rsid w:val="00EE3BB4"/>
    <w:rsid w:val="00EE3C6C"/>
    <w:rsid w:val="00EF24FF"/>
    <w:rsid w:val="00EF3886"/>
    <w:rsid w:val="00EF47D7"/>
    <w:rsid w:val="00F03521"/>
    <w:rsid w:val="00F17015"/>
    <w:rsid w:val="00F30F68"/>
    <w:rsid w:val="00F31D49"/>
    <w:rsid w:val="00F44343"/>
    <w:rsid w:val="00F46260"/>
    <w:rsid w:val="00F532A2"/>
    <w:rsid w:val="00F56853"/>
    <w:rsid w:val="00F6371F"/>
    <w:rsid w:val="00F66E7B"/>
    <w:rsid w:val="00F73DBC"/>
    <w:rsid w:val="00F84FF1"/>
    <w:rsid w:val="00F940D0"/>
    <w:rsid w:val="00F947E9"/>
    <w:rsid w:val="00FC39AA"/>
    <w:rsid w:val="00FD23B9"/>
    <w:rsid w:val="00FE175E"/>
    <w:rsid w:val="00FE35CF"/>
    <w:rsid w:val="00FE53A5"/>
    <w:rsid w:val="00FE734E"/>
    <w:rsid w:val="00FE79B4"/>
    <w:rsid w:val="00FE7F68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3/a-be452e.pdf" TargetMode="External"/><Relationship Id="rId18" Type="http://schemas.openxmlformats.org/officeDocument/2006/relationships/hyperlink" Target="https://mls.planttreaty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absch.cbd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bd.int/abs/common-formats/en/ABSCH-MSR-en.doc" TargetMode="External"/><Relationship Id="rId17" Type="http://schemas.openxmlformats.org/officeDocument/2006/relationships/hyperlink" Target="http://www.fao.org/plant-treaty/areas-of-work/compliance/compliance-reports/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bsch.cbd.int/countries" TargetMode="External"/><Relationship Id="rId20" Type="http://schemas.openxmlformats.org/officeDocument/2006/relationships/hyperlink" Target="https://www.cbd.int/abs/text/default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ls.planttreaty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reaties.un.org/Pages/ViewDetails.aspx?src=TREATY&amp;mtdsg_no=XXVII-8-b&amp;chapter=2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ao.org/plant-treaty/areas-of-work/compliance/compliance-reports/en/" TargetMode="External"/><Relationship Id="rId19" Type="http://schemas.openxmlformats.org/officeDocument/2006/relationships/hyperlink" Target="https://absch.cbd.int/en/kb/tags/getting-started/Getting-started-using-the-ABS-.%20&#1048;&#1085;&#1092;&#1086;&#1088;&#1084;&#1072;&#1094;&#1080;&#1086;&#1085;&#1085;&#1072;&#1103;%20&#1087;&#1072;&#1083;&#1072;&#1090;&#1072;%20&#1076;&#1083;&#1103;%20&#1087;&#1088;&#1072;&#1074;&#1080;&#1090;&#1077;&#1083;&#1100;&#1089;&#1090;&#1074;/5bbe211fb899670001de9b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bsch.cbd.int/en/countries" TargetMode="External"/><Relationship Id="rId14" Type="http://schemas.openxmlformats.org/officeDocument/2006/relationships/hyperlink" Target="http://www.fao.org/3/a-mn566e.pdf" TargetMode="External"/><Relationship Id="rId22" Type="http://schemas.openxmlformats.org/officeDocument/2006/relationships/hyperlink" Target="https://mls.planttreat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Kör11</b:Tag>
    <b:SourceType>JournalArticle</b:SourceType>
    <b:Guid>{2FBE688F-9A5F-4F08-AA0E-847160B4AB4C}</b:Guid>
    <b:Title>A definition of mountains and their bioclimatic belts for global comparisons of biodiversity data</b:Title>
    <b:Year>2011</b:Year>
    <b:JournalName>Alpine Botany</b:JournalName>
    <b:Pages>73-78</b:Pages>
    <b:Author>
      <b:Author>
        <b:NameList>
          <b:Person>
            <b:Last>Körner</b:Last>
            <b:First>C</b:First>
          </b:Person>
          <b:Person>
            <b:Last>Paulsen</b:Last>
            <b:First>J</b:First>
          </b:Person>
          <b:Person>
            <b:Last>Spehn</b:Last>
            <b:First>E</b:First>
          </b:Person>
        </b:NameList>
      </b:Author>
    </b:Author>
    <b:Volume>121</b:Volume>
    <b:RefOrder>1</b:RefOrder>
  </b:Source>
  <b:Source>
    <b:Tag>Kar17</b:Tag>
    <b:SourceType>JournalArticle</b:SourceType>
    <b:Guid>{7F94D59D-5175-4E7D-8F19-C328D6CF294C}</b:Guid>
    <b:Title>Modeling global Hammond landform regions from 250-m elevation data</b:Title>
    <b:JournalName>Transactions in GIS</b:JournalName>
    <b:Year>2017</b:Year>
    <b:Author>
      <b:Author>
        <b:NameList>
          <b:Person>
            <b:Last>Karagulle</b:Last>
            <b:First>D</b:First>
          </b:Person>
          <b:Person>
            <b:Last>Frye</b:Last>
            <b:First>C</b:First>
          </b:Person>
          <b:Person>
            <b:Last>Breyer</b:Last>
            <b:First>S</b:First>
          </b:Person>
          <b:Person>
            <b:Last>Aniello</b:Last>
            <b:First>P</b:First>
          </b:Person>
          <b:Person>
            <b:Last>Vaughan</b:Last>
            <b:First>R</b:First>
          </b:Person>
          <b:Person>
            <b:Last>Wright</b:Last>
            <b:First>D</b:First>
          </b:Person>
        </b:NameList>
      </b:Author>
    </b:Author>
    <b:DOI>10.1111/tgis.12265</b:DOI>
    <b:RefOrder>2</b:RefOrder>
  </b:Source>
  <b:Source>
    <b:Tag>Kap00</b:Tag>
    <b:SourceType>BookSection</b:SourceType>
    <b:Guid>{0E82D813-1613-4646-8646-F951054E0ADE}</b:Guid>
    <b:Title>Developing a map of the world’s mountain forests</b:Title>
    <b:BookTitle>Forests in Sustainable Mountain Development: A State-of-Knowledge Report for 2000</b:BookTitle>
    <b:Year>2000</b:Year>
    <b:Pages>4-9</b:Pages>
    <b:City>Wallingford</b:City>
    <b:Publisher>CAB International</b:Publisher>
    <b:Author>
      <b:Author>
        <b:NameList>
          <b:Person>
            <b:Last>Kapos</b:Last>
            <b:First>V</b:First>
          </b:Person>
          <b:Person>
            <b:Last>Rhind</b:Last>
            <b:First>J</b:First>
          </b:Person>
          <b:Person>
            <b:Last>Edwards</b:Last>
            <b:First>M</b:First>
          </b:Person>
          <b:Person>
            <b:Last>Prince</b:Last>
            <b:First>M</b:First>
          </b:Person>
          <b:Person>
            <b:Last>Ravillous</b:Last>
            <b:First>C</b:First>
          </b:Person>
        </b:NameList>
      </b:Author>
      <b:Editor>
        <b:NameList>
          <b:Person>
            <b:Last>Price </b:Last>
            <b:Middle>F</b:Middle>
            <b:First>M</b:First>
          </b:Person>
          <b:Person>
            <b:Last>Butt</b:Last>
            <b:First>N</b:First>
          </b:Person>
        </b:NameList>
      </b:Editor>
    </b:Author>
    <b:RefOrder>3</b:RefOrder>
  </b:Source>
  <b:Source>
    <b:Tag>San15</b:Tag>
    <b:SourceType>Report</b:SourceType>
    <b:Guid>{639A3C4F-6C15-4A31-9560-CC7D7EB0506C}</b:Guid>
    <b:Title>Land Cover CCI PRODUCT USER GUIDE VERSION 2.0</b:Title>
    <b:Year>2015</b:Year>
    <b:URL>http://maps.elie.ucl.ac.be/CCI/viewer/download/ESACCI-LC-Ph2-PUGv2_2.0.pdf</b:URL>
    <b:Publisher>European Spatial Agency</b:Publisher>
    <b:Author>
      <b:Author>
        <b:NameList>
          <b:Person>
            <b:Last>Santoro</b:Last>
            <b:First>M.</b:First>
          </b:Person>
          <b:Person>
            <b:Last>Kirches</b:Last>
            <b:First>G.</b:First>
          </b:Person>
          <b:Person>
            <b:Last>Wevers</b:Last>
            <b:First>J.</b:First>
          </b:Person>
          <b:Person>
            <b:Last>Boettcher</b:Last>
            <b:First>M.</b:First>
          </b:Person>
          <b:Person>
            <b:Last>Brockmann</b:Last>
            <b:First>C.</b:First>
          </b:Person>
          <b:Person>
            <b:Last>Lamarche</b:Last>
            <b:First>C.</b:First>
          </b:Person>
          <b:Person>
            <b:Last>Bontemps</b:Last>
            <b:First>S.</b:First>
          </b:Person>
          <b:Person>
            <b:Last>Moreau</b:Last>
            <b:First>I.</b:First>
          </b:Person>
          <b:Person>
            <b:Last>Defourny</b:Last>
            <b:First>P.</b:First>
          </b:Person>
        </b:NameList>
      </b:Author>
    </b:Author>
    <b:Institution>European Spatial Agency</b:Institution>
    <b:Pages>26-27</b:Pages>
    <b:ThesisType>USER GUIDE</b:ThesisType>
    <b:RefOrder>5</b:RefOrder>
  </b:Source>
  <b:Source>
    <b:Tag>Eur191</b:Tag>
    <b:SourceType>InternetSite</b:SourceType>
    <b:Guid>{13C10E66-0D3F-4FEC-BA42-2A47076ED030}</b:Guid>
    <b:Author>
      <b:Author>
        <b:Corporate>Eurostats</b:Corporate>
      </b:Author>
    </b:Author>
    <b:Title>LUCAS Grid</b:Title>
    <b:InternetSiteTitle>Eurostat Your Key to European statistcs</b:InternetSiteTitle>
    <b:Year>2019</b:Year>
    <b:URL>https://ec.europa.eu/eurostat/web/lucas/data/lucas-grid</b:URL>
    <b:RefOrder>4</b:RefOrder>
  </b:Source>
</b:Sources>
</file>

<file path=customXml/itemProps1.xml><?xml version="1.0" encoding="utf-8"?>
<ds:datastoreItem xmlns:ds="http://schemas.openxmlformats.org/officeDocument/2006/customXml" ds:itemID="{0D728283-2277-48E0-BC5B-59C0C6A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29</cp:revision>
  <dcterms:created xsi:type="dcterms:W3CDTF">2021-08-20T11:46:00Z</dcterms:created>
  <dcterms:modified xsi:type="dcterms:W3CDTF">2024-07-08T14:27:00Z</dcterms:modified>
</cp:coreProperties>
</file>