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570131">
      <w:pPr>
        <w:pBdr>
          <w:top w:val="nil"/>
          <w:left w:val="nil"/>
          <w:bottom w:val="nil"/>
          <w:right w:val="nil"/>
          <w:between w:val="nil"/>
          <w:bar w:val="nil"/>
        </w:pBdr>
        <w:spacing w:after="40"/>
        <w:jc w:val="center"/>
        <w:rPr>
          <w:rFonts w:eastAsia="Arial Unicode MS" w:cs="Times New Roman"/>
          <w:b/>
          <w:szCs w:val="24"/>
          <w:bdr w:val="nil"/>
          <w:lang w:eastAsia="ru-RU"/>
        </w:rPr>
      </w:pPr>
    </w:p>
    <w:p w:rsidR="003143BC" w:rsidRPr="00BD29EC" w:rsidRDefault="003143BC" w:rsidP="00570131">
      <w:pPr>
        <w:pBdr>
          <w:top w:val="nil"/>
          <w:left w:val="nil"/>
          <w:bottom w:val="nil"/>
          <w:right w:val="nil"/>
          <w:between w:val="nil"/>
          <w:bar w:val="nil"/>
        </w:pBdr>
        <w:spacing w:after="4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570131">
      <w:pPr>
        <w:pBdr>
          <w:top w:val="nil"/>
          <w:left w:val="nil"/>
          <w:bottom w:val="nil"/>
          <w:right w:val="nil"/>
          <w:between w:val="nil"/>
          <w:bar w:val="nil"/>
        </w:pBdr>
        <w:spacing w:after="4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570131">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570131">
      <w:pPr>
        <w:pStyle w:val="ab"/>
        <w:numPr>
          <w:ilvl w:val="0"/>
          <w:numId w:val="3"/>
        </w:numPr>
        <w:pBdr>
          <w:top w:val="nil"/>
          <w:left w:val="nil"/>
          <w:bottom w:val="nil"/>
          <w:right w:val="nil"/>
          <w:between w:val="nil"/>
          <w:bar w:val="nil"/>
        </w:pBdr>
        <w:tabs>
          <w:tab w:val="left" w:pos="284"/>
        </w:tabs>
        <w:spacing w:after="4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570131">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4344AC" w:rsidRDefault="003859BD" w:rsidP="00570131">
      <w:pPr>
        <w:pBdr>
          <w:top w:val="nil"/>
          <w:left w:val="nil"/>
          <w:bottom w:val="nil"/>
          <w:right w:val="nil"/>
          <w:between w:val="nil"/>
          <w:bar w:val="nil"/>
        </w:pBdr>
        <w:spacing w:after="40"/>
      </w:pPr>
      <w:r>
        <w:rPr>
          <w:rFonts w:eastAsia="Arial Unicode MS" w:cs="Times New Roman"/>
          <w:szCs w:val="24"/>
          <w:bdr w:val="nil"/>
          <w:lang w:eastAsia="ru-RU"/>
        </w:rPr>
        <w:t xml:space="preserve">Цель </w:t>
      </w:r>
      <w:r w:rsidR="004D2413">
        <w:rPr>
          <w:rFonts w:eastAsia="Arial Unicode MS" w:cs="Times New Roman"/>
          <w:szCs w:val="24"/>
          <w:bdr w:val="nil"/>
          <w:lang w:eastAsia="ru-RU"/>
        </w:rPr>
        <w:t>1</w:t>
      </w:r>
      <w:r w:rsidR="00107A08">
        <w:rPr>
          <w:rFonts w:eastAsia="Arial Unicode MS" w:cs="Times New Roman"/>
          <w:szCs w:val="24"/>
          <w:bdr w:val="nil"/>
          <w:lang w:eastAsia="ru-RU"/>
        </w:rPr>
        <w:t>6</w:t>
      </w:r>
      <w:r w:rsidR="00780F08" w:rsidRPr="00BD29EC">
        <w:rPr>
          <w:rFonts w:eastAsia="Arial Unicode MS" w:cs="Times New Roman"/>
          <w:szCs w:val="24"/>
          <w:bdr w:val="nil"/>
          <w:lang w:eastAsia="ru-RU"/>
        </w:rPr>
        <w:t xml:space="preserve">: </w:t>
      </w:r>
      <w:r w:rsidR="00107A08">
        <w:t>Содействие построению миролюбивого и открытого общества в интересах устойчивого развития, обеспечение доступа к правосудию для всех и создание эффективных, подотчетных и основанных на широком участии учреждений на всех уровнях.</w:t>
      </w:r>
    </w:p>
    <w:p w:rsidR="003143BC" w:rsidRPr="00BD29EC" w:rsidRDefault="003143BC" w:rsidP="00570131">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E559F9" w:rsidP="00570131">
      <w:pPr>
        <w:pBdr>
          <w:top w:val="nil"/>
          <w:left w:val="nil"/>
          <w:bottom w:val="nil"/>
          <w:right w:val="nil"/>
          <w:between w:val="nil"/>
          <w:bar w:val="nil"/>
        </w:pBdr>
        <w:spacing w:after="40"/>
        <w:rPr>
          <w:rFonts w:cs="Times New Roman"/>
          <w:szCs w:val="24"/>
        </w:rPr>
      </w:pPr>
      <w:r>
        <w:rPr>
          <w:rFonts w:cs="Times New Roman"/>
          <w:szCs w:val="24"/>
        </w:rPr>
        <w:t>1</w:t>
      </w:r>
      <w:r w:rsidR="00107A08">
        <w:rPr>
          <w:rFonts w:cs="Times New Roman"/>
          <w:szCs w:val="24"/>
        </w:rPr>
        <w:t>6</w:t>
      </w:r>
      <w:r w:rsidR="00780F08" w:rsidRPr="00BD29EC">
        <w:rPr>
          <w:rFonts w:cs="Times New Roman"/>
          <w:szCs w:val="24"/>
        </w:rPr>
        <w:t>.</w:t>
      </w:r>
      <w:r w:rsidR="002652D0">
        <w:rPr>
          <w:rFonts w:cs="Times New Roman"/>
          <w:szCs w:val="24"/>
        </w:rPr>
        <w:t>3</w:t>
      </w:r>
      <w:r w:rsidR="00780F08" w:rsidRPr="00BD29EC">
        <w:rPr>
          <w:rFonts w:cs="Times New Roman"/>
          <w:szCs w:val="24"/>
        </w:rPr>
        <w:t xml:space="preserve">.  </w:t>
      </w:r>
      <w:r w:rsidR="005C6119">
        <w:t xml:space="preserve">Содействовать верховенству права на национальном и международном </w:t>
      </w:r>
      <w:proofErr w:type="gramStart"/>
      <w:r w:rsidR="005C6119">
        <w:t>уровнях</w:t>
      </w:r>
      <w:proofErr w:type="gramEnd"/>
      <w:r w:rsidR="005C6119">
        <w:t xml:space="preserve"> и обеспечить всем равный доступ к правосудию.</w:t>
      </w:r>
    </w:p>
    <w:p w:rsidR="003143BC" w:rsidRPr="00BD29EC" w:rsidRDefault="003143BC" w:rsidP="00570131">
      <w:pPr>
        <w:pBdr>
          <w:top w:val="nil"/>
          <w:left w:val="nil"/>
          <w:bottom w:val="nil"/>
          <w:right w:val="nil"/>
          <w:between w:val="nil"/>
          <w:bar w:val="nil"/>
        </w:pBdr>
        <w:spacing w:after="4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BA46DB" w:rsidRDefault="003143BC" w:rsidP="00570131">
      <w:pPr>
        <w:spacing w:after="40"/>
        <w:rPr>
          <w:shd w:val="clear" w:color="auto" w:fill="FFFFFF"/>
        </w:rPr>
      </w:pPr>
      <w:r w:rsidRPr="00BD29EC">
        <w:t xml:space="preserve">Показатель </w:t>
      </w:r>
      <w:r w:rsidR="00741A39">
        <w:t>1</w:t>
      </w:r>
      <w:r w:rsidR="00107A08">
        <w:t>6</w:t>
      </w:r>
      <w:r w:rsidR="00780F08" w:rsidRPr="00BD29EC">
        <w:t>.</w:t>
      </w:r>
      <w:r w:rsidR="002652D0">
        <w:t>3</w:t>
      </w:r>
      <w:r w:rsidR="002064C4">
        <w:t>.</w:t>
      </w:r>
      <w:r w:rsidR="00BA46DB">
        <w:t>2</w:t>
      </w:r>
      <w:r w:rsidR="00C95AB2">
        <w:t>.</w:t>
      </w:r>
      <w:r w:rsidR="00780F08" w:rsidRPr="00BD29EC">
        <w:t xml:space="preserve"> </w:t>
      </w:r>
      <w:r w:rsidR="00BA46DB">
        <w:rPr>
          <w:shd w:val="clear" w:color="auto" w:fill="FFFFFF"/>
        </w:rPr>
        <w:t>Доля лиц, задерживаемых до вынесения приговора, в общей численности заключенных.</w:t>
      </w:r>
    </w:p>
    <w:p w:rsidR="003143BC" w:rsidRDefault="003143BC" w:rsidP="00570131">
      <w:pPr>
        <w:spacing w:after="4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3A325C" w:rsidRPr="00570131" w:rsidRDefault="00570131" w:rsidP="00570131">
      <w:pPr>
        <w:pBdr>
          <w:top w:val="nil"/>
          <w:left w:val="nil"/>
          <w:bottom w:val="nil"/>
          <w:right w:val="nil"/>
          <w:between w:val="nil"/>
          <w:bar w:val="nil"/>
        </w:pBdr>
        <w:tabs>
          <w:tab w:val="left" w:pos="284"/>
        </w:tabs>
        <w:spacing w:after="40"/>
      </w:pPr>
      <w:r w:rsidRPr="00570131">
        <w:rPr>
          <w:lang w:val="en-GB"/>
        </w:rPr>
        <w:t>VC</w:t>
      </w:r>
      <w:r w:rsidRPr="00570131">
        <w:t>_</w:t>
      </w:r>
      <w:r w:rsidRPr="00570131">
        <w:rPr>
          <w:lang w:val="en-GB"/>
        </w:rPr>
        <w:t>PRS</w:t>
      </w:r>
      <w:r w:rsidRPr="00570131">
        <w:t>_</w:t>
      </w:r>
      <w:r w:rsidRPr="00570131">
        <w:rPr>
          <w:lang w:val="en-GB"/>
        </w:rPr>
        <w:t>UNSNT</w:t>
      </w:r>
      <w:r w:rsidRPr="00570131">
        <w:t xml:space="preserve"> –</w:t>
      </w:r>
      <w:r>
        <w:t xml:space="preserve"> </w:t>
      </w:r>
      <w:r w:rsidRPr="00570131">
        <w:t>Доля лиц, задерживаемых до вынесения приговора, в общей численности заключенных [16.3.2]</w:t>
      </w:r>
    </w:p>
    <w:p w:rsidR="00004BE3" w:rsidRPr="00004BE3" w:rsidRDefault="00C8596F" w:rsidP="00570131">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C82950" w:rsidRPr="00A96255" w:rsidRDefault="00570131" w:rsidP="00570131">
      <w:pPr>
        <w:spacing w:after="40"/>
      </w:pPr>
      <w:r>
        <w:t>31.01.2023</w:t>
      </w:r>
    </w:p>
    <w:p w:rsidR="00C8596F" w:rsidRDefault="00C8596F" w:rsidP="00570131">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004BE3" w:rsidRPr="00DA19D7" w:rsidRDefault="00570131" w:rsidP="00570131">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570131">
        <w:t>Несколько других показателей ЦУР связаны с доступом к правосудию и эффективностью системы уголовного правосудия: показатель 16.3.1 по сообщению властям о случаях насилия; показатель 16.3.3. по доступу к механизму разрешения споров.</w:t>
      </w:r>
    </w:p>
    <w:p w:rsidR="00A91FDE" w:rsidRDefault="00E33CA8" w:rsidP="00570131">
      <w:pPr>
        <w:pBdr>
          <w:top w:val="nil"/>
          <w:left w:val="nil"/>
          <w:bottom w:val="nil"/>
          <w:right w:val="nil"/>
          <w:between w:val="nil"/>
          <w:bar w:val="nil"/>
        </w:pBdr>
        <w:tabs>
          <w:tab w:val="left" w:pos="284"/>
        </w:tabs>
        <w:spacing w:after="4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C82950" w:rsidRDefault="00C82950" w:rsidP="00570131">
      <w:pPr>
        <w:spacing w:after="40"/>
        <w:rPr>
          <w:bdr w:val="nil"/>
          <w:lang w:eastAsia="ru-RU"/>
        </w:rPr>
      </w:pPr>
      <w:r w:rsidRPr="00C82950">
        <w:rPr>
          <w:bdr w:val="nil"/>
          <w:lang w:eastAsia="ru-RU"/>
        </w:rPr>
        <w:t>Управление Организации Объединенных Наций по наркотикам и преступности (УНП ООН)</w:t>
      </w:r>
    </w:p>
    <w:p w:rsidR="00570131" w:rsidRDefault="00570131" w:rsidP="00570131">
      <w:pPr>
        <w:spacing w:after="40"/>
        <w:rPr>
          <w:bdr w:val="nil"/>
          <w:lang w:eastAsia="ru-RU"/>
        </w:rPr>
      </w:pPr>
    </w:p>
    <w:p w:rsidR="00957A62" w:rsidRPr="00BD29EC" w:rsidRDefault="00957A62" w:rsidP="00570131">
      <w:pPr>
        <w:pStyle w:val="MHeader"/>
        <w:spacing w:after="40"/>
        <w:rPr>
          <w:b/>
          <w:color w:val="auto"/>
          <w:sz w:val="24"/>
          <w:szCs w:val="24"/>
          <w:lang w:val="ru-RU"/>
        </w:rPr>
      </w:pPr>
      <w:bookmarkStart w:id="0" w:name="_Toc37932744"/>
      <w:bookmarkStart w:id="1" w:name="_Toc36813072"/>
      <w:bookmarkStart w:id="2" w:name="_Toc36812685"/>
      <w:bookmarkStart w:id="3" w:name="_Toc36812572"/>
      <w:bookmarkStart w:id="4" w:name="_Toc36655609"/>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Default="00957A62" w:rsidP="00570131">
      <w:pPr>
        <w:pStyle w:val="MHeader2"/>
        <w:spacing w:after="40"/>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C82950" w:rsidRDefault="00A634FB" w:rsidP="00570131">
      <w:pPr>
        <w:spacing w:after="40"/>
        <w:rPr>
          <w:bdr w:val="nil"/>
          <w:lang w:eastAsia="ru-RU"/>
        </w:rPr>
      </w:pPr>
      <w:hyperlink r:id="rId9" w:history="1">
        <w:r>
          <w:rPr>
            <w:rStyle w:val="ac"/>
            <w:bdr w:val="nil"/>
            <w:lang w:eastAsia="ru-RU"/>
          </w:rPr>
          <w:t>Управление Организации Объединенных Наций по наркотикам и преступности</w:t>
        </w:r>
      </w:hyperlink>
      <w:r>
        <w:rPr>
          <w:bdr w:val="nil"/>
          <w:lang w:eastAsia="ru-RU"/>
        </w:rPr>
        <w:t xml:space="preserve"> </w:t>
      </w:r>
      <w:r w:rsidR="00C82950" w:rsidRPr="00C82950">
        <w:rPr>
          <w:bdr w:val="nil"/>
          <w:lang w:eastAsia="ru-RU"/>
        </w:rPr>
        <w:t>(УНП ООН)</w:t>
      </w:r>
    </w:p>
    <w:p w:rsidR="00A634FB" w:rsidRPr="00C82950" w:rsidRDefault="00A634FB" w:rsidP="00570131">
      <w:pPr>
        <w:spacing w:after="40"/>
        <w:rPr>
          <w:bdr w:val="nil"/>
          <w:lang w:eastAsia="ru-RU"/>
        </w:rPr>
      </w:pPr>
    </w:p>
    <w:p w:rsidR="00957A62" w:rsidRPr="00BD29EC" w:rsidRDefault="00957A62" w:rsidP="00570131">
      <w:pPr>
        <w:pStyle w:val="MHeader"/>
        <w:spacing w:after="40"/>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570131">
      <w:pPr>
        <w:pStyle w:val="MHeader2"/>
        <w:spacing w:after="40"/>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570131" w:rsidRDefault="00DA19D7" w:rsidP="00570131">
      <w:pPr>
        <w:spacing w:after="40"/>
        <w:rPr>
          <w:b/>
        </w:rPr>
      </w:pPr>
      <w:r w:rsidRPr="00570131">
        <w:rPr>
          <w:b/>
        </w:rPr>
        <w:t>Определение:</w:t>
      </w:r>
    </w:p>
    <w:p w:rsidR="00A634FB" w:rsidRDefault="00C82950" w:rsidP="00570131">
      <w:pPr>
        <w:spacing w:after="40"/>
      </w:pPr>
      <w:r w:rsidRPr="00C82950">
        <w:t>Общее количество лиц, содержащихся под стражей, которым еще не был вынесен приговор, в процентах от общего числа лиц, содержащихся под стражей, на указанную дату.</w:t>
      </w:r>
    </w:p>
    <w:p w:rsidR="00A634FB" w:rsidRDefault="00A634FB" w:rsidP="00570131">
      <w:pPr>
        <w:spacing w:after="40"/>
      </w:pPr>
    </w:p>
    <w:p w:rsidR="00DA19D7" w:rsidRPr="00570131" w:rsidRDefault="003859BD" w:rsidP="00570131">
      <w:pPr>
        <w:spacing w:after="40"/>
        <w:rPr>
          <w:b/>
        </w:rPr>
      </w:pPr>
      <w:r w:rsidRPr="00570131">
        <w:rPr>
          <w:b/>
        </w:rPr>
        <w:lastRenderedPageBreak/>
        <w:t>Основные понятия</w:t>
      </w:r>
      <w:r w:rsidR="00570131" w:rsidRPr="00570131">
        <w:rPr>
          <w:b/>
        </w:rPr>
        <w:t>:</w:t>
      </w:r>
    </w:p>
    <w:p w:rsidR="00C57A9A" w:rsidRDefault="00C57A9A" w:rsidP="00570131">
      <w:pPr>
        <w:spacing w:after="40"/>
      </w:pPr>
    </w:p>
    <w:p w:rsidR="00C57A9A" w:rsidRDefault="00C57A9A" w:rsidP="00C57A9A">
      <w:pPr>
        <w:spacing w:after="40"/>
      </w:pPr>
      <w:r w:rsidRPr="00C57A9A">
        <w:rPr>
          <w:u w:val="single"/>
        </w:rPr>
        <w:t>«Лица, содержащиеся под стражей»</w:t>
      </w:r>
      <w:r>
        <w:t xml:space="preserve"> относятся к лицам, содержащимся в тюрьмах, пенитенциарных учреждениях или исправительных учреждениях в определенный день, и не должны включать </w:t>
      </w:r>
      <w:proofErr w:type="spellStart"/>
      <w:r>
        <w:t>неуголовных</w:t>
      </w:r>
      <w:proofErr w:type="spellEnd"/>
      <w:r>
        <w:t xml:space="preserve"> заключенных, содержащихся в административных целях, например, лиц, содержащихся в ожидании расследования их иммиграционного статуса, или иностранных граждан без законного права на пребывание. Кроме того, лица, находящиеся под домашним арестом, лица, находящиеся под другими формами санкций или надзора, такими как электронное наблюдение или наблюдение на уровне сообщества, должны быть исключены из тюремного населения (лиц, содержащихся в тюрьме). </w:t>
      </w:r>
    </w:p>
    <w:p w:rsidR="00C57A9A" w:rsidRDefault="00C57A9A" w:rsidP="00C57A9A">
      <w:pPr>
        <w:spacing w:after="40"/>
      </w:pPr>
      <w:r w:rsidRPr="00C57A9A">
        <w:rPr>
          <w:u w:val="single"/>
        </w:rPr>
        <w:t xml:space="preserve">«Лица, задерживаемые </w:t>
      </w:r>
      <w:r>
        <w:rPr>
          <w:u w:val="single"/>
        </w:rPr>
        <w:t>после</w:t>
      </w:r>
      <w:r w:rsidRPr="00C57A9A">
        <w:rPr>
          <w:u w:val="single"/>
        </w:rPr>
        <w:t xml:space="preserve"> вынесения приговора»</w:t>
      </w:r>
      <w:r>
        <w:t xml:space="preserve"> относятся к лицам, содержащимся в тюрьмах, пенитенциарных учреждениях или исправительных учреждениях после вынесения решения первой инстанции или окончательного решения по их делу компетентным органом. Сюда входят осужденные заключенные с окончательным решением и лица, содержащиеся под стражей, ожидающие результатов апелляции в отношении вердикта или приговора или находящиеся в пределах установленных законом сроков для апелляции. Лица, содержащиеся под стражей, которые получили наказание в виде лишения свободы за одно преступление, но все еще находятся под судом и не приговорены за другое преступление, должны учитываться как осужденные. Кроме того, в целях международной сопоставимости, лица, содержащиеся под стражей, которые были осуждены за преступление (по решению суда первой инстанции), но которые еще не получили приговор, также должны рассматриваться как «осужденные», даже если национальные определения осужденных заклю</w:t>
      </w:r>
      <w:r>
        <w:t>ченных являются более узкими.</w:t>
      </w:r>
    </w:p>
    <w:p w:rsidR="00C57A9A" w:rsidRDefault="00C57A9A" w:rsidP="00C57A9A">
      <w:pPr>
        <w:spacing w:after="40"/>
      </w:pPr>
    </w:p>
    <w:p w:rsidR="00C57A9A" w:rsidRDefault="00C57A9A" w:rsidP="00C57A9A">
      <w:pPr>
        <w:spacing w:after="40"/>
      </w:pPr>
      <w:r w:rsidRPr="00C57A9A">
        <w:rPr>
          <w:u w:val="single"/>
        </w:rPr>
        <w:t>«Л</w:t>
      </w:r>
      <w:r w:rsidRPr="00C57A9A">
        <w:rPr>
          <w:u w:val="single"/>
        </w:rPr>
        <w:t>ица, задерживаемые до вынесения</w:t>
      </w:r>
      <w:r w:rsidRPr="00C57A9A">
        <w:rPr>
          <w:u w:val="single"/>
        </w:rPr>
        <w:t xml:space="preserve"> приговора»</w:t>
      </w:r>
      <w:r>
        <w:t xml:space="preserve"> </w:t>
      </w:r>
      <w:r>
        <w:t xml:space="preserve">относятся к лицам, содержащимся в тюрьмах, пенитенциарных учреждениях или исправительных учреждениях, которые не предстали перед судом, находятся в предварительном заключении или ожидают решения первой инстанции по их делу от компетентного органа относительно их осуждения или оправдания. Лица, содержащиеся под стражей </w:t>
      </w:r>
      <w:proofErr w:type="gramStart"/>
      <w:r>
        <w:t>до</w:t>
      </w:r>
      <w:proofErr w:type="gramEnd"/>
      <w:r>
        <w:t xml:space="preserve"> и </w:t>
      </w:r>
      <w:proofErr w:type="gramStart"/>
      <w:r>
        <w:t>во</w:t>
      </w:r>
      <w:proofErr w:type="gramEnd"/>
      <w:r>
        <w:t xml:space="preserve"> время суда, должны быть включены. Осужденные лица, содержащиеся под стражей в ожидании результатов апелляции в отношении вердикта или приговора или которые находятся в пределах установленных законом сроков для обжалования своего приговора, должны быть исключены.</w:t>
      </w:r>
    </w:p>
    <w:p w:rsidR="00C57A9A" w:rsidRPr="00C57A9A" w:rsidRDefault="00C57A9A" w:rsidP="00570131">
      <w:pPr>
        <w:spacing w:after="40"/>
      </w:pPr>
    </w:p>
    <w:p w:rsidR="00407E4E" w:rsidRPr="00BD29EC" w:rsidRDefault="00407E4E" w:rsidP="00570131">
      <w:pPr>
        <w:pStyle w:val="MHeader2"/>
        <w:spacing w:after="40"/>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Default="00774268" w:rsidP="00570131">
      <w:pPr>
        <w:pBdr>
          <w:top w:val="nil"/>
          <w:left w:val="nil"/>
          <w:bottom w:val="nil"/>
          <w:right w:val="nil"/>
          <w:between w:val="nil"/>
          <w:bar w:val="nil"/>
        </w:pBdr>
        <w:spacing w:after="40"/>
        <w:rPr>
          <w:rFonts w:cs="Times New Roman"/>
          <w:szCs w:val="24"/>
        </w:rPr>
      </w:pPr>
      <w:r>
        <w:rPr>
          <w:rFonts w:cs="Times New Roman"/>
          <w:szCs w:val="24"/>
        </w:rPr>
        <w:t>Процент</w:t>
      </w:r>
      <w:proofErr w:type="gramStart"/>
      <w:r>
        <w:rPr>
          <w:rFonts w:cs="Times New Roman"/>
          <w:szCs w:val="24"/>
        </w:rPr>
        <w:t xml:space="preserve"> (%)</w:t>
      </w:r>
      <w:proofErr w:type="gramEnd"/>
    </w:p>
    <w:p w:rsidR="00774268" w:rsidRPr="00BD29EC" w:rsidRDefault="00774268" w:rsidP="00570131">
      <w:pPr>
        <w:pBdr>
          <w:top w:val="nil"/>
          <w:left w:val="nil"/>
          <w:bottom w:val="nil"/>
          <w:right w:val="nil"/>
          <w:between w:val="nil"/>
          <w:bar w:val="nil"/>
        </w:pBdr>
        <w:spacing w:after="40"/>
        <w:rPr>
          <w:rFonts w:cs="Times New Roman"/>
          <w:szCs w:val="24"/>
        </w:rPr>
      </w:pPr>
    </w:p>
    <w:p w:rsidR="000A229E" w:rsidRPr="00BD29EC" w:rsidRDefault="000A229E" w:rsidP="00570131">
      <w:pPr>
        <w:pStyle w:val="MHeader2"/>
        <w:spacing w:after="40"/>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Default="00774268" w:rsidP="00570131">
      <w:pPr>
        <w:pStyle w:val="MText"/>
        <w:spacing w:after="40"/>
        <w:rPr>
          <w:color w:val="auto"/>
          <w:sz w:val="24"/>
          <w:szCs w:val="24"/>
          <w:lang w:val="ru-RU"/>
        </w:rPr>
      </w:pPr>
      <w:r>
        <w:rPr>
          <w:color w:val="auto"/>
          <w:sz w:val="24"/>
          <w:szCs w:val="24"/>
          <w:lang w:val="ru-RU"/>
        </w:rPr>
        <w:t>Не применимо</w:t>
      </w:r>
    </w:p>
    <w:p w:rsidR="00774268" w:rsidRDefault="00774268" w:rsidP="00570131">
      <w:pPr>
        <w:pStyle w:val="MText"/>
        <w:spacing w:after="40"/>
        <w:rPr>
          <w:color w:val="auto"/>
          <w:sz w:val="24"/>
          <w:szCs w:val="24"/>
          <w:lang w:val="ru-RU"/>
        </w:rPr>
      </w:pPr>
    </w:p>
    <w:p w:rsidR="00774268" w:rsidRDefault="00774268" w:rsidP="00570131">
      <w:pPr>
        <w:pStyle w:val="MText"/>
        <w:spacing w:after="40"/>
        <w:rPr>
          <w:color w:val="auto"/>
          <w:sz w:val="24"/>
          <w:szCs w:val="24"/>
          <w:lang w:val="ru-RU"/>
        </w:rPr>
      </w:pPr>
    </w:p>
    <w:p w:rsidR="00774268" w:rsidRPr="00BD29EC" w:rsidRDefault="00774268" w:rsidP="00570131">
      <w:pPr>
        <w:pStyle w:val="MText"/>
        <w:spacing w:after="40"/>
        <w:rPr>
          <w:color w:val="auto"/>
          <w:sz w:val="24"/>
          <w:szCs w:val="24"/>
          <w:lang w:val="ru-RU"/>
        </w:rPr>
      </w:pPr>
    </w:p>
    <w:p w:rsidR="000A229E" w:rsidRPr="00BD29EC" w:rsidRDefault="000A229E" w:rsidP="00570131">
      <w:pPr>
        <w:pStyle w:val="MHeader"/>
        <w:spacing w:after="40"/>
        <w:rPr>
          <w:b/>
          <w:color w:val="auto"/>
          <w:sz w:val="24"/>
          <w:szCs w:val="24"/>
          <w:lang w:val="ru-RU"/>
        </w:rPr>
      </w:pPr>
      <w:r w:rsidRPr="00BD29EC">
        <w:rPr>
          <w:b/>
          <w:color w:val="auto"/>
          <w:sz w:val="24"/>
          <w:szCs w:val="24"/>
          <w:lang w:val="ru-RU"/>
        </w:rPr>
        <w:lastRenderedPageBreak/>
        <w:t>3. Тип источника данных и метод сбора данных</w:t>
      </w:r>
    </w:p>
    <w:p w:rsidR="000A229E" w:rsidRDefault="000A229E" w:rsidP="00570131">
      <w:pPr>
        <w:pStyle w:val="MHeader2"/>
        <w:spacing w:after="40"/>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151ADA" w:rsidRDefault="00774268" w:rsidP="00570131">
      <w:pPr>
        <w:spacing w:after="40"/>
      </w:pPr>
      <w:r w:rsidRPr="00774268">
        <w:t>УНП ООН собирает данные о тюрьмах напрямую от национальных тюремных властей посредством ежегодного сбора данных о преступности и уголовном правосудии (</w:t>
      </w:r>
      <w:hyperlink r:id="rId10" w:history="1">
        <w:r w:rsidR="0063221F">
          <w:rPr>
            <w:rStyle w:val="ac"/>
          </w:rPr>
          <w:t>Обследование тенденций в области преступности и функционирования систем уголовного правосудия ООН</w:t>
        </w:r>
      </w:hyperlink>
      <w:r w:rsidRPr="00774268">
        <w:t xml:space="preserve">, Программа Организации Объединенных Наций в области предупреждения преступности и уголовного правосудия </w:t>
      </w:r>
      <w:r w:rsidR="00DE37BF" w:rsidRPr="00DE37BF">
        <w:t>(</w:t>
      </w:r>
      <w:r w:rsidRPr="00774268">
        <w:t>UN-CTS</w:t>
      </w:r>
      <w:r w:rsidR="00DE37BF" w:rsidRPr="00DE37BF">
        <w:t>)</w:t>
      </w:r>
      <w:r w:rsidRPr="00774268">
        <w:t xml:space="preserve">). Кроме того, УНП ООН собирает данные о тюрьмах от национальных статистических управлений посредством ежегодной проверки перед публикацией ЦУР. Кроме того, тюремные данные периодически дополняются путем консультаций с национальными данными, собранными независимыми исследовательскими инициативами (такими как </w:t>
      </w:r>
      <w:hyperlink r:id="rId11" w:history="1">
        <w:r w:rsidR="00151ADA" w:rsidRPr="00151ADA">
          <w:rPr>
            <w:rStyle w:val="ac"/>
            <w:lang w:val="en-GB"/>
          </w:rPr>
          <w:t>World</w:t>
        </w:r>
        <w:r w:rsidR="00151ADA" w:rsidRPr="00151ADA">
          <w:rPr>
            <w:rStyle w:val="ac"/>
          </w:rPr>
          <w:t xml:space="preserve"> </w:t>
        </w:r>
        <w:r w:rsidR="00151ADA" w:rsidRPr="00151ADA">
          <w:rPr>
            <w:rStyle w:val="ac"/>
            <w:lang w:val="en-GB"/>
          </w:rPr>
          <w:t>Prison</w:t>
        </w:r>
        <w:r w:rsidR="00151ADA" w:rsidRPr="00151ADA">
          <w:rPr>
            <w:rStyle w:val="ac"/>
          </w:rPr>
          <w:t xml:space="preserve"> </w:t>
        </w:r>
        <w:r w:rsidR="00151ADA" w:rsidRPr="00151ADA">
          <w:rPr>
            <w:rStyle w:val="ac"/>
            <w:lang w:val="en-GB"/>
          </w:rPr>
          <w:t>Brief</w:t>
        </w:r>
      </w:hyperlink>
      <w:r w:rsidRPr="00774268">
        <w:t>) или неправит</w:t>
      </w:r>
      <w:r w:rsidR="00151ADA">
        <w:t>ельственными источниками.</w:t>
      </w:r>
    </w:p>
    <w:p w:rsidR="006C461F" w:rsidRPr="00BD29EC" w:rsidRDefault="00774268" w:rsidP="00570131">
      <w:pPr>
        <w:spacing w:after="40"/>
      </w:pPr>
      <w:r w:rsidRPr="00774268">
        <w:t xml:space="preserve">Данные о населении получены из </w:t>
      </w:r>
      <w:hyperlink r:id="rId12" w:history="1">
        <w:r w:rsidR="00151ADA">
          <w:t>«</w:t>
        </w:r>
        <w:r w:rsidR="00151ADA">
          <w:rPr>
            <w:rStyle w:val="ac"/>
          </w:rPr>
          <w:t>Перспективы мирового населения</w:t>
        </w:r>
      </w:hyperlink>
      <w:r w:rsidR="00151ADA">
        <w:t>»</w:t>
      </w:r>
      <w:r w:rsidRPr="00774268">
        <w:t>, Отдела народонаселения, Департамента по экономическим и социальным вопросам Организации Объединенных Наций.</w:t>
      </w:r>
    </w:p>
    <w:p w:rsidR="000A229E" w:rsidRDefault="000A229E" w:rsidP="00570131">
      <w:pPr>
        <w:pStyle w:val="MHeader2"/>
        <w:spacing w:after="40"/>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6C461F" w:rsidRPr="000B3117" w:rsidRDefault="006C461F" w:rsidP="00570131">
      <w:pPr>
        <w:spacing w:after="40"/>
      </w:pPr>
      <w:r w:rsidRPr="000B3117">
        <w:t>Существует сводная система ежегодного сбора данных о преступности и уголовном правосудии (</w:t>
      </w:r>
      <w:hyperlink r:id="rId13" w:history="1">
        <w:r w:rsidR="007326DC">
          <w:rPr>
            <w:rStyle w:val="ac"/>
          </w:rPr>
          <w:t>Обследование тенденций в области преступности в ООН</w:t>
        </w:r>
      </w:hyperlink>
      <w:r w:rsidRPr="000B3117">
        <w:t>, UN-CTS), которое представляет собой основу данных о неосужденных задержанных. Сбор данных UN-CTS во многом основывается на сети национальных координационных центров, которые являются учреждениями / должностными лицами, назначенными странами и имеющими технический потенциал в части разработки данных о преступности и уголовном правосудии (около 130 назначенных координаторов по состоянию на 2016 год). Кроме того, в части стран с недостающими данными, данные собираются Институтом исследований уголовной политики (</w:t>
      </w:r>
      <w:hyperlink r:id="rId14" w:history="1">
        <w:r w:rsidR="00151ADA" w:rsidRPr="00151ADA">
          <w:rPr>
            <w:rStyle w:val="ac"/>
            <w:lang w:val="en-GB"/>
          </w:rPr>
          <w:t>World</w:t>
        </w:r>
        <w:r w:rsidR="00151ADA" w:rsidRPr="00151ADA">
          <w:rPr>
            <w:rStyle w:val="ac"/>
          </w:rPr>
          <w:t xml:space="preserve"> </w:t>
        </w:r>
        <w:r w:rsidR="00151ADA" w:rsidRPr="00151ADA">
          <w:rPr>
            <w:rStyle w:val="ac"/>
            <w:lang w:val="en-GB"/>
          </w:rPr>
          <w:t>Prison</w:t>
        </w:r>
        <w:r w:rsidR="00151ADA" w:rsidRPr="00151ADA">
          <w:rPr>
            <w:rStyle w:val="ac"/>
          </w:rPr>
          <w:t xml:space="preserve"> </w:t>
        </w:r>
        <w:r w:rsidR="00151ADA" w:rsidRPr="00151ADA">
          <w:rPr>
            <w:rStyle w:val="ac"/>
            <w:lang w:val="en-GB"/>
          </w:rPr>
          <w:t>Brief</w:t>
        </w:r>
      </w:hyperlink>
      <w:r w:rsidRPr="000B3117">
        <w:t>), который получает данные непосредственно из национальных тюремных администраций или с сайтов министерств юстиции или других официальных учреждений. Для будущих отчетов по ЦУР данные будут отправлены странам для консультаций до публикации.</w:t>
      </w:r>
    </w:p>
    <w:p w:rsidR="000A229E" w:rsidRDefault="000A229E" w:rsidP="00570131">
      <w:pPr>
        <w:pStyle w:val="MHeader2"/>
        <w:spacing w:after="40"/>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6C461F" w:rsidRPr="00840BBA" w:rsidRDefault="006C461F" w:rsidP="00570131">
      <w:pPr>
        <w:spacing w:after="40"/>
        <w:rPr>
          <w:lang w:val="en-US"/>
        </w:rPr>
      </w:pPr>
      <w:r w:rsidRPr="006C461F">
        <w:t xml:space="preserve">III-VI квартал </w:t>
      </w:r>
      <w:r w:rsidR="00840BBA">
        <w:t xml:space="preserve">года </w:t>
      </w:r>
      <w:r w:rsidR="00840BBA">
        <w:rPr>
          <w:lang w:val="en-US"/>
        </w:rPr>
        <w:t>n</w:t>
      </w:r>
    </w:p>
    <w:p w:rsidR="000A229E" w:rsidRDefault="000A229E" w:rsidP="00570131">
      <w:pPr>
        <w:pStyle w:val="MHeader2"/>
        <w:spacing w:after="40"/>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6C461F" w:rsidRPr="00840BBA" w:rsidRDefault="006C461F" w:rsidP="00570131">
      <w:pPr>
        <w:spacing w:after="40"/>
      </w:pPr>
      <w:r w:rsidRPr="006C461F">
        <w:t xml:space="preserve">II квартал </w:t>
      </w:r>
      <w:r w:rsidR="00840BBA">
        <w:t xml:space="preserve">года </w:t>
      </w:r>
      <w:r w:rsidR="00840BBA">
        <w:rPr>
          <w:lang w:val="en-US"/>
        </w:rPr>
        <w:t>n</w:t>
      </w:r>
      <w:r w:rsidR="00840BBA" w:rsidRPr="00840BBA">
        <w:t>+1 (</w:t>
      </w:r>
      <w:r w:rsidR="00840BBA">
        <w:t xml:space="preserve">данные предоставляются за год </w:t>
      </w:r>
      <w:r w:rsidR="00840BBA">
        <w:rPr>
          <w:lang w:val="en-US"/>
        </w:rPr>
        <w:t>n</w:t>
      </w:r>
      <w:r w:rsidR="00840BBA" w:rsidRPr="00840BBA">
        <w:t>-1). Например, данные за 2023 год собираются в III–IV кварталах 2024 года и публикуются во II квартале 2025 года.</w:t>
      </w:r>
    </w:p>
    <w:p w:rsidR="000A229E" w:rsidRDefault="000A229E" w:rsidP="00570131">
      <w:pPr>
        <w:pStyle w:val="MHeader2"/>
        <w:spacing w:after="40"/>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6C461F" w:rsidRPr="00A71EC6" w:rsidRDefault="006C461F" w:rsidP="00570131">
      <w:pPr>
        <w:spacing w:after="40"/>
      </w:pPr>
      <w:r w:rsidRPr="006C461F">
        <w:t>Национальное управление пенитенциарной системы через координатора UN-CTS</w:t>
      </w:r>
    </w:p>
    <w:p w:rsidR="000A229E" w:rsidRDefault="000A229E" w:rsidP="00570131">
      <w:pPr>
        <w:pStyle w:val="MHeader2"/>
        <w:spacing w:after="40"/>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6C461F" w:rsidRDefault="006C461F" w:rsidP="00570131">
      <w:pPr>
        <w:spacing w:after="40"/>
      </w:pPr>
      <w:r>
        <w:t>УНП ООН</w:t>
      </w:r>
    </w:p>
    <w:p w:rsidR="00840BBA" w:rsidRPr="00BD29EC" w:rsidRDefault="00840BBA" w:rsidP="00570131">
      <w:pPr>
        <w:spacing w:after="40"/>
      </w:pPr>
      <w:r w:rsidRPr="00840BBA">
        <w:t xml:space="preserve">На международном уровне данные о тюрьмах регулярно собираются и распространяются Управлением ООН по наркотикам и преступности (УНП ООН) посредством ежегодного сбора данных UN-CTS. УНП ООН сотрудничает с региональными организациями в сборе и распространении данных об убийствах, соответственно с </w:t>
      </w:r>
      <w:proofErr w:type="spellStart"/>
      <w:r w:rsidRPr="00840BBA">
        <w:t>Евростатом</w:t>
      </w:r>
      <w:proofErr w:type="spellEnd"/>
      <w:r w:rsidRPr="00840BBA">
        <w:t xml:space="preserve"> в Европе и с </w:t>
      </w:r>
      <w:r w:rsidRPr="00840BBA">
        <w:lastRenderedPageBreak/>
        <w:t xml:space="preserve">Организацией американских государств в Америке. В случае отсутствия данных УНП ООН рассматривает национальные данные, собранные </w:t>
      </w:r>
      <w:proofErr w:type="spellStart"/>
      <w:r w:rsidRPr="00840BBA">
        <w:t>World</w:t>
      </w:r>
      <w:proofErr w:type="spellEnd"/>
      <w:r w:rsidRPr="00840BBA">
        <w:t xml:space="preserve"> </w:t>
      </w:r>
      <w:proofErr w:type="spellStart"/>
      <w:r w:rsidRPr="00840BBA">
        <w:t>Prison</w:t>
      </w:r>
      <w:proofErr w:type="spellEnd"/>
      <w:r w:rsidRPr="00840BBA">
        <w:t xml:space="preserve"> </w:t>
      </w:r>
      <w:proofErr w:type="spellStart"/>
      <w:r w:rsidRPr="00840BBA">
        <w:t>Brief</w:t>
      </w:r>
      <w:proofErr w:type="spellEnd"/>
      <w:r w:rsidRPr="00840BBA">
        <w:t xml:space="preserve"> и другими национальными источниками.</w:t>
      </w:r>
    </w:p>
    <w:p w:rsidR="000A229E" w:rsidRPr="00BD29EC" w:rsidRDefault="000A229E" w:rsidP="00570131">
      <w:pPr>
        <w:pStyle w:val="MHeader2"/>
        <w:spacing w:after="40"/>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840BBA" w:rsidRPr="00840BBA" w:rsidRDefault="0063221F" w:rsidP="00570131">
      <w:pPr>
        <w:pBdr>
          <w:top w:val="nil"/>
          <w:left w:val="nil"/>
          <w:bottom w:val="nil"/>
          <w:right w:val="nil"/>
          <w:between w:val="nil"/>
          <w:bar w:val="nil"/>
        </w:pBdr>
        <w:spacing w:after="40"/>
        <w:rPr>
          <w:rFonts w:cs="Times New Roman"/>
          <w:szCs w:val="24"/>
        </w:rPr>
      </w:pPr>
      <w:r>
        <w:rPr>
          <w:rFonts w:cs="Times New Roman"/>
          <w:szCs w:val="24"/>
        </w:rPr>
        <w:t>Обследование</w:t>
      </w:r>
      <w:r w:rsidR="00840BBA" w:rsidRPr="00840BBA">
        <w:rPr>
          <w:rFonts w:cs="Times New Roman"/>
          <w:szCs w:val="24"/>
        </w:rPr>
        <w:t xml:space="preserve"> тенденций в области преступности и функционирования систем уголовного правосудия Организации Объединенных Наций (UN-CTS) был введен в действие резолюцией Генеральной Ассамблеи </w:t>
      </w:r>
      <w:hyperlink r:id="rId15" w:history="1">
        <w:r w:rsidR="00840BBA" w:rsidRPr="00840BBA">
          <w:rPr>
            <w:rStyle w:val="ac"/>
            <w:rFonts w:cs="Times New Roman"/>
            <w:szCs w:val="24"/>
            <w:lang w:val="en-GB"/>
          </w:rPr>
          <w:t>A</w:t>
        </w:r>
        <w:r w:rsidR="00840BBA" w:rsidRPr="00840BBA">
          <w:rPr>
            <w:rStyle w:val="ac"/>
            <w:rFonts w:cs="Times New Roman"/>
            <w:szCs w:val="24"/>
          </w:rPr>
          <w:t>/</w:t>
        </w:r>
        <w:r w:rsidR="00840BBA" w:rsidRPr="00840BBA">
          <w:rPr>
            <w:rStyle w:val="ac"/>
            <w:rFonts w:cs="Times New Roman"/>
            <w:szCs w:val="24"/>
            <w:lang w:val="en-GB"/>
          </w:rPr>
          <w:t>RES</w:t>
        </w:r>
        <w:r w:rsidR="00840BBA" w:rsidRPr="00840BBA">
          <w:rPr>
            <w:rStyle w:val="ac"/>
            <w:rFonts w:cs="Times New Roman"/>
            <w:szCs w:val="24"/>
          </w:rPr>
          <w:t>/3021(</w:t>
        </w:r>
        <w:r w:rsidR="00840BBA" w:rsidRPr="00840BBA">
          <w:rPr>
            <w:rStyle w:val="ac"/>
            <w:rFonts w:cs="Times New Roman"/>
            <w:szCs w:val="24"/>
            <w:lang w:val="en-GB"/>
          </w:rPr>
          <w:t>XXVII</w:t>
        </w:r>
        <w:r w:rsidR="00840BBA" w:rsidRPr="00840BBA">
          <w:rPr>
            <w:rStyle w:val="ac"/>
            <w:rFonts w:cs="Times New Roman"/>
            <w:szCs w:val="24"/>
          </w:rPr>
          <w:t>)</w:t>
        </w:r>
      </w:hyperlink>
      <w:r w:rsidR="00840BBA" w:rsidRPr="00840BBA">
        <w:rPr>
          <w:rFonts w:cs="Times New Roman"/>
          <w:szCs w:val="24"/>
        </w:rPr>
        <w:t xml:space="preserve"> в 1972 году. Экономический и Социальный Совет в своей резолюции 1984/48 от 25 мая 1984 года просил Генерального секретаря поддерживать и развивать базу данных Организации Объединенных Наций по преступности путем продолжения проведения обзоров тенденций в области преступности и функционирования систем уголовного правосудия.</w:t>
      </w:r>
    </w:p>
    <w:p w:rsidR="00840BBA" w:rsidRPr="00BD29EC" w:rsidRDefault="00840BBA" w:rsidP="00570131">
      <w:pPr>
        <w:pBdr>
          <w:top w:val="nil"/>
          <w:left w:val="nil"/>
          <w:bottom w:val="nil"/>
          <w:right w:val="nil"/>
          <w:between w:val="nil"/>
          <w:bar w:val="nil"/>
        </w:pBdr>
        <w:spacing w:after="40"/>
        <w:rPr>
          <w:rFonts w:cs="Times New Roman"/>
          <w:b/>
          <w:szCs w:val="24"/>
        </w:rPr>
      </w:pPr>
    </w:p>
    <w:p w:rsidR="002E15F9" w:rsidRPr="00BD29EC" w:rsidRDefault="002E15F9" w:rsidP="00570131">
      <w:pPr>
        <w:pStyle w:val="MHeader"/>
        <w:spacing w:after="40"/>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570131">
      <w:pPr>
        <w:pStyle w:val="MHeader2"/>
        <w:spacing w:after="40"/>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2E15F9" w:rsidRPr="00BD29EC" w:rsidRDefault="006C461F" w:rsidP="00570131">
      <w:pPr>
        <w:spacing w:after="40"/>
      </w:pPr>
      <w:r w:rsidRPr="006C461F">
        <w:t xml:space="preserve">Этот показатель свидетельствует об общем соблюдении принципа, согласно которому лица, ожидающие суда, не должны содержаться под стражей без необходимости. Это, в свою очередь, основано на аспектах права считаться невиновным до тех пор, пока вина не будет доказана. С точки зрения развития, широкое использование содержания под стражей до вынесения приговора, когда это не требуется по таким причинам, как предотвращение побега, защита потерпевших или свидетелей или предотвращение совершения новых преступлений, может отвлекать ресурсы системы уголовного правосудия и </w:t>
      </w:r>
      <w:r w:rsidR="00404B26">
        <w:t>приводить к финансовым потерям и безработице</w:t>
      </w:r>
      <w:r w:rsidRPr="006C461F">
        <w:t xml:space="preserve"> для обвиняемого и его семьи. Измерение относительной степени использования содержания под стражей до вынесения приговора может предоставить данные, которые помогут странам снизить такое бремя и обеспечить его пропорциональное использование.</w:t>
      </w:r>
    </w:p>
    <w:p w:rsidR="002E15F9" w:rsidRDefault="002E15F9" w:rsidP="00570131">
      <w:pPr>
        <w:pStyle w:val="MHeader2"/>
        <w:spacing w:after="40"/>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404B26" w:rsidRDefault="00404B26" w:rsidP="00570131">
      <w:pPr>
        <w:spacing w:after="40"/>
      </w:pPr>
      <w:r w:rsidRPr="00404B26">
        <w:t>Цель связана с многоаспектными концепциями верховенства закона и доступа к правосудию, и для охвата основных элементов доступа к правосудию и эффективности системы правосудия требуется как минимум два показателя. Предлагаемый показатель 16.3.2 охватывает эффективность системы правосудия.</w:t>
      </w:r>
    </w:p>
    <w:p w:rsidR="002A02F8" w:rsidRDefault="002A02F8" w:rsidP="00570131">
      <w:pPr>
        <w:spacing w:after="40"/>
      </w:pPr>
    </w:p>
    <w:p w:rsidR="002A02F8" w:rsidRPr="00BD29EC" w:rsidRDefault="002A02F8" w:rsidP="00570131">
      <w:pPr>
        <w:spacing w:after="40"/>
      </w:pPr>
      <w:r w:rsidRPr="002A02F8">
        <w:t>Кроме того, нелегко определить конкретную цель для показателя 16.3.2. Это связано с тем, что предварительное заключение является неотъемлемой частью процесса уголовного правосудия, а очень низкая доля лиц, содержащихся под стражей без вынесения приговора (например, близкая к нулю), не обязательно отражает доступный и справедливый процесс уголовного правосудия.</w:t>
      </w:r>
    </w:p>
    <w:p w:rsidR="00404B26" w:rsidRDefault="002E15F9" w:rsidP="00570131">
      <w:pPr>
        <w:pStyle w:val="MHeader2"/>
        <w:spacing w:after="40"/>
        <w:rPr>
          <w:b/>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p>
    <w:p w:rsidR="002E15F9" w:rsidRDefault="002A02F8" w:rsidP="00570131">
      <w:pPr>
        <w:spacing w:after="40"/>
      </w:pPr>
      <w:proofErr w:type="gramStart"/>
      <w:r>
        <w:t>Показатель рассчитывается как о</w:t>
      </w:r>
      <w:r w:rsidR="00404B26" w:rsidRPr="00404B26">
        <w:t xml:space="preserve">бщее количество </w:t>
      </w:r>
      <w:r>
        <w:t>л</w:t>
      </w:r>
      <w:r w:rsidRPr="002A02F8">
        <w:t>ица, задерживаемы</w:t>
      </w:r>
      <w:r>
        <w:t>х до вынесения приговора</w:t>
      </w:r>
      <w:r w:rsidR="00404B26" w:rsidRPr="00404B26">
        <w:t>, разделенное на общее количество лиц, содержащихся</w:t>
      </w:r>
      <w:r>
        <w:t xml:space="preserve"> под стражей, на указанную дату, </w:t>
      </w:r>
      <w:r w:rsidRPr="002A02F8">
        <w:t>умноженное на 100</w:t>
      </w:r>
      <w:proofErr w:type="gramEnd"/>
    </w:p>
    <w:p w:rsidR="002A02F8" w:rsidRPr="002A02F8" w:rsidRDefault="002A02F8" w:rsidP="002A02F8">
      <w:pPr>
        <w:spacing w:after="40"/>
        <w:rPr>
          <w:rFonts w:eastAsiaTheme="minorEastAsia"/>
        </w:rPr>
      </w:pPr>
      <m:oMathPara>
        <m:oMath>
          <m:r>
            <w:rPr>
              <w:rFonts w:ascii="Cambria Math" w:hAnsi="Cambria Math"/>
              <w:lang w:val="en-US"/>
            </w:rPr>
            <m:t>Процент</m:t>
          </m:r>
          <m:r>
            <w:rPr>
              <w:rFonts w:ascii="Cambria Math" w:hAnsi="Cambria Math"/>
              <w:lang w:val="en-US"/>
            </w:rPr>
            <m:t>=100*</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Л</m:t>
                  </m:r>
                  <m:r>
                    <m:rPr>
                      <m:sty m:val="p"/>
                    </m:rPr>
                    <w:rPr>
                      <w:rFonts w:ascii="Cambria Math" w:hAnsi="Cambria Math"/>
                    </w:rPr>
                    <m:t>ица, задерживаемых до вынесения приговора</m:t>
                  </m:r>
                </m:e>
                <m:sub>
                  <m:r>
                    <w:rPr>
                      <w:rFonts w:ascii="Cambria Math" w:hAnsi="Cambria Math"/>
                      <w:lang w:val="en-US"/>
                    </w:rPr>
                    <m:t xml:space="preserve"> </m:t>
                  </m:r>
                </m:sub>
              </m:sSub>
            </m:num>
            <m:den>
              <m:sSub>
                <m:sSubPr>
                  <m:ctrlPr>
                    <w:rPr>
                      <w:rFonts w:ascii="Cambria Math" w:hAnsi="Cambria Math"/>
                      <w:i/>
                      <w:lang w:val="en-US"/>
                    </w:rPr>
                  </m:ctrlPr>
                </m:sSubPr>
                <m:e>
                  <m:r>
                    <m:rPr>
                      <m:sty m:val="p"/>
                    </m:rPr>
                    <w:rPr>
                      <w:rFonts w:ascii="Cambria Math" w:hAnsi="Cambria Math"/>
                    </w:rPr>
                    <m:t xml:space="preserve"> </m:t>
                  </m:r>
                  <m:r>
                    <m:rPr>
                      <m:sty m:val="p"/>
                    </m:rPr>
                    <w:rPr>
                      <w:rFonts w:ascii="Cambria Math" w:hAnsi="Cambria Math"/>
                    </w:rPr>
                    <m:t>Л</m:t>
                  </m:r>
                  <m:r>
                    <m:rPr>
                      <m:sty m:val="p"/>
                    </m:rPr>
                    <w:rPr>
                      <w:rFonts w:ascii="Cambria Math" w:hAnsi="Cambria Math"/>
                    </w:rPr>
                    <m:t>иц</m:t>
                  </m:r>
                  <m:r>
                    <m:rPr>
                      <m:sty m:val="p"/>
                    </m:rPr>
                    <w:rPr>
                      <w:rFonts w:ascii="Cambria Math" w:hAnsi="Cambria Math"/>
                    </w:rPr>
                    <m:t>а</m:t>
                  </m:r>
                  <m:r>
                    <m:rPr>
                      <m:sty m:val="p"/>
                    </m:rPr>
                    <w:rPr>
                      <w:rFonts w:ascii="Cambria Math" w:hAnsi="Cambria Math"/>
                    </w:rPr>
                    <m:t>, содержащи</m:t>
                  </m:r>
                  <m:r>
                    <m:rPr>
                      <m:sty m:val="p"/>
                    </m:rPr>
                    <w:rPr>
                      <w:rFonts w:ascii="Cambria Math" w:hAnsi="Cambria Math"/>
                    </w:rPr>
                    <m:t>ес</m:t>
                  </m:r>
                  <m:r>
                    <m:rPr>
                      <m:sty m:val="p"/>
                    </m:rPr>
                    <w:rPr>
                      <w:rFonts w:ascii="Cambria Math" w:hAnsi="Cambria Math"/>
                    </w:rPr>
                    <m:t>я под стражей</m:t>
                  </m:r>
                </m:e>
                <m:sub>
                  <m:r>
                    <w:rPr>
                      <w:rFonts w:ascii="Cambria Math" w:hAnsi="Cambria Math"/>
                      <w:lang w:val="en-US"/>
                    </w:rPr>
                    <m:t xml:space="preserve"> </m:t>
                  </m:r>
                </m:sub>
              </m:sSub>
            </m:den>
          </m:f>
        </m:oMath>
      </m:oMathPara>
    </w:p>
    <w:p w:rsidR="002A02F8" w:rsidRPr="00BD29EC" w:rsidRDefault="002A02F8" w:rsidP="00570131">
      <w:pPr>
        <w:spacing w:after="40"/>
      </w:pPr>
      <w:r w:rsidRPr="002A02F8">
        <w:lastRenderedPageBreak/>
        <w:t>Для расчета процентного соотношения по полу число лиц данного пола, задерживаемых до вынесения приговора,</w:t>
      </w:r>
      <w:r>
        <w:t xml:space="preserve"> </w:t>
      </w:r>
      <w:r w:rsidRPr="002A02F8">
        <w:t>следует разделить на число лиц того же пола, содержащихся под стражей.</w:t>
      </w:r>
    </w:p>
    <w:p w:rsidR="002E15F9" w:rsidRPr="00BD29EC" w:rsidRDefault="002E15F9" w:rsidP="00570131">
      <w:pPr>
        <w:pStyle w:val="MHeader2"/>
        <w:pBdr>
          <w:bottom w:val="single" w:sz="12" w:space="3" w:color="DDDDDD"/>
        </w:pBdr>
        <w:spacing w:after="40"/>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BD2948" w:rsidRDefault="00BD2948" w:rsidP="00570131">
      <w:pPr>
        <w:pStyle w:val="MHeader2"/>
        <w:spacing w:after="40"/>
        <w:rPr>
          <w:color w:val="auto"/>
          <w:sz w:val="24"/>
          <w:szCs w:val="24"/>
          <w:lang w:val="ru-RU"/>
        </w:rPr>
      </w:pPr>
      <w:r w:rsidRPr="00BD2948">
        <w:rPr>
          <w:color w:val="auto"/>
          <w:sz w:val="24"/>
          <w:szCs w:val="24"/>
          <w:lang w:val="ru-RU"/>
        </w:rPr>
        <w:t>После отправки вопросника UN-CTS УНП ООН проверяет его на предмет согласованности и непротиворечивости с другими источниками данных. Государства-члены, которые также являются частью Европейского союза или Европейской ассоциации свободной торговли, или кандидатами или потенциальными кандидатами в Европейский союз, направляют свои ответы на UN-CTS в Евростат для проверки. Организация американских государств также рассматривает ответы своих государств-членов. Все данные, представленные государствами-членами другими способами или взятые из других источников, добавляются в набор данных после проверки и проверки государствами-членами.</w:t>
      </w:r>
    </w:p>
    <w:p w:rsidR="002E15F9" w:rsidRPr="00BD29EC" w:rsidRDefault="002E15F9" w:rsidP="00570131">
      <w:pPr>
        <w:pStyle w:val="MHeader2"/>
        <w:spacing w:after="40"/>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BD2948" w:rsidRDefault="00BD2948" w:rsidP="00570131">
      <w:pPr>
        <w:pStyle w:val="MHeader2"/>
        <w:spacing w:after="40"/>
        <w:rPr>
          <w:color w:val="auto"/>
          <w:sz w:val="24"/>
          <w:szCs w:val="24"/>
          <w:lang w:val="ru-RU"/>
        </w:rPr>
      </w:pPr>
      <w:r>
        <w:rPr>
          <w:color w:val="auto"/>
          <w:sz w:val="24"/>
          <w:szCs w:val="24"/>
          <w:lang w:val="ru-RU"/>
        </w:rPr>
        <w:t>Не применимо</w:t>
      </w:r>
    </w:p>
    <w:p w:rsidR="002E15F9" w:rsidRPr="00BD29EC" w:rsidRDefault="002E15F9" w:rsidP="00570131">
      <w:pPr>
        <w:pStyle w:val="MHeader2"/>
        <w:spacing w:after="40"/>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BD29EC" w:rsidRDefault="00694160" w:rsidP="00BD2948">
      <w:pPr>
        <w:pStyle w:val="ab"/>
        <w:numPr>
          <w:ilvl w:val="0"/>
          <w:numId w:val="5"/>
        </w:numPr>
        <w:spacing w:after="40"/>
      </w:pPr>
      <w:r w:rsidRPr="00BD2948">
        <w:rPr>
          <w:b/>
        </w:rPr>
        <w:t>На</w:t>
      </w:r>
      <w:r w:rsidR="00BD2948" w:rsidRPr="00BD2948">
        <w:rPr>
          <w:b/>
        </w:rPr>
        <w:t xml:space="preserve"> страновом</w:t>
      </w:r>
      <w:r w:rsidR="00BD2948" w:rsidRPr="00BD2948">
        <w:rPr>
          <w:b/>
        </w:rPr>
        <w:t xml:space="preserve"> уровне</w:t>
      </w:r>
      <w:r w:rsidR="00BD2948" w:rsidRPr="00BD2948">
        <w:rPr>
          <w:b/>
        </w:rPr>
        <w:t>:</w:t>
      </w:r>
    </w:p>
    <w:p w:rsidR="002E15F9" w:rsidRPr="00BD29EC" w:rsidRDefault="00BD2948" w:rsidP="00570131">
      <w:pPr>
        <w:spacing w:after="40"/>
      </w:pPr>
      <w:r w:rsidRPr="00BD2948">
        <w:t>Если значения для определенного периода и страны отсутствуют, то отсутствующие значения остаются пустыми.</w:t>
      </w:r>
    </w:p>
    <w:p w:rsidR="002E15F9" w:rsidRPr="00BD2948" w:rsidRDefault="00694160" w:rsidP="00BD2948">
      <w:pPr>
        <w:pStyle w:val="ab"/>
        <w:numPr>
          <w:ilvl w:val="0"/>
          <w:numId w:val="5"/>
        </w:numPr>
        <w:spacing w:after="40"/>
        <w:rPr>
          <w:b/>
        </w:rPr>
      </w:pPr>
      <w:r w:rsidRPr="00BD2948">
        <w:rPr>
          <w:b/>
        </w:rPr>
        <w:t>На региональном и глобальном уровнях</w:t>
      </w:r>
      <w:r w:rsidR="00BD2948" w:rsidRPr="00BD2948">
        <w:rPr>
          <w:b/>
        </w:rPr>
        <w:t>:</w:t>
      </w:r>
    </w:p>
    <w:p w:rsidR="00694160" w:rsidRPr="00BD2948" w:rsidRDefault="00BD2948" w:rsidP="00570131">
      <w:pPr>
        <w:spacing w:after="40"/>
      </w:pPr>
      <w:r>
        <w:t>См. раздел 4.</w:t>
      </w:r>
      <w:r>
        <w:rPr>
          <w:lang w:val="en-US"/>
        </w:rPr>
        <w:t>g</w:t>
      </w:r>
      <w:r w:rsidRPr="00BD2948">
        <w:t xml:space="preserve">. </w:t>
      </w:r>
      <w:r>
        <w:t>Региональное агрегирование для дополнительной информации</w:t>
      </w:r>
    </w:p>
    <w:p w:rsidR="002E15F9" w:rsidRPr="00BD29EC" w:rsidRDefault="002E15F9" w:rsidP="00570131">
      <w:pPr>
        <w:pStyle w:val="MHeader2"/>
        <w:spacing w:after="40"/>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BD2948" w:rsidRDefault="00BD2948" w:rsidP="00BD2948">
      <w:pPr>
        <w:spacing w:after="40"/>
      </w:pPr>
      <w:r>
        <w:t>Методы, используемые для оценки общего числа лиц, содержащихся под стражей, по полу, осужденных и не осужденных, на глобальном и региональном уровнях, направлены на максимально возможное использование имеющихся данных. Для каждого регионального агрегата число содержащихся под стражей лиц должно соответствовать сумме всех национальных данных по региону за каждый год. Однако для многих стран данные о содержащихся под стражей лицах отсутствуют или доступны только за некоторые годы. В результате выборка стран с имеющимися данными отличается для каждого года. Если оставить этот вопрос без внимания, это приведет к несоответствиям, поскольку региональные агрегаты будут браться из другого набора стран каждый год.</w:t>
      </w:r>
    </w:p>
    <w:p w:rsidR="00BD2948" w:rsidRDefault="00BD2948" w:rsidP="00BD2948">
      <w:pPr>
        <w:spacing w:after="40"/>
      </w:pPr>
      <w:r>
        <w:t xml:space="preserve">Исчисление общего числа содержащихся под стражей лиц выполняется на основе показателя общего числа содержащихся под стражей лиц на 100 000 населения на уровне страны. Если у страны есть только одна доступная точка данных с 2000 года, все отсутствующие значения устанавливаются равными этой единственной доступной точке данных. Таким образом, этот подход учитывает рост населения с течением времени и не означает, что ряд является постоянным в абсолютном выражении. Если в стране имеется от двух до восьми доступных точек данных, пропущенные значения между двумя точками данных оцениваются с помощью линейной интерполяции, и если имеются пропущенные значения, которые по времени находятся до (или после) самой ранней (или самой поздней) доступной точки данных, значения в начале (или конце) ряда заполняются самой ранней (или самой поздней) доступной точкой данных. Если в стране имеется более восьми доступных точек данных в соответствующем временном ряду, пропущенные </w:t>
      </w:r>
      <w:r>
        <w:lastRenderedPageBreak/>
        <w:t xml:space="preserve">значения между двумя точками данных оцениваются с помощью линейной интерполяции, и если имеются пропущенные значения, которые по времени находятся до (или после) самой ранней (или самой поздней) доступной точки данных, значения в конце временного ряда вменяются с использованием подхода экспоненциального сглаживания (для получения дополнительной информации см. </w:t>
      </w:r>
      <w:hyperlink r:id="rId16" w:history="1">
        <w:r w:rsidRPr="00A61C97">
          <w:rPr>
            <w:rStyle w:val="ac"/>
          </w:rPr>
          <w:t>https://afit-r.github.io/ts_exp_smoothing</w:t>
        </w:r>
      </w:hyperlink>
      <w:r>
        <w:t>)</w:t>
      </w:r>
      <w:r>
        <w:rPr>
          <w:rStyle w:val="a6"/>
        </w:rPr>
        <w:footnoteReference w:id="1"/>
      </w:r>
      <w:r>
        <w:t>.</w:t>
      </w:r>
    </w:p>
    <w:p w:rsidR="00BD2948" w:rsidRDefault="00BD2948" w:rsidP="00BD2948">
      <w:pPr>
        <w:spacing w:after="40"/>
      </w:pPr>
      <w:r>
        <w:t>После того, как ряды были рассчитаны на национальном уровне, они агрегируются на региональном уровне. Региональные подсчеты задержанных лиц рассчитываются для каждого года путем умножения среднего регионального показателя на 100 000 населения на общую численность населения соответствующего региона (деленного на 100 000)</w:t>
      </w:r>
      <w:r>
        <w:rPr>
          <w:rStyle w:val="a6"/>
        </w:rPr>
        <w:footnoteReference w:id="2"/>
      </w:r>
      <w:r>
        <w:t xml:space="preserve">. Регионы взяты из </w:t>
      </w:r>
      <w:r>
        <w:t>«</w:t>
      </w:r>
      <w:hyperlink r:id="rId17" w:history="1">
        <w:r>
          <w:rPr>
            <w:rStyle w:val="ac"/>
          </w:rPr>
          <w:t>Стандартных кодов стран или территорий для статистического использования</w:t>
        </w:r>
      </w:hyperlink>
      <w:r>
        <w:t xml:space="preserve">» </w:t>
      </w:r>
      <w:r>
        <w:t>Организации Объединенных Наций. Каждая страна или территория включена только в один регион.</w:t>
      </w:r>
    </w:p>
    <w:p w:rsidR="002E15F9" w:rsidRPr="00BD29EC" w:rsidRDefault="00BD2948" w:rsidP="00BD2948">
      <w:pPr>
        <w:spacing w:after="40"/>
      </w:pPr>
      <w:r>
        <w:t>Наконец, региональные оценки агрегируются для расчета глобального числа задержанных лиц.</w:t>
      </w:r>
    </w:p>
    <w:p w:rsidR="002E15F9" w:rsidRPr="00BD29EC" w:rsidRDefault="002E15F9" w:rsidP="00570131">
      <w:pPr>
        <w:pStyle w:val="MHeader2"/>
        <w:spacing w:after="40"/>
        <w:rPr>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F4151A" w:rsidRPr="00F4151A" w:rsidRDefault="00F4151A" w:rsidP="00F4151A">
      <w:pPr>
        <w:pStyle w:val="MHeader2"/>
        <w:spacing w:after="40"/>
        <w:rPr>
          <w:color w:val="auto"/>
          <w:sz w:val="24"/>
          <w:szCs w:val="24"/>
          <w:lang w:val="ru-RU"/>
        </w:rPr>
      </w:pPr>
      <w:hyperlink r:id="rId18" w:history="1">
        <w:r>
          <w:rPr>
            <w:rStyle w:val="ac"/>
            <w:sz w:val="24"/>
            <w:szCs w:val="24"/>
            <w:lang w:val="ru-RU"/>
          </w:rPr>
          <w:t>Международная классификация преступлений для статистических целей</w:t>
        </w:r>
      </w:hyperlink>
      <w:r>
        <w:rPr>
          <w:color w:val="auto"/>
          <w:sz w:val="24"/>
          <w:szCs w:val="24"/>
          <w:lang w:val="ru-RU"/>
        </w:rPr>
        <w:t xml:space="preserve"> </w:t>
      </w:r>
      <w:r w:rsidRPr="00F4151A">
        <w:rPr>
          <w:color w:val="auto"/>
          <w:sz w:val="24"/>
          <w:szCs w:val="24"/>
          <w:lang w:val="ru-RU"/>
        </w:rPr>
        <w:t>(МКПС) обеспечивает всеобъемлющую основу для составления статистики по преступности и уголовному правосудию. Ее основной единицей классификации является деяние или событие, которое представляет собой уголовное преступление, а описание преступных деяний основано на поведении, а не на правовых положениях. МКПС является инструментом для понимания масштабов преступности и движущих сил, но также может использоваться для повышения качества данных по преступности и уголовному правосудию на национальном уровне и для поддержки национальных усилий по мониторингу целевых показателей ЦУР в областях общественной безопасности, торговли людьми, коррупции и доступа к правосудию.</w:t>
      </w:r>
    </w:p>
    <w:p w:rsidR="008C6469" w:rsidRDefault="00F4151A" w:rsidP="00F4151A">
      <w:pPr>
        <w:pStyle w:val="MHeader2"/>
        <w:spacing w:after="40"/>
        <w:rPr>
          <w:color w:val="auto"/>
          <w:sz w:val="24"/>
          <w:szCs w:val="24"/>
          <w:lang w:val="ru-RU"/>
        </w:rPr>
      </w:pPr>
      <w:r w:rsidRPr="00F4151A">
        <w:rPr>
          <w:color w:val="auto"/>
          <w:sz w:val="24"/>
          <w:szCs w:val="24"/>
          <w:lang w:val="ru-RU"/>
        </w:rPr>
        <w:t xml:space="preserve">Вопросник </w:t>
      </w:r>
      <w:r w:rsidRPr="00F4151A">
        <w:rPr>
          <w:color w:val="auto"/>
          <w:sz w:val="24"/>
          <w:szCs w:val="24"/>
        </w:rPr>
        <w:t>UN</w:t>
      </w:r>
      <w:r w:rsidRPr="00F4151A">
        <w:rPr>
          <w:color w:val="auto"/>
          <w:sz w:val="24"/>
          <w:szCs w:val="24"/>
          <w:lang w:val="ru-RU"/>
        </w:rPr>
        <w:t>-</w:t>
      </w:r>
      <w:r w:rsidRPr="00F4151A">
        <w:rPr>
          <w:color w:val="auto"/>
          <w:sz w:val="24"/>
          <w:szCs w:val="24"/>
        </w:rPr>
        <w:t>CTS</w:t>
      </w:r>
      <w:r w:rsidRPr="00F4151A">
        <w:rPr>
          <w:color w:val="auto"/>
          <w:sz w:val="24"/>
          <w:szCs w:val="24"/>
          <w:lang w:val="ru-RU"/>
        </w:rPr>
        <w:t xml:space="preserve"> полностью соответствует концепциям, категориям и определениям МКПС и отвечает потребностям в данных на национальном и международном уровнях, включая данные, необходимые для мониторинга прогресса в достижении нескольких </w:t>
      </w:r>
      <w:hyperlink r:id="rId19" w:history="1">
        <w:r>
          <w:rPr>
            <w:rStyle w:val="ac"/>
            <w:sz w:val="24"/>
            <w:szCs w:val="24"/>
            <w:lang w:val="ru-RU"/>
          </w:rPr>
          <w:t>Целей устойчивого развития</w:t>
        </w:r>
      </w:hyperlink>
      <w:r>
        <w:rPr>
          <w:color w:val="auto"/>
          <w:sz w:val="24"/>
          <w:szCs w:val="24"/>
          <w:lang w:val="ru-RU"/>
        </w:rPr>
        <w:t xml:space="preserve"> </w:t>
      </w:r>
      <w:r w:rsidRPr="00F4151A">
        <w:rPr>
          <w:color w:val="auto"/>
          <w:sz w:val="24"/>
          <w:szCs w:val="24"/>
          <w:lang w:val="ru-RU"/>
        </w:rPr>
        <w:t>(ЦУР) в областях преступности, насилия, правосудия и верховенства права в соответствии с мандатом УНП ООН.</w:t>
      </w:r>
    </w:p>
    <w:p w:rsidR="00F4151A" w:rsidRPr="00F4151A" w:rsidRDefault="00F4151A" w:rsidP="00F4151A">
      <w:pPr>
        <w:pStyle w:val="MHeader2"/>
        <w:spacing w:after="40"/>
        <w:rPr>
          <w:color w:val="auto"/>
          <w:sz w:val="24"/>
          <w:szCs w:val="24"/>
          <w:lang w:val="ru-RU"/>
        </w:rPr>
      </w:pPr>
    </w:p>
    <w:p w:rsidR="002E15F9" w:rsidRPr="00BD29EC" w:rsidRDefault="002E15F9" w:rsidP="00570131">
      <w:pPr>
        <w:pStyle w:val="MHeader2"/>
        <w:spacing w:after="40"/>
        <w:rPr>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8C6469" w:rsidRPr="00A72D99" w:rsidRDefault="00A72D99" w:rsidP="00570131">
      <w:pPr>
        <w:pStyle w:val="MHeader2"/>
        <w:spacing w:after="40"/>
        <w:rPr>
          <w:color w:val="auto"/>
          <w:sz w:val="24"/>
          <w:szCs w:val="24"/>
          <w:lang w:val="ru-RU"/>
        </w:rPr>
      </w:pPr>
      <w:r>
        <w:rPr>
          <w:color w:val="auto"/>
          <w:sz w:val="24"/>
          <w:szCs w:val="24"/>
          <w:lang w:val="ru-RU"/>
        </w:rPr>
        <w:t>См. раздел 4</w:t>
      </w:r>
      <w:r w:rsidRPr="00A72D99">
        <w:rPr>
          <w:color w:val="auto"/>
          <w:sz w:val="24"/>
          <w:szCs w:val="24"/>
          <w:lang w:val="ru-RU"/>
        </w:rPr>
        <w:t>.</w:t>
      </w:r>
      <w:r>
        <w:rPr>
          <w:color w:val="auto"/>
          <w:sz w:val="24"/>
          <w:szCs w:val="24"/>
          <w:lang w:val="en-US"/>
        </w:rPr>
        <w:t>d</w:t>
      </w:r>
      <w:r w:rsidRPr="00A72D99">
        <w:rPr>
          <w:color w:val="auto"/>
          <w:sz w:val="24"/>
          <w:szCs w:val="24"/>
          <w:lang w:val="ru-RU"/>
        </w:rPr>
        <w:t xml:space="preserve">. </w:t>
      </w:r>
      <w:r>
        <w:rPr>
          <w:color w:val="auto"/>
          <w:sz w:val="24"/>
          <w:szCs w:val="24"/>
          <w:lang w:val="ru-RU"/>
        </w:rPr>
        <w:t>Валидация</w:t>
      </w:r>
    </w:p>
    <w:p w:rsidR="002E15F9" w:rsidRPr="00040034" w:rsidRDefault="002E15F9" w:rsidP="00570131">
      <w:pPr>
        <w:pStyle w:val="MHeader2"/>
        <w:spacing w:after="40"/>
        <w:rPr>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8C6469" w:rsidRDefault="00A72D99" w:rsidP="00570131">
      <w:pPr>
        <w:pStyle w:val="MHeader2"/>
        <w:spacing w:after="40"/>
        <w:rPr>
          <w:color w:val="auto"/>
          <w:sz w:val="24"/>
          <w:szCs w:val="24"/>
          <w:lang w:val="ru-RU"/>
        </w:rPr>
      </w:pPr>
      <w:r>
        <w:rPr>
          <w:color w:val="auto"/>
          <w:sz w:val="24"/>
          <w:szCs w:val="24"/>
          <w:lang w:val="ru-RU"/>
        </w:rPr>
        <w:t>См. раздел 4</w:t>
      </w:r>
      <w:r w:rsidRPr="00A72D99">
        <w:rPr>
          <w:color w:val="auto"/>
          <w:sz w:val="24"/>
          <w:szCs w:val="24"/>
          <w:lang w:val="ru-RU"/>
        </w:rPr>
        <w:t>.</w:t>
      </w:r>
      <w:r>
        <w:rPr>
          <w:color w:val="auto"/>
          <w:sz w:val="24"/>
          <w:szCs w:val="24"/>
          <w:lang w:val="en-US"/>
        </w:rPr>
        <w:t>d</w:t>
      </w:r>
      <w:r w:rsidRPr="00A72D99">
        <w:rPr>
          <w:color w:val="auto"/>
          <w:sz w:val="24"/>
          <w:szCs w:val="24"/>
          <w:lang w:val="ru-RU"/>
        </w:rPr>
        <w:t xml:space="preserve">. </w:t>
      </w:r>
      <w:r>
        <w:rPr>
          <w:color w:val="auto"/>
          <w:sz w:val="24"/>
          <w:szCs w:val="24"/>
          <w:lang w:val="ru-RU"/>
        </w:rPr>
        <w:t>Валидация</w:t>
      </w:r>
    </w:p>
    <w:p w:rsidR="002E15F9" w:rsidRPr="00BD29EC" w:rsidRDefault="0075371E" w:rsidP="00570131">
      <w:pPr>
        <w:pStyle w:val="MHeader2"/>
        <w:spacing w:after="40"/>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A72D99" w:rsidRPr="00A72D99" w:rsidRDefault="00A72D99" w:rsidP="00A72D99">
      <w:pPr>
        <w:pStyle w:val="MHeader2"/>
        <w:spacing w:after="40"/>
        <w:rPr>
          <w:color w:val="auto"/>
          <w:sz w:val="24"/>
          <w:szCs w:val="24"/>
          <w:lang w:val="ru-RU"/>
        </w:rPr>
      </w:pPr>
      <w:r>
        <w:rPr>
          <w:color w:val="auto"/>
          <w:sz w:val="24"/>
          <w:szCs w:val="24"/>
          <w:lang w:val="ru-RU"/>
        </w:rPr>
        <w:t>См. раздел 4</w:t>
      </w:r>
      <w:r>
        <w:rPr>
          <w:color w:val="auto"/>
          <w:sz w:val="24"/>
          <w:szCs w:val="24"/>
          <w:lang w:val="en-US"/>
        </w:rPr>
        <w:t xml:space="preserve">.d. </w:t>
      </w:r>
      <w:r>
        <w:rPr>
          <w:color w:val="auto"/>
          <w:sz w:val="24"/>
          <w:szCs w:val="24"/>
          <w:lang w:val="ru-RU"/>
        </w:rPr>
        <w:t>Валидация</w:t>
      </w:r>
    </w:p>
    <w:p w:rsidR="008C6469" w:rsidRPr="008C6469" w:rsidRDefault="008C6469" w:rsidP="00570131">
      <w:pPr>
        <w:pStyle w:val="MHeader"/>
        <w:spacing w:after="40"/>
        <w:rPr>
          <w:color w:val="auto"/>
          <w:sz w:val="24"/>
          <w:szCs w:val="24"/>
          <w:lang w:val="ru-RU"/>
        </w:rPr>
      </w:pPr>
    </w:p>
    <w:p w:rsidR="002E15F9" w:rsidRPr="00BD29EC" w:rsidRDefault="002E15F9" w:rsidP="00570131">
      <w:pPr>
        <w:pStyle w:val="MHeader"/>
        <w:spacing w:after="4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BD2948">
        <w:rPr>
          <w:b/>
          <w:color w:val="auto"/>
          <w:sz w:val="24"/>
          <w:szCs w:val="24"/>
          <w:lang w:val="ru-RU"/>
        </w:rPr>
        <w:t>ация</w:t>
      </w:r>
      <w:r w:rsidR="0075371E" w:rsidRPr="00BD29EC">
        <w:rPr>
          <w:b/>
          <w:color w:val="auto"/>
          <w:sz w:val="24"/>
          <w:szCs w:val="24"/>
          <w:lang w:val="ru-RU"/>
        </w:rPr>
        <w:t xml:space="preserve"> данных</w:t>
      </w:r>
    </w:p>
    <w:p w:rsidR="0075371E" w:rsidRPr="00E777DC" w:rsidRDefault="0075371E" w:rsidP="00570131">
      <w:pPr>
        <w:spacing w:after="40"/>
        <w:rPr>
          <w:b/>
        </w:rPr>
      </w:pPr>
      <w:r w:rsidRPr="00E777DC">
        <w:rPr>
          <w:b/>
        </w:rPr>
        <w:t>Доступность данных:</w:t>
      </w:r>
    </w:p>
    <w:p w:rsidR="00C41989" w:rsidRPr="00BD29EC" w:rsidRDefault="00E777DC" w:rsidP="00570131">
      <w:pPr>
        <w:spacing w:after="40"/>
      </w:pPr>
      <w:r w:rsidRPr="00E777DC">
        <w:lastRenderedPageBreak/>
        <w:t>Данные о неосужденных и общем числе задержанных из UN-CTS доступны для около 110 стран/территорий (2022). Охват стран может быть улучшен, если включить другие источники (исследовательские институты и НПО) (доступны данные по еще 80 странам/территориям, в результате чего общее количество за период 2010-2021 гг. составит более 190 стран/территорий).</w:t>
      </w:r>
    </w:p>
    <w:p w:rsidR="0075371E" w:rsidRPr="00E777DC" w:rsidRDefault="0075371E" w:rsidP="00570131">
      <w:pPr>
        <w:spacing w:after="40"/>
        <w:rPr>
          <w:b/>
        </w:rPr>
      </w:pPr>
      <w:r w:rsidRPr="00E777DC">
        <w:rPr>
          <w:b/>
        </w:rPr>
        <w:t>Временные ряды:</w:t>
      </w:r>
    </w:p>
    <w:p w:rsidR="00C41989" w:rsidRPr="00BD29EC" w:rsidRDefault="00C41989" w:rsidP="00570131">
      <w:pPr>
        <w:spacing w:after="40"/>
      </w:pPr>
      <w:r>
        <w:t>2003-</w:t>
      </w:r>
      <w:r w:rsidR="00E777DC">
        <w:t>по настоящее время</w:t>
      </w:r>
    </w:p>
    <w:p w:rsidR="0075371E" w:rsidRPr="00E777DC" w:rsidRDefault="00E777DC" w:rsidP="00570131">
      <w:pPr>
        <w:spacing w:after="40"/>
        <w:rPr>
          <w:b/>
        </w:rPr>
      </w:pPr>
      <w:r w:rsidRPr="00E777DC">
        <w:rPr>
          <w:b/>
        </w:rPr>
        <w:t>Дезагрегация</w:t>
      </w:r>
      <w:r w:rsidR="0075371E" w:rsidRPr="00E777DC">
        <w:rPr>
          <w:b/>
        </w:rPr>
        <w:t>:</w:t>
      </w:r>
    </w:p>
    <w:p w:rsidR="00C41989" w:rsidRPr="00C41989" w:rsidRDefault="00C41989" w:rsidP="00570131">
      <w:pPr>
        <w:spacing w:after="40"/>
      </w:pPr>
      <w:proofErr w:type="gramStart"/>
      <w:r w:rsidRPr="00C41989">
        <w:t>Рекомендуемая</w:t>
      </w:r>
      <w:proofErr w:type="gramEnd"/>
      <w:r w:rsidRPr="00C41989">
        <w:t xml:space="preserve"> дезагрегация для этого показателя:</w:t>
      </w:r>
    </w:p>
    <w:p w:rsidR="00E777DC" w:rsidRDefault="00E777DC" w:rsidP="00E777DC">
      <w:pPr>
        <w:spacing w:after="40"/>
      </w:pPr>
      <w:r>
        <w:t xml:space="preserve">- </w:t>
      </w:r>
      <w:r>
        <w:t>возрастной статус (несовершеннолетний или взрослый) и пол (мужчина или женщина)</w:t>
      </w:r>
    </w:p>
    <w:p w:rsidR="00C41989" w:rsidRPr="00BD29EC" w:rsidRDefault="00E777DC" w:rsidP="00E777DC">
      <w:pPr>
        <w:spacing w:after="40"/>
      </w:pPr>
      <w:r>
        <w:t>- </w:t>
      </w:r>
      <w:r>
        <w:t>продолжительность предварительного заключения/содержания под стражей без вынесения приговора (например, менее 6 месяцев, 6-12 месяцев, более 1 года)</w:t>
      </w:r>
    </w:p>
    <w:p w:rsidR="002E15F9" w:rsidRPr="00BD29EC" w:rsidRDefault="002E15F9" w:rsidP="00570131">
      <w:pPr>
        <w:pStyle w:val="MHeader"/>
        <w:spacing w:after="4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C41989" w:rsidRPr="0063221F" w:rsidRDefault="00C41989" w:rsidP="00570131">
      <w:pPr>
        <w:spacing w:after="40"/>
        <w:rPr>
          <w:b/>
          <w:lang w:eastAsia="en-GB"/>
        </w:rPr>
      </w:pPr>
      <w:r w:rsidRPr="0063221F">
        <w:rPr>
          <w:b/>
          <w:lang w:eastAsia="en-GB"/>
        </w:rPr>
        <w:t>Источники расхождений:</w:t>
      </w:r>
    </w:p>
    <w:p w:rsidR="0063221F" w:rsidRDefault="0063221F" w:rsidP="0063221F">
      <w:pPr>
        <w:spacing w:after="40"/>
        <w:rPr>
          <w:lang w:eastAsia="en-GB"/>
        </w:rPr>
      </w:pPr>
      <w:r>
        <w:rPr>
          <w:lang w:eastAsia="en-GB"/>
        </w:rPr>
        <w:t>Расхождения могут существовать между подсчетами осужденных и не осужденных заключенных, предоставленными страной, и международными отчетами, поскольку национальные данные могут ссылаться на национальное определение, в то время как данные, предоставленные УНП ООН, направлены на соответствие определению, предоставленному в вопроснике UN-CTS.</w:t>
      </w:r>
    </w:p>
    <w:p w:rsidR="00C41989" w:rsidRDefault="0063221F" w:rsidP="0063221F">
      <w:pPr>
        <w:spacing w:after="40"/>
        <w:rPr>
          <w:lang w:eastAsia="en-GB"/>
        </w:rPr>
      </w:pPr>
      <w:r>
        <w:rPr>
          <w:lang w:eastAsia="en-GB"/>
        </w:rPr>
        <w:t>Кроме того, могут быть некоторые расхождения между числом, указанным для всего тюремного населения, и различными разбивками (например, разбивкой по полу), которые часто доступны только для взрослого тюремного населения. Данные о содержании под стражей взрослых и несовершеннолетних часто собираются разными органами.</w:t>
      </w:r>
    </w:p>
    <w:p w:rsidR="00040034" w:rsidRDefault="00040034" w:rsidP="00570131">
      <w:pPr>
        <w:pBdr>
          <w:bottom w:val="single" w:sz="12" w:space="4" w:color="DDDDDD"/>
        </w:pBdr>
        <w:shd w:val="clear" w:color="auto" w:fill="FFFFFF"/>
        <w:spacing w:after="40"/>
        <w:outlineLvl w:val="2"/>
        <w:rPr>
          <w:rFonts w:eastAsia="Times New Roman" w:cs="Times New Roman"/>
          <w:b/>
          <w:szCs w:val="24"/>
          <w:lang w:eastAsia="en-GB"/>
        </w:rPr>
      </w:pPr>
      <w:r w:rsidRPr="00C41989">
        <w:rPr>
          <w:rFonts w:eastAsia="Times New Roman" w:cs="Times New Roman"/>
          <w:b/>
          <w:szCs w:val="24"/>
          <w:lang w:eastAsia="en-GB"/>
        </w:rPr>
        <w:t xml:space="preserve">7. </w:t>
      </w:r>
      <w:r>
        <w:rPr>
          <w:rFonts w:eastAsia="Times New Roman" w:cs="Times New Roman"/>
          <w:b/>
          <w:szCs w:val="24"/>
          <w:lang w:eastAsia="en-GB"/>
        </w:rPr>
        <w:t>Ссылки</w:t>
      </w:r>
      <w:r w:rsidRPr="00C41989">
        <w:rPr>
          <w:rFonts w:eastAsia="Times New Roman" w:cs="Times New Roman"/>
          <w:b/>
          <w:szCs w:val="24"/>
          <w:lang w:eastAsia="en-GB"/>
        </w:rPr>
        <w:t xml:space="preserve"> </w:t>
      </w:r>
      <w:r>
        <w:rPr>
          <w:rFonts w:eastAsia="Times New Roman" w:cs="Times New Roman"/>
          <w:b/>
          <w:szCs w:val="24"/>
          <w:lang w:eastAsia="en-GB"/>
        </w:rPr>
        <w:t>и</w:t>
      </w:r>
      <w:r w:rsidRPr="00C41989">
        <w:rPr>
          <w:rFonts w:eastAsia="Times New Roman" w:cs="Times New Roman"/>
          <w:b/>
          <w:szCs w:val="24"/>
          <w:lang w:eastAsia="en-GB"/>
        </w:rPr>
        <w:t xml:space="preserve"> </w:t>
      </w:r>
      <w:r>
        <w:rPr>
          <w:rFonts w:eastAsia="Times New Roman" w:cs="Times New Roman"/>
          <w:b/>
          <w:szCs w:val="24"/>
          <w:lang w:eastAsia="en-GB"/>
        </w:rPr>
        <w:t>документы</w:t>
      </w:r>
    </w:p>
    <w:p w:rsidR="00C41989" w:rsidRPr="0063221F" w:rsidRDefault="00C41989" w:rsidP="00570131">
      <w:pPr>
        <w:spacing w:after="40"/>
        <w:rPr>
          <w:b/>
          <w:lang w:eastAsia="en-GB"/>
        </w:rPr>
      </w:pPr>
      <w:r w:rsidRPr="0063221F">
        <w:rPr>
          <w:b/>
          <w:lang w:eastAsia="en-GB"/>
        </w:rPr>
        <w:t>URL:</w:t>
      </w:r>
    </w:p>
    <w:p w:rsidR="00C41989" w:rsidRPr="007F3971" w:rsidRDefault="0063221F" w:rsidP="00570131">
      <w:pPr>
        <w:spacing w:after="40"/>
        <w:rPr>
          <w:lang w:eastAsia="en-GB"/>
        </w:rPr>
      </w:pPr>
      <w:hyperlink r:id="rId20" w:history="1">
        <w:r w:rsidRPr="00A61C97">
          <w:rPr>
            <w:rStyle w:val="ac"/>
            <w:lang w:eastAsia="en-GB"/>
          </w:rPr>
          <w:t>www.unodc.org</w:t>
        </w:r>
      </w:hyperlink>
    </w:p>
    <w:p w:rsidR="0063221F" w:rsidRDefault="0063221F" w:rsidP="00570131">
      <w:pPr>
        <w:spacing w:after="40"/>
        <w:rPr>
          <w:lang w:eastAsia="en-GB"/>
        </w:rPr>
      </w:pPr>
    </w:p>
    <w:p w:rsidR="00C41989" w:rsidRPr="0063221F" w:rsidRDefault="00C41989" w:rsidP="00570131">
      <w:pPr>
        <w:spacing w:after="40"/>
        <w:rPr>
          <w:b/>
          <w:lang w:eastAsia="en-GB"/>
        </w:rPr>
      </w:pPr>
      <w:r w:rsidRPr="0063221F">
        <w:rPr>
          <w:b/>
          <w:lang w:eastAsia="en-GB"/>
        </w:rPr>
        <w:t>Использованные документы:</w:t>
      </w:r>
    </w:p>
    <w:p w:rsidR="00C41989" w:rsidRPr="00C41989" w:rsidRDefault="00C41989" w:rsidP="00570131">
      <w:pPr>
        <w:spacing w:after="40"/>
        <w:rPr>
          <w:lang w:eastAsia="en-GB"/>
        </w:rPr>
      </w:pPr>
      <w:r w:rsidRPr="00C41989">
        <w:rPr>
          <w:lang w:eastAsia="en-GB"/>
        </w:rPr>
        <w:t xml:space="preserve">Определения и другие метаданные содержатся в </w:t>
      </w:r>
      <w:hyperlink r:id="rId21" w:history="1">
        <w:r w:rsidR="0063221F">
          <w:rPr>
            <w:rStyle w:val="ac"/>
            <w:lang w:eastAsia="en-GB"/>
          </w:rPr>
          <w:t>Обследовании тенденций в области преступности ООН</w:t>
        </w:r>
      </w:hyperlink>
      <w:r w:rsidR="0063221F">
        <w:rPr>
          <w:lang w:eastAsia="en-GB"/>
        </w:rPr>
        <w:t xml:space="preserve"> </w:t>
      </w:r>
      <w:r w:rsidRPr="00C41989">
        <w:rPr>
          <w:lang w:eastAsia="en-GB"/>
        </w:rPr>
        <w:t>(</w:t>
      </w:r>
      <w:r w:rsidRPr="00C41989">
        <w:rPr>
          <w:lang w:val="en-US" w:eastAsia="en-GB"/>
        </w:rPr>
        <w:t>UN</w:t>
      </w:r>
      <w:r w:rsidRPr="00C41989">
        <w:rPr>
          <w:lang w:eastAsia="en-GB"/>
        </w:rPr>
        <w:t>-</w:t>
      </w:r>
      <w:r w:rsidRPr="00C41989">
        <w:rPr>
          <w:lang w:val="en-US" w:eastAsia="en-GB"/>
        </w:rPr>
        <w:t>CTS</w:t>
      </w:r>
      <w:r w:rsidRPr="00C41989">
        <w:rPr>
          <w:lang w:eastAsia="en-GB"/>
        </w:rPr>
        <w:t>). Руководство по сбору информации о задержанных лицах, а также примеры листов для сбора данных содержатся в Руководстве Организации Объединенных Наций по разработке системы уголовного Статистика правосудия, а также (для детей) в Руководстве УН</w:t>
      </w:r>
      <w:bookmarkStart w:id="5" w:name="_GoBack"/>
      <w:bookmarkEnd w:id="5"/>
      <w:r w:rsidRPr="00C41989">
        <w:rPr>
          <w:lang w:eastAsia="en-GB"/>
        </w:rPr>
        <w:t>П ООН/ЮНИСЕФ по измерению показателей правосудия</w:t>
      </w:r>
      <w:r>
        <w:rPr>
          <w:lang w:eastAsia="en-GB"/>
        </w:rPr>
        <w:t xml:space="preserve"> в отношении несовершеннолетних</w:t>
      </w:r>
      <w:r w:rsidRPr="00C41989">
        <w:rPr>
          <w:lang w:eastAsia="en-GB"/>
        </w:rPr>
        <w:t>.</w:t>
      </w:r>
    </w:p>
    <w:sectPr w:rsidR="00C41989" w:rsidRPr="00C41989">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B59" w:rsidRDefault="00322B59" w:rsidP="00F73DBC">
      <w:pPr>
        <w:spacing w:after="0" w:line="240" w:lineRule="auto"/>
      </w:pPr>
      <w:r>
        <w:separator/>
      </w:r>
    </w:p>
  </w:endnote>
  <w:endnote w:type="continuationSeparator" w:id="0">
    <w:p w:rsidR="00322B59" w:rsidRDefault="00322B59"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B59" w:rsidRDefault="00322B59" w:rsidP="00F73DBC">
      <w:pPr>
        <w:spacing w:after="0" w:line="240" w:lineRule="auto"/>
      </w:pPr>
      <w:r>
        <w:separator/>
      </w:r>
    </w:p>
  </w:footnote>
  <w:footnote w:type="continuationSeparator" w:id="0">
    <w:p w:rsidR="00322B59" w:rsidRDefault="00322B59" w:rsidP="00F73DBC">
      <w:pPr>
        <w:spacing w:after="0" w:line="240" w:lineRule="auto"/>
      </w:pPr>
      <w:r>
        <w:continuationSeparator/>
      </w:r>
    </w:p>
  </w:footnote>
  <w:footnote w:id="1">
    <w:p w:rsidR="00BD2948" w:rsidRDefault="00BD2948">
      <w:pPr>
        <w:pStyle w:val="a4"/>
      </w:pPr>
      <w:r>
        <w:rPr>
          <w:rStyle w:val="a6"/>
        </w:rPr>
        <w:footnoteRef/>
      </w:r>
      <w:r>
        <w:t xml:space="preserve"> </w:t>
      </w:r>
      <w:r w:rsidRPr="00BD2948">
        <w:t>Расчеты для дезагрегированных данных (например, задержанных женщин или неосужденных задержанных) производятся по тому же подходу, что и для общего числа задержанных, за исключением того, что расчеты производятся на основе соотношения дезагрегации к общему числу задержанных, а не на основе показателя на 100 000 человек населения.</w:t>
      </w:r>
    </w:p>
  </w:footnote>
  <w:footnote w:id="2">
    <w:p w:rsidR="00BD2948" w:rsidRDefault="00BD2948">
      <w:pPr>
        <w:pStyle w:val="a4"/>
      </w:pPr>
      <w:r>
        <w:rPr>
          <w:rStyle w:val="a6"/>
        </w:rPr>
        <w:footnoteRef/>
      </w:r>
      <w:r>
        <w:t xml:space="preserve"> </w:t>
      </w:r>
      <w:r w:rsidRPr="00BD2948">
        <w:t>Для стран, по которым нет данных с 2000 года, это означает, что применяется региональная ставка.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570131">
      <w:rPr>
        <w:rFonts w:cs="Times New Roman"/>
      </w:rPr>
      <w:t>июль</w:t>
    </w:r>
    <w:r w:rsidR="009D4322">
      <w:rPr>
        <w:rFonts w:cs="Times New Roman"/>
      </w:rPr>
      <w:t xml:space="preserve"> </w:t>
    </w:r>
    <w:r w:rsidR="00781DE7" w:rsidRPr="00087B96">
      <w:rPr>
        <w:rFonts w:cs="Times New Roman"/>
      </w:rPr>
      <w:t>202</w:t>
    </w:r>
    <w:r w:rsidR="00570131">
      <w:rPr>
        <w:rFonts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72525F"/>
    <w:multiLevelType w:val="hybridMultilevel"/>
    <w:tmpl w:val="5A96B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4BE3"/>
    <w:rsid w:val="00040034"/>
    <w:rsid w:val="000476F9"/>
    <w:rsid w:val="00053D20"/>
    <w:rsid w:val="00087B96"/>
    <w:rsid w:val="000A210D"/>
    <w:rsid w:val="000A229E"/>
    <w:rsid w:val="000C5EF5"/>
    <w:rsid w:val="000F3B83"/>
    <w:rsid w:val="00107A08"/>
    <w:rsid w:val="00116248"/>
    <w:rsid w:val="001470A2"/>
    <w:rsid w:val="00147D8F"/>
    <w:rsid w:val="00151ADA"/>
    <w:rsid w:val="001612F6"/>
    <w:rsid w:val="00165896"/>
    <w:rsid w:val="001762D0"/>
    <w:rsid w:val="0018353F"/>
    <w:rsid w:val="001A163A"/>
    <w:rsid w:val="001C4663"/>
    <w:rsid w:val="001E2FC9"/>
    <w:rsid w:val="002064C4"/>
    <w:rsid w:val="002306F8"/>
    <w:rsid w:val="002652D0"/>
    <w:rsid w:val="00291FA0"/>
    <w:rsid w:val="002A02F8"/>
    <w:rsid w:val="002C7BF9"/>
    <w:rsid w:val="002E122C"/>
    <w:rsid w:val="002E15F9"/>
    <w:rsid w:val="002F63E5"/>
    <w:rsid w:val="00303D71"/>
    <w:rsid w:val="003143BC"/>
    <w:rsid w:val="00322B59"/>
    <w:rsid w:val="003746BC"/>
    <w:rsid w:val="003859BD"/>
    <w:rsid w:val="003A325C"/>
    <w:rsid w:val="003D33FA"/>
    <w:rsid w:val="003D58DC"/>
    <w:rsid w:val="003D7A38"/>
    <w:rsid w:val="00404B26"/>
    <w:rsid w:val="00407AF0"/>
    <w:rsid w:val="00407E4E"/>
    <w:rsid w:val="004143B4"/>
    <w:rsid w:val="00421928"/>
    <w:rsid w:val="004344AC"/>
    <w:rsid w:val="00456E71"/>
    <w:rsid w:val="00467B9B"/>
    <w:rsid w:val="004D2413"/>
    <w:rsid w:val="004E087E"/>
    <w:rsid w:val="00503B4A"/>
    <w:rsid w:val="00532D98"/>
    <w:rsid w:val="00570131"/>
    <w:rsid w:val="00587D0B"/>
    <w:rsid w:val="005C6119"/>
    <w:rsid w:val="005E47BD"/>
    <w:rsid w:val="005F2C0B"/>
    <w:rsid w:val="0063221F"/>
    <w:rsid w:val="00655F55"/>
    <w:rsid w:val="006704C2"/>
    <w:rsid w:val="00682107"/>
    <w:rsid w:val="00694160"/>
    <w:rsid w:val="006B260E"/>
    <w:rsid w:val="006B3939"/>
    <w:rsid w:val="006C43F8"/>
    <w:rsid w:val="006C461F"/>
    <w:rsid w:val="006D5488"/>
    <w:rsid w:val="006D7049"/>
    <w:rsid w:val="00702333"/>
    <w:rsid w:val="00705161"/>
    <w:rsid w:val="00724018"/>
    <w:rsid w:val="007326DC"/>
    <w:rsid w:val="00741A39"/>
    <w:rsid w:val="0075371E"/>
    <w:rsid w:val="00753F18"/>
    <w:rsid w:val="00774268"/>
    <w:rsid w:val="00780F08"/>
    <w:rsid w:val="00781DE7"/>
    <w:rsid w:val="007B07B2"/>
    <w:rsid w:val="007B0CFD"/>
    <w:rsid w:val="007B32CE"/>
    <w:rsid w:val="007C27E0"/>
    <w:rsid w:val="007D1185"/>
    <w:rsid w:val="007D1FD7"/>
    <w:rsid w:val="007F06DF"/>
    <w:rsid w:val="008138AD"/>
    <w:rsid w:val="00836F3E"/>
    <w:rsid w:val="00840BBA"/>
    <w:rsid w:val="00853C09"/>
    <w:rsid w:val="00864C1A"/>
    <w:rsid w:val="008C6469"/>
    <w:rsid w:val="0092739E"/>
    <w:rsid w:val="009508D1"/>
    <w:rsid w:val="00957A62"/>
    <w:rsid w:val="00963238"/>
    <w:rsid w:val="009655B4"/>
    <w:rsid w:val="009737AE"/>
    <w:rsid w:val="00980F79"/>
    <w:rsid w:val="00982FE8"/>
    <w:rsid w:val="009C064B"/>
    <w:rsid w:val="009D4322"/>
    <w:rsid w:val="009F43A6"/>
    <w:rsid w:val="00A110F9"/>
    <w:rsid w:val="00A53D4B"/>
    <w:rsid w:val="00A618FC"/>
    <w:rsid w:val="00A634FB"/>
    <w:rsid w:val="00A71EC6"/>
    <w:rsid w:val="00A72D99"/>
    <w:rsid w:val="00A82CD3"/>
    <w:rsid w:val="00A91FDE"/>
    <w:rsid w:val="00AC1A97"/>
    <w:rsid w:val="00B0378B"/>
    <w:rsid w:val="00B518DC"/>
    <w:rsid w:val="00B72F77"/>
    <w:rsid w:val="00BA46DB"/>
    <w:rsid w:val="00BD2948"/>
    <w:rsid w:val="00BD29EC"/>
    <w:rsid w:val="00BE0AEA"/>
    <w:rsid w:val="00BE2C5D"/>
    <w:rsid w:val="00BE415C"/>
    <w:rsid w:val="00C41989"/>
    <w:rsid w:val="00C47A4A"/>
    <w:rsid w:val="00C515AF"/>
    <w:rsid w:val="00C57A9A"/>
    <w:rsid w:val="00C82950"/>
    <w:rsid w:val="00C8596F"/>
    <w:rsid w:val="00C90708"/>
    <w:rsid w:val="00C95AB2"/>
    <w:rsid w:val="00CA1CB1"/>
    <w:rsid w:val="00CA53CA"/>
    <w:rsid w:val="00D05466"/>
    <w:rsid w:val="00D2619D"/>
    <w:rsid w:val="00DA19D7"/>
    <w:rsid w:val="00DC18AA"/>
    <w:rsid w:val="00DE37BF"/>
    <w:rsid w:val="00E123F7"/>
    <w:rsid w:val="00E21B43"/>
    <w:rsid w:val="00E27922"/>
    <w:rsid w:val="00E33CA8"/>
    <w:rsid w:val="00E559F9"/>
    <w:rsid w:val="00E777DC"/>
    <w:rsid w:val="00E90BD4"/>
    <w:rsid w:val="00EA206F"/>
    <w:rsid w:val="00EB362A"/>
    <w:rsid w:val="00EB389E"/>
    <w:rsid w:val="00EE0900"/>
    <w:rsid w:val="00F374BA"/>
    <w:rsid w:val="00F4151A"/>
    <w:rsid w:val="00F53A75"/>
    <w:rsid w:val="00F5412C"/>
    <w:rsid w:val="00F6371F"/>
    <w:rsid w:val="00F73DBC"/>
    <w:rsid w:val="00F84FF1"/>
    <w:rsid w:val="00F85991"/>
    <w:rsid w:val="00F92D6F"/>
    <w:rsid w:val="00FB66D9"/>
    <w:rsid w:val="00FC5800"/>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styleId="af4">
    <w:name w:val="No Spacing"/>
    <w:uiPriority w:val="1"/>
    <w:qFormat/>
    <w:rsid w:val="00724018"/>
    <w:pPr>
      <w:spacing w:after="0" w:line="240" w:lineRule="auto"/>
      <w:jc w:val="both"/>
    </w:pPr>
    <w:rPr>
      <w:rFonts w:ascii="Times New Roman" w:hAnsi="Times New Roman"/>
      <w:sz w:val="24"/>
    </w:rPr>
  </w:style>
  <w:style w:type="paragraph" w:customStyle="1" w:styleId="MGTHeader">
    <w:name w:val="M.G+T.Header"/>
    <w:basedOn w:val="a"/>
    <w:link w:val="MGTHeaderChar"/>
    <w:qFormat/>
    <w:rsid w:val="00C82950"/>
    <w:pPr>
      <w:shd w:val="clear" w:color="auto" w:fill="F5F5F5"/>
      <w:spacing w:after="100" w:line="240" w:lineRule="auto"/>
      <w:jc w:val="left"/>
      <w:outlineLvl w:val="4"/>
    </w:pPr>
    <w:rPr>
      <w:rFonts w:asciiTheme="minorHAnsi" w:eastAsia="Times New Roman" w:hAnsiTheme="minorHAnsi" w:cs="Times New Roman"/>
      <w:color w:val="333333"/>
      <w:sz w:val="21"/>
      <w:szCs w:val="21"/>
      <w:lang w:val="en-GB" w:eastAsia="en-GB"/>
    </w:rPr>
  </w:style>
  <w:style w:type="character" w:customStyle="1" w:styleId="MGTHeaderChar">
    <w:name w:val="M.G+T.Header Char"/>
    <w:basedOn w:val="a0"/>
    <w:link w:val="MGTHeader"/>
    <w:rsid w:val="00C82950"/>
    <w:rPr>
      <w:rFonts w:eastAsia="Times New Roman" w:cs="Times New Roman"/>
      <w:color w:val="333333"/>
      <w:sz w:val="21"/>
      <w:szCs w:val="21"/>
      <w:shd w:val="clear" w:color="auto" w:fill="F5F5F5"/>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004BE3"/>
    <w:pPr>
      <w:autoSpaceDE w:val="0"/>
      <w:autoSpaceDN w:val="0"/>
      <w:adjustRightInd w:val="0"/>
      <w:spacing w:after="0" w:line="240" w:lineRule="auto"/>
    </w:pPr>
    <w:rPr>
      <w:rFonts w:ascii="Calibri" w:hAnsi="Calibri" w:cs="Calibri"/>
      <w:color w:val="000000"/>
      <w:sz w:val="24"/>
      <w:szCs w:val="24"/>
    </w:rPr>
  </w:style>
  <w:style w:type="paragraph" w:styleId="af4">
    <w:name w:val="No Spacing"/>
    <w:uiPriority w:val="1"/>
    <w:qFormat/>
    <w:rsid w:val="00724018"/>
    <w:pPr>
      <w:spacing w:after="0" w:line="240" w:lineRule="auto"/>
      <w:jc w:val="both"/>
    </w:pPr>
    <w:rPr>
      <w:rFonts w:ascii="Times New Roman" w:hAnsi="Times New Roman"/>
      <w:sz w:val="24"/>
    </w:rPr>
  </w:style>
  <w:style w:type="paragraph" w:customStyle="1" w:styleId="MGTHeader">
    <w:name w:val="M.G+T.Header"/>
    <w:basedOn w:val="a"/>
    <w:link w:val="MGTHeaderChar"/>
    <w:qFormat/>
    <w:rsid w:val="00C82950"/>
    <w:pPr>
      <w:shd w:val="clear" w:color="auto" w:fill="F5F5F5"/>
      <w:spacing w:after="100" w:line="240" w:lineRule="auto"/>
      <w:jc w:val="left"/>
      <w:outlineLvl w:val="4"/>
    </w:pPr>
    <w:rPr>
      <w:rFonts w:asciiTheme="minorHAnsi" w:eastAsia="Times New Roman" w:hAnsiTheme="minorHAnsi" w:cs="Times New Roman"/>
      <w:color w:val="333333"/>
      <w:sz w:val="21"/>
      <w:szCs w:val="21"/>
      <w:lang w:val="en-GB" w:eastAsia="en-GB"/>
    </w:rPr>
  </w:style>
  <w:style w:type="character" w:customStyle="1" w:styleId="MGTHeaderChar">
    <w:name w:val="M.G+T.Header Char"/>
    <w:basedOn w:val="a0"/>
    <w:link w:val="MGTHeader"/>
    <w:rsid w:val="00C82950"/>
    <w:rPr>
      <w:rFonts w:eastAsia="Times New Roman" w:cs="Times New Roman"/>
      <w:color w:val="333333"/>
      <w:sz w:val="21"/>
      <w:szCs w:val="21"/>
      <w:shd w:val="clear" w:color="auto" w:fill="F5F5F5"/>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odc.org/unodc/en/data-and-analysis/United-Nations-Surveys-on-Crime-Trends-and-the-Operations-of-Criminal-Justice-Systems.html" TargetMode="External"/><Relationship Id="rId18" Type="http://schemas.openxmlformats.org/officeDocument/2006/relationships/hyperlink" Target="https://www.unodc.org/unodc/en/data-and-analysis/statistics/iccs.html" TargetMode="External"/><Relationship Id="rId3" Type="http://schemas.openxmlformats.org/officeDocument/2006/relationships/styles" Target="styles.xml"/><Relationship Id="rId21" Type="http://schemas.openxmlformats.org/officeDocument/2006/relationships/hyperlink" Target="https://www.unodc.org/unodc/en/data-and-analysis/United-Nations-Surveys-on-Crime-Trends-and-the-Operations-of-Criminal-Justice-Systems.html" TargetMode="External"/><Relationship Id="rId7" Type="http://schemas.openxmlformats.org/officeDocument/2006/relationships/footnotes" Target="footnotes.xml"/><Relationship Id="rId12" Type="http://schemas.openxmlformats.org/officeDocument/2006/relationships/hyperlink" Target="https://population.un.org/wpp" TargetMode="External"/><Relationship Id="rId17" Type="http://schemas.openxmlformats.org/officeDocument/2006/relationships/hyperlink" Target="https://unstats.un.org/unsd/methodology/m49/" TargetMode="External"/><Relationship Id="rId2" Type="http://schemas.openxmlformats.org/officeDocument/2006/relationships/numbering" Target="numbering.xml"/><Relationship Id="rId16" Type="http://schemas.openxmlformats.org/officeDocument/2006/relationships/hyperlink" Target="https://afit-r.github.io/ts_exp_smoothing" TargetMode="External"/><Relationship Id="rId20" Type="http://schemas.openxmlformats.org/officeDocument/2006/relationships/hyperlink" Target="http://www.unod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isonstudies.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ndocs.org/en/A/RES/3021(XXVII)" TargetMode="External"/><Relationship Id="rId23" Type="http://schemas.openxmlformats.org/officeDocument/2006/relationships/fontTable" Target="fontTable.xml"/><Relationship Id="rId10" Type="http://schemas.openxmlformats.org/officeDocument/2006/relationships/hyperlink" Target="https://www.unodc.org/unodc/en/data-and-analysis/United-Nations-Surveys-on-Crime-Trends-and-the-Operations-of-Criminal-Justice-Systems.html" TargetMode="External"/><Relationship Id="rId19" Type="http://schemas.openxmlformats.org/officeDocument/2006/relationships/hyperlink" Target="http://www.unodc.org/unodc/en/about-unodc/sustainable-development-goals/sdgs-index.html" TargetMode="External"/><Relationship Id="rId4" Type="http://schemas.microsoft.com/office/2007/relationships/stylesWithEffects" Target="stylesWithEffects.xml"/><Relationship Id="rId9" Type="http://schemas.openxmlformats.org/officeDocument/2006/relationships/hyperlink" Target="https://www.unodc.org/" TargetMode="External"/><Relationship Id="rId14" Type="http://schemas.openxmlformats.org/officeDocument/2006/relationships/hyperlink" Target="https://www.prisonstudies.or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1BA35-9018-4E16-BCB5-2F7AC170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2600</Words>
  <Characters>14825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17391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15</cp:revision>
  <dcterms:created xsi:type="dcterms:W3CDTF">2022-08-05T08:21:00Z</dcterms:created>
  <dcterms:modified xsi:type="dcterms:W3CDTF">2024-07-30T12:10:00Z</dcterms:modified>
</cp:coreProperties>
</file>