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w:t>
      </w:r>
      <w:r w:rsidR="00DA4169">
        <w:rPr>
          <w:rFonts w:eastAsia="Arial Unicode MS" w:cs="Times New Roman"/>
          <w:b/>
          <w:szCs w:val="24"/>
          <w:bdr w:val="nil"/>
          <w:lang w:eastAsia="ru-RU"/>
        </w:rPr>
        <w:t xml:space="preserve"> метаданных - версия формата 1.1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DA416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DA4169">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4D2413">
        <w:rPr>
          <w:rFonts w:eastAsia="Arial Unicode MS" w:cs="Times New Roman"/>
          <w:szCs w:val="24"/>
          <w:bdr w:val="nil"/>
          <w:lang w:eastAsia="ru-RU"/>
        </w:rPr>
        <w:t>1</w:t>
      </w:r>
      <w:r w:rsidR="003B3294">
        <w:rPr>
          <w:rFonts w:eastAsia="Arial Unicode MS" w:cs="Times New Roman"/>
          <w:szCs w:val="24"/>
          <w:bdr w:val="nil"/>
          <w:lang w:eastAsia="ru-RU"/>
        </w:rPr>
        <w:t>7</w:t>
      </w:r>
      <w:r w:rsidR="00780F08" w:rsidRPr="00BD29EC">
        <w:rPr>
          <w:rFonts w:eastAsia="Arial Unicode MS" w:cs="Times New Roman"/>
          <w:szCs w:val="24"/>
          <w:bdr w:val="nil"/>
          <w:lang w:eastAsia="ru-RU"/>
        </w:rPr>
        <w:t xml:space="preserve">: </w:t>
      </w:r>
      <w:r w:rsidR="003B3294" w:rsidRPr="003B3294">
        <w:t>Укрепление средств осуществления и активизация работы в рамках Глобального партнерства в интересах у</w:t>
      </w:r>
      <w:bookmarkStart w:id="0" w:name="_GoBack"/>
      <w:bookmarkEnd w:id="0"/>
      <w:r w:rsidR="003B3294" w:rsidRPr="003B3294">
        <w:t>стойчивого развития</w:t>
      </w:r>
      <w:r w:rsidR="00107A08">
        <w:t>.</w:t>
      </w:r>
    </w:p>
    <w:p w:rsidR="003143BC" w:rsidRPr="00BD29EC" w:rsidRDefault="003143BC" w:rsidP="00DA416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E559F9" w:rsidP="00DA4169">
      <w:pPr>
        <w:spacing w:after="0"/>
        <w:rPr>
          <w:rFonts w:cs="Times New Roman"/>
          <w:szCs w:val="24"/>
        </w:rPr>
      </w:pPr>
      <w:r>
        <w:rPr>
          <w:rFonts w:cs="Times New Roman"/>
          <w:szCs w:val="24"/>
        </w:rPr>
        <w:t>1</w:t>
      </w:r>
      <w:r w:rsidR="003B3294">
        <w:rPr>
          <w:rFonts w:cs="Times New Roman"/>
          <w:szCs w:val="24"/>
        </w:rPr>
        <w:t>7</w:t>
      </w:r>
      <w:r w:rsidR="00780F08" w:rsidRPr="00BD29EC">
        <w:rPr>
          <w:rFonts w:cs="Times New Roman"/>
          <w:szCs w:val="24"/>
        </w:rPr>
        <w:t>.</w:t>
      </w:r>
      <w:r w:rsidR="00033E1C">
        <w:rPr>
          <w:rFonts w:cs="Times New Roman"/>
          <w:szCs w:val="24"/>
        </w:rPr>
        <w:t>1</w:t>
      </w:r>
      <w:r w:rsidR="00780F08" w:rsidRPr="00BD29EC">
        <w:rPr>
          <w:rFonts w:cs="Times New Roman"/>
          <w:szCs w:val="24"/>
        </w:rPr>
        <w:t xml:space="preserve">. </w:t>
      </w:r>
      <w:r w:rsidR="002F3714">
        <w:t xml:space="preserve">Усилить мобилизацию ресурсов из внутренних источников, в том числе благодаря международной поддержке развивающихся стран, с </w:t>
      </w:r>
      <w:proofErr w:type="gramStart"/>
      <w:r w:rsidR="002F3714">
        <w:t>тем</w:t>
      </w:r>
      <w:proofErr w:type="gramEnd"/>
      <w:r w:rsidR="002F3714">
        <w:t xml:space="preserve"> чтобы повысить национальные возможности по сбору налогов и других доходов.</w:t>
      </w:r>
    </w:p>
    <w:p w:rsidR="003143BC" w:rsidRPr="00BD29EC" w:rsidRDefault="003143BC" w:rsidP="00DA4169">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DA4169">
      <w:pPr>
        <w:spacing w:after="0"/>
      </w:pPr>
      <w:r w:rsidRPr="00BD29EC">
        <w:t xml:space="preserve">Показатель </w:t>
      </w:r>
      <w:r w:rsidR="00741A39">
        <w:t>1</w:t>
      </w:r>
      <w:r w:rsidR="003B3294">
        <w:t>7</w:t>
      </w:r>
      <w:r w:rsidR="00780F08" w:rsidRPr="00BD29EC">
        <w:t>.</w:t>
      </w:r>
      <w:r w:rsidR="003B3294">
        <w:t>1</w:t>
      </w:r>
      <w:r w:rsidR="002064C4">
        <w:t>.</w:t>
      </w:r>
      <w:r w:rsidR="00033E1C">
        <w:t>2</w:t>
      </w:r>
      <w:r w:rsidR="00C95AB2">
        <w:t>.</w:t>
      </w:r>
      <w:r w:rsidR="00780F08" w:rsidRPr="00BD29EC">
        <w:t xml:space="preserve"> </w:t>
      </w:r>
      <w:r w:rsidR="002F3714" w:rsidRPr="002F3714">
        <w:t>Доля национального бюджета, финансируемая за счет внутренних налогов</w:t>
      </w:r>
      <w:r w:rsidR="002F3714">
        <w:t>.</w:t>
      </w:r>
    </w:p>
    <w:p w:rsidR="003143BC" w:rsidRDefault="003143BC" w:rsidP="00DA416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DA4169" w:rsidRPr="00B25AF7" w:rsidRDefault="00B25AF7" w:rsidP="00DA4169">
      <w:pPr>
        <w:pBdr>
          <w:top w:val="nil"/>
          <w:left w:val="nil"/>
          <w:bottom w:val="nil"/>
          <w:right w:val="nil"/>
          <w:between w:val="nil"/>
          <w:bar w:val="nil"/>
        </w:pBdr>
        <w:tabs>
          <w:tab w:val="left" w:pos="284"/>
        </w:tabs>
        <w:spacing w:after="0"/>
        <w:rPr>
          <w:rFonts w:eastAsia="Arial Unicode MS" w:cs="Times New Roman"/>
          <w:szCs w:val="24"/>
          <w:bdr w:val="nil"/>
          <w:lang w:eastAsia="ru-RU"/>
        </w:rPr>
      </w:pPr>
      <w:r>
        <w:rPr>
          <w:rFonts w:eastAsia="Arial Unicode MS" w:cs="Times New Roman"/>
          <w:szCs w:val="24"/>
          <w:bdr w:val="nil"/>
          <w:lang w:val="en-US" w:eastAsia="ru-RU"/>
        </w:rPr>
        <w:t>GC</w:t>
      </w:r>
      <w:r w:rsidRPr="00B25AF7">
        <w:rPr>
          <w:rFonts w:eastAsia="Arial Unicode MS" w:cs="Times New Roman"/>
          <w:szCs w:val="24"/>
          <w:bdr w:val="nil"/>
          <w:lang w:eastAsia="ru-RU"/>
        </w:rPr>
        <w:t>_</w:t>
      </w:r>
      <w:r>
        <w:rPr>
          <w:rFonts w:eastAsia="Arial Unicode MS" w:cs="Times New Roman"/>
          <w:szCs w:val="24"/>
          <w:bdr w:val="nil"/>
          <w:lang w:val="en-US" w:eastAsia="ru-RU"/>
        </w:rPr>
        <w:t>GOB</w:t>
      </w:r>
      <w:r w:rsidRPr="00B25AF7">
        <w:rPr>
          <w:rFonts w:eastAsia="Arial Unicode MS" w:cs="Times New Roman"/>
          <w:szCs w:val="24"/>
          <w:bdr w:val="nil"/>
          <w:lang w:eastAsia="ru-RU"/>
        </w:rPr>
        <w:t>_</w:t>
      </w:r>
      <w:r>
        <w:rPr>
          <w:rFonts w:eastAsia="Arial Unicode MS" w:cs="Times New Roman"/>
          <w:szCs w:val="24"/>
          <w:bdr w:val="nil"/>
          <w:lang w:val="en-US" w:eastAsia="ru-RU"/>
        </w:rPr>
        <w:t>TAXD</w:t>
      </w:r>
      <w:r w:rsidRPr="00B25AF7">
        <w:rPr>
          <w:rFonts w:eastAsia="Arial Unicode MS" w:cs="Times New Roman"/>
          <w:szCs w:val="24"/>
          <w:bdr w:val="nil"/>
          <w:lang w:eastAsia="ru-RU"/>
        </w:rPr>
        <w:t xml:space="preserve"> – Доля национального бюджета, финансируемая за счет внутренних налогов [17.1.2]</w:t>
      </w:r>
    </w:p>
    <w:p w:rsidR="00004BE3" w:rsidRDefault="00C8596F" w:rsidP="00DA416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2F3714" w:rsidRPr="002F3714" w:rsidRDefault="00B25AF7" w:rsidP="00DA4169">
      <w:pPr>
        <w:spacing w:after="0"/>
      </w:pPr>
      <w:r>
        <w:t>15.12.2023</w:t>
      </w:r>
    </w:p>
    <w:p w:rsidR="00C8596F" w:rsidRDefault="00C8596F" w:rsidP="00DA416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2F3714" w:rsidRPr="002F3714" w:rsidRDefault="002F3714" w:rsidP="00DA4169">
      <w:pPr>
        <w:spacing w:after="0"/>
        <w:rPr>
          <w:rFonts w:eastAsia="Arial Unicode MS" w:cs="Times New Roman"/>
          <w:szCs w:val="24"/>
          <w:bdr w:val="nil"/>
          <w:lang w:eastAsia="ru-RU"/>
        </w:rPr>
      </w:pPr>
      <w:r w:rsidRPr="002F3714">
        <w:rPr>
          <w:rFonts w:eastAsia="Arial Unicode MS" w:cs="Times New Roman"/>
          <w:szCs w:val="24"/>
          <w:bdr w:val="nil"/>
          <w:lang w:eastAsia="ru-RU"/>
        </w:rPr>
        <w:t xml:space="preserve">Показатель 17.1.1. </w:t>
      </w:r>
      <w:r w:rsidRPr="002F3714">
        <w:rPr>
          <w:shd w:val="clear" w:color="auto" w:fill="FFFFFF"/>
        </w:rPr>
        <w:t>Общий объем государственных доходов в процентном отношении к ВВП и разбивке по источникам</w:t>
      </w:r>
    </w:p>
    <w:p w:rsidR="00A91FDE"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2F3714" w:rsidRDefault="002F3714" w:rsidP="00DA4169">
      <w:pPr>
        <w:spacing w:after="0"/>
        <w:rPr>
          <w:bdr w:val="nil"/>
          <w:lang w:eastAsia="ru-RU"/>
        </w:rPr>
      </w:pPr>
      <w:r w:rsidRPr="002F3714">
        <w:rPr>
          <w:bdr w:val="nil"/>
          <w:lang w:eastAsia="ru-RU"/>
        </w:rPr>
        <w:t>Статистический департамент МВФ (Отдел государственных финансов)</w:t>
      </w:r>
    </w:p>
    <w:p w:rsidR="00DA4169" w:rsidRDefault="00DA4169" w:rsidP="00DA4169">
      <w:pPr>
        <w:spacing w:after="0"/>
        <w:rPr>
          <w:bdr w:val="nil"/>
          <w:lang w:eastAsia="ru-RU"/>
        </w:rPr>
      </w:pPr>
    </w:p>
    <w:p w:rsidR="00957A62" w:rsidRPr="00BD29EC" w:rsidRDefault="00957A62" w:rsidP="0075371E">
      <w:pPr>
        <w:pStyle w:val="MHeader"/>
        <w:rPr>
          <w:b/>
          <w:color w:val="auto"/>
          <w:sz w:val="24"/>
          <w:szCs w:val="24"/>
          <w:lang w:val="ru-RU"/>
        </w:rPr>
      </w:pPr>
      <w:bookmarkStart w:id="1" w:name="_Toc37932744"/>
      <w:bookmarkStart w:id="2" w:name="_Toc36813072"/>
      <w:bookmarkStart w:id="3" w:name="_Toc36812685"/>
      <w:bookmarkStart w:id="4" w:name="_Toc36812572"/>
      <w:bookmarkStart w:id="5" w:name="_Toc36655609"/>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2F3714" w:rsidRDefault="002F3714" w:rsidP="002F3714">
      <w:r w:rsidRPr="002F3714">
        <w:t>Статистический департамент МВФ (Отдел государственных финансов)</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A83ED3" w:rsidRDefault="00DA19D7" w:rsidP="00DA19D7">
      <w:pPr>
        <w:pStyle w:val="MText"/>
        <w:rPr>
          <w:b/>
          <w:color w:val="000000" w:themeColor="text1"/>
          <w:sz w:val="24"/>
          <w:szCs w:val="24"/>
          <w:lang w:val="ru-RU"/>
        </w:rPr>
      </w:pPr>
      <w:r w:rsidRPr="00A83ED3">
        <w:rPr>
          <w:b/>
          <w:color w:val="000000" w:themeColor="text1"/>
          <w:sz w:val="24"/>
          <w:szCs w:val="24"/>
          <w:lang w:val="ru-RU"/>
        </w:rPr>
        <w:t>Определение:</w:t>
      </w:r>
    </w:p>
    <w:p w:rsidR="002F3714" w:rsidRDefault="002F3714" w:rsidP="002F3714">
      <w:r w:rsidRPr="002F3714">
        <w:t xml:space="preserve">Точное определение </w:t>
      </w:r>
      <w:r>
        <w:t>показателя</w:t>
      </w:r>
      <w:r w:rsidRPr="002F3714">
        <w:t xml:space="preserve"> – это доля внутренних бюджетных расходов центрального правительства, финансируемая за счет налогов. Бюджетное центральное правительство, описанное в РСГФ 2014 года (пункт 2.81), представляет собой институциональную единицу сектора государственного управления, особенно важную с точки зрения размера и полномочий, в частности полномочий по осуществлению контроля над многими другими единицами и организациями. Бюджетное центральное правительство часто представляет собой единую единицу центрального правительства, которая охватывает основную деятельность национальной исполнительной, законодательной и судебной властей. Этот компонент сектора государственного управления обычно покрывается основным (или общим) бюджетом. Доходы (и расходы) бюджетного центрального правительства обычно регулируются и контролируются министерством финансов или его </w:t>
      </w:r>
      <w:r w:rsidRPr="002F3714">
        <w:lastRenderedPageBreak/>
        <w:t xml:space="preserve">функциональным эквивалентом посредством бюджета, утвержденного законодательным органом. Большинство министерств, ведомств, агентств, управлений, комиссий, судебных органов, законодательных органов и других субъектов, входящих в состав бюджетного центрального правительства, не являются отдельными институциональными единицами. Это связано с тем, что они, как правило, не имеют полномочий владеть активами, брать на себя обязательства или участвовать в операциях от своего имени </w:t>
      </w:r>
      <w:r>
        <w:t>(см. пункт 2.42 РСГФ 2014 года),</w:t>
      </w:r>
      <w:r w:rsidRPr="002F3714">
        <w:t xml:space="preserve"> включая ссылки на стандарты и классификации, предпочтительно</w:t>
      </w:r>
      <w:r>
        <w:t xml:space="preserve"> с опорой</w:t>
      </w:r>
      <w:r w:rsidRPr="002F3714">
        <w:t xml:space="preserve"> на согласованные на международном уровне определения. Определение</w:t>
      </w:r>
      <w:r>
        <w:t xml:space="preserve"> показателя</w:t>
      </w:r>
      <w:r w:rsidRPr="002F3714">
        <w:t xml:space="preserve"> должно быть недвусмысленным и выражаться в универсальных терминах. В нем должны быть четко выражены единицы измерения (</w:t>
      </w:r>
      <w:r>
        <w:t>доли</w:t>
      </w:r>
      <w:r w:rsidRPr="002F3714">
        <w:t>, д</w:t>
      </w:r>
      <w:r w:rsidR="00A83ED3">
        <w:t>оллары, количество человек и т.</w:t>
      </w:r>
      <w:r w:rsidRPr="002F3714">
        <w:t>д.).</w:t>
      </w:r>
    </w:p>
    <w:p w:rsidR="00DA19D7" w:rsidRPr="00A83ED3" w:rsidRDefault="003859BD" w:rsidP="00DA19D7">
      <w:pPr>
        <w:pStyle w:val="MText"/>
        <w:rPr>
          <w:b/>
          <w:color w:val="000000" w:themeColor="text1"/>
          <w:sz w:val="24"/>
          <w:szCs w:val="24"/>
          <w:lang w:val="ru-RU"/>
        </w:rPr>
      </w:pPr>
      <w:r w:rsidRPr="00A83ED3">
        <w:rPr>
          <w:b/>
          <w:color w:val="000000" w:themeColor="text1"/>
          <w:sz w:val="24"/>
          <w:szCs w:val="24"/>
          <w:lang w:val="ru-RU"/>
        </w:rPr>
        <w:t>Основные понятия</w:t>
      </w:r>
      <w:r w:rsidR="00A83ED3" w:rsidRPr="00A83ED3">
        <w:rPr>
          <w:b/>
          <w:color w:val="000000" w:themeColor="text1"/>
          <w:sz w:val="24"/>
          <w:szCs w:val="24"/>
          <w:lang w:val="ru-RU"/>
        </w:rPr>
        <w:t>:</w:t>
      </w:r>
    </w:p>
    <w:p w:rsidR="00144D2F" w:rsidRPr="00DA19D7" w:rsidRDefault="00144D2F" w:rsidP="00144D2F">
      <w:r w:rsidRPr="00144D2F">
        <w:t xml:space="preserve">Ключевые </w:t>
      </w:r>
      <w:r>
        <w:t>определения</w:t>
      </w:r>
      <w:r w:rsidRPr="00144D2F">
        <w:t xml:space="preserve"> </w:t>
      </w:r>
      <w:r>
        <w:t>и понятия</w:t>
      </w:r>
      <w:r w:rsidRPr="00144D2F">
        <w:t>, связанные с показателем, описаны в РСГФ 2014 года, как и соответствующие классификации. Доход определяется в Главе 4 (параграф 4.23), а связанные с ним классификации подробно описаны в Главе 5. Расходы также определяются в Главе 4 (параграф 4.21), а соответствующие подробные классификации и концепции, используемые для расчета этого аг</w:t>
      </w:r>
      <w:r>
        <w:t xml:space="preserve">регата, изложены в Главах 6–8. </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A83ED3" w:rsidP="00144D2F">
      <w:r>
        <w:t>Процент</w:t>
      </w:r>
      <w:proofErr w:type="gramStart"/>
      <w:r>
        <w:t xml:space="preserve"> (%) </w:t>
      </w:r>
      <w:proofErr w:type="gramEnd"/>
      <w:r>
        <w:t>от ВВП</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144D2F" w:rsidRDefault="00144D2F" w:rsidP="00144D2F">
      <w:r>
        <w:t>См.</w:t>
      </w:r>
      <w:r w:rsidRPr="00413E37">
        <w:t xml:space="preserve"> 2.a.</w:t>
      </w: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3F1AEB" w:rsidRPr="00BD29EC" w:rsidRDefault="003F1AEB" w:rsidP="003F1AEB">
      <w:r w:rsidRPr="003F1AEB">
        <w:t>Фактическими и рекомендуемыми источниками данных для расчета этого показателя являются фискальные статистические данные, представляемые в Статистический департамент МВФ. Они поступают от различных ведомств (министерств финансов, центральных банков, национальных статистических управлений и т. д.) и составляются в соответствии со стандартизированным методом сбора данных: ежегодным вопросником СГФ. В годовом отчетном цикле 2020 года примерно 130 стран представили соответствующие ряды для мониторинга показателя 17.1.2. В отношении стран, которые в настоящее время не представляют отчетность и которые продемонстрировали способность составлять и сообщать соответствующие ряды доходов СГФ, мы проводим информационно-разъяснительную работу с национальными властями, при необходимости консультируясь с соответствующими территориальными департаментами и офисами Исполнительного директора МВФ. Описанные выше шаги должны позволить со временем охватить практически всех членов МВФ.</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F8280E" w:rsidRDefault="00F8280E" w:rsidP="00F8280E">
      <w:r>
        <w:t xml:space="preserve">См. </w:t>
      </w:r>
      <w:r w:rsidRPr="00413E37">
        <w:t>3.a.</w:t>
      </w:r>
    </w:p>
    <w:p w:rsidR="00A83ED3" w:rsidRPr="00F8280E" w:rsidRDefault="00A83ED3" w:rsidP="00F8280E"/>
    <w:p w:rsidR="000A229E" w:rsidRDefault="000A229E" w:rsidP="0075371E">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F8280E" w:rsidRPr="00BD29EC" w:rsidRDefault="00A83ED3" w:rsidP="00F8280E">
      <w:r w:rsidRPr="00A83ED3">
        <w:t xml:space="preserve">Цикл сбора данных обычно длится с сентября по декабрь года, следующего за </w:t>
      </w:r>
      <w:proofErr w:type="gramStart"/>
      <w:r w:rsidRPr="00A83ED3">
        <w:t>базисным</w:t>
      </w:r>
      <w:proofErr w:type="gramEnd"/>
      <w:r w:rsidRPr="00A83ED3">
        <w:t xml:space="preserve"> (от T+9 до 12 месяцев). Статистический департамент МВФ обычно завершает раунд ежегодного сбора данных СГФ в феврале следующего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F8280E" w:rsidRPr="00BD29EC" w:rsidRDefault="003615CB" w:rsidP="00F8280E">
      <w:r w:rsidRPr="003615CB">
        <w:t>Данные по странам распространяются по мере их обработки после сбора данных. Сводные мировые таблицы и другие показатели, включая 17.1.2, планируется выпустить в начале второго года после отчетного года. Для большинства стран самыми последними данными будут базисный год, включая пять или более последних лет.</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F8280E" w:rsidRPr="00A71EC6" w:rsidRDefault="00F8280E" w:rsidP="00F8280E">
      <w:pPr>
        <w:rPr>
          <w:szCs w:val="24"/>
        </w:rPr>
      </w:pPr>
      <w:r>
        <w:t xml:space="preserve">См. </w:t>
      </w:r>
      <w:r w:rsidRPr="00413E37">
        <w:t>3.a.</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F8280E" w:rsidRPr="00BD29EC" w:rsidRDefault="00F8280E" w:rsidP="00F8280E">
      <w:r w:rsidRPr="00F8280E">
        <w:t>Статистический департамент МВФ (Отдел государственных финансов) является организацией, ответственной за составление и представление отчетности по этому показателю на глобальном уровне.</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F8280E" w:rsidRDefault="00F8280E" w:rsidP="00F8280E">
      <w:pPr>
        <w:rPr>
          <w:szCs w:val="24"/>
        </w:rPr>
      </w:pPr>
      <w:r>
        <w:t xml:space="preserve">См. </w:t>
      </w:r>
      <w:r w:rsidRPr="00413E37">
        <w:t>3.a.</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F8280E" w:rsidRDefault="00F8280E" w:rsidP="00F8280E">
      <w:r w:rsidRPr="00F8280E">
        <w:t xml:space="preserve">Показатель 17.1.2 </w:t>
      </w:r>
      <w:r w:rsidRPr="002F3714">
        <w:t>Доля национального бюджета, финансируемая за счет внутренних налогов</w:t>
      </w:r>
      <w:r w:rsidRPr="00F8280E">
        <w:t xml:space="preserve">, поддерживает понимание того, в какой степени текущие и капитальные расходы стран фактически покрываются за счет мобилизации внутренних доходов в форме налогообложения. Этот показатель, который может быть получен непосредственно из ряда данных СГФ, сообщаемых национальными властями Статистическому департаменту МВФ, предоставит аналитикам сопоставимый набор данных по странам, который подчеркивает взаимосвязь между исполнением национального бюджета и администрированием доходов/налогов. В приложении к главе 4 РСГФ 2014 года различные показатели можно наблюдать или получать непосредственно из системы СГФ, в то время как другие могут быть получены с использованием комбинации СГФ с другими </w:t>
      </w:r>
      <w:r w:rsidR="003615CB">
        <w:t>макроэкономическими данными (т.</w:t>
      </w:r>
      <w:r w:rsidRPr="00F8280E">
        <w:t>е. ВВП). 17.1.2 будут получены с использованием рядов, которые являются основой структуры отчетности СГФ. Это повышает сопоставимость данных по странам и обеспечивает получение надежных аналитических результатов для поддержки мониторинга ЦУР с использованием фискальных данных. Есть также дополнения к показателю 17.1.1, что облегчает понимание «налогового бремени». Оба показателя важны для достижения долгосрочных целей развития.</w:t>
      </w:r>
    </w:p>
    <w:p w:rsidR="003615CB" w:rsidRPr="00BD29EC" w:rsidRDefault="003615CB" w:rsidP="00F8280E"/>
    <w:p w:rsidR="002E15F9" w:rsidRDefault="002E15F9" w:rsidP="0075371E">
      <w:pPr>
        <w:pStyle w:val="MHeader2"/>
        <w:rPr>
          <w:b/>
          <w:color w:val="auto"/>
          <w:sz w:val="24"/>
          <w:szCs w:val="24"/>
          <w:lang w:val="ru-RU"/>
        </w:rPr>
      </w:pPr>
      <w:r w:rsidRPr="00BD29EC">
        <w:rPr>
          <w:color w:val="auto"/>
          <w:sz w:val="24"/>
          <w:szCs w:val="24"/>
          <w:lang w:val="ru-RU"/>
        </w:rPr>
        <w:lastRenderedPageBreak/>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F8280E" w:rsidRPr="00F8280E" w:rsidRDefault="00F8280E" w:rsidP="00F8280E">
      <w:r w:rsidRPr="00F8280E">
        <w:t xml:space="preserve">В настоящее время МВФ рекомендует не устанавливать региональные и глобальные агрегаты. Хотя мы не видим проблем с осуществимостью и пригодностью показателя 17.1.2 для </w:t>
      </w:r>
      <w:proofErr w:type="spellStart"/>
      <w:r w:rsidRPr="00F8280E">
        <w:t>межстрановых</w:t>
      </w:r>
      <w:proofErr w:type="spellEnd"/>
      <w:r w:rsidRPr="00F8280E">
        <w:t xml:space="preserve"> сравнений, мы сомневаемся в целесообразности единого глобального показателя, объединяющего данные по странам с развитой экономикой и странам с формирующимся рынком и странам с низким уровнем дохода.</w:t>
      </w:r>
    </w:p>
    <w:p w:rsidR="00F8280E" w:rsidRDefault="00F8280E" w:rsidP="00F8280E">
      <w:r w:rsidRPr="00F8280E">
        <w:t>Для отчетности по этому показателю бюджетное центральное правительство считается наиболее подходящим уровнем институционального охвата, поскольку оно будет охватывать все страны. В принципе, СГФ должна охватывать все организации, которые существенно влияют на налогово-бюджетную политику. Однако для большинства развивающихся стран и многих стран с формирующимся рынком сбор данных по консолидированному сектору государственного управления и его подсектора проблематичен из-за ограниченности доступности и/или своевременности исходных данных. В стране может быть одно центральное правительство; правительства нескольких штатов, провинций или регионов; и многие местные органы власти, и в РСГФ 2014 года рекомендуется составлять статистику по всем таким единицам сектора государственного управления. Эта структура отчетности показана ниже:</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288"/>
        <w:gridCol w:w="1009"/>
        <w:gridCol w:w="82"/>
        <w:gridCol w:w="1287"/>
        <w:gridCol w:w="1162"/>
        <w:gridCol w:w="588"/>
        <w:gridCol w:w="734"/>
        <w:gridCol w:w="803"/>
        <w:gridCol w:w="833"/>
        <w:gridCol w:w="748"/>
        <w:gridCol w:w="822"/>
      </w:tblGrid>
      <w:tr w:rsidR="000B7BF1" w:rsidRPr="000F6D96" w:rsidTr="000F6D96">
        <w:trPr>
          <w:trHeight w:val="540"/>
        </w:trPr>
        <w:tc>
          <w:tcPr>
            <w:tcW w:w="1288" w:type="dxa"/>
            <w:shd w:val="clear" w:color="auto" w:fill="auto"/>
            <w:noWrap/>
            <w:vAlign w:val="center"/>
            <w:hideMark/>
          </w:tcPr>
          <w:p w:rsidR="00F8280E" w:rsidRPr="000F6D96" w:rsidRDefault="00F8280E" w:rsidP="00AF5F6F">
            <w:pPr>
              <w:spacing w:after="0" w:line="240" w:lineRule="auto"/>
              <w:rPr>
                <w:rFonts w:eastAsia="Times New Roman" w:cs="Times New Roman"/>
                <w:color w:val="000000"/>
                <w:sz w:val="16"/>
                <w:szCs w:val="16"/>
                <w:lang w:val="en-US"/>
              </w:rPr>
            </w:pPr>
            <w:r w:rsidRPr="000F6D96">
              <w:rPr>
                <w:rFonts w:eastAsia="Times New Roman" w:cs="Times New Roman"/>
                <w:color w:val="000000"/>
                <w:sz w:val="16"/>
                <w:szCs w:val="16"/>
                <w:lang w:val="en-US"/>
              </w:rPr>
              <w:t> </w:t>
            </w:r>
          </w:p>
        </w:tc>
        <w:tc>
          <w:tcPr>
            <w:tcW w:w="1091" w:type="dxa"/>
            <w:gridSpan w:val="2"/>
            <w:shd w:val="clear" w:color="auto" w:fill="auto"/>
            <w:noWrap/>
            <w:vAlign w:val="center"/>
            <w:hideMark/>
          </w:tcPr>
          <w:p w:rsidR="00F8280E" w:rsidRPr="000F6D96" w:rsidRDefault="00F8280E" w:rsidP="00AF5F6F">
            <w:pPr>
              <w:spacing w:after="0" w:line="240" w:lineRule="auto"/>
              <w:rPr>
                <w:rFonts w:eastAsia="Times New Roman" w:cs="Times New Roman"/>
                <w:color w:val="000000"/>
                <w:sz w:val="16"/>
                <w:szCs w:val="16"/>
                <w:lang w:val="en-US"/>
              </w:rPr>
            </w:pPr>
            <w:r w:rsidRPr="000F6D96">
              <w:rPr>
                <w:rFonts w:eastAsia="Times New Roman" w:cs="Times New Roman"/>
                <w:color w:val="000000"/>
                <w:sz w:val="16"/>
                <w:szCs w:val="16"/>
                <w:lang w:val="en-US"/>
              </w:rPr>
              <w:t> </w:t>
            </w:r>
          </w:p>
        </w:tc>
        <w:tc>
          <w:tcPr>
            <w:tcW w:w="2449" w:type="dxa"/>
            <w:gridSpan w:val="2"/>
            <w:shd w:val="clear" w:color="auto" w:fill="auto"/>
            <w:noWrap/>
            <w:vAlign w:val="center"/>
            <w:hideMark/>
          </w:tcPr>
          <w:p w:rsidR="00F8280E" w:rsidRPr="000F6D96" w:rsidRDefault="000B7BF1" w:rsidP="00AF5F6F">
            <w:pPr>
              <w:spacing w:after="0" w:line="240" w:lineRule="auto"/>
              <w:jc w:val="center"/>
              <w:rPr>
                <w:rFonts w:eastAsia="Times New Roman" w:cs="Times New Roman"/>
                <w:color w:val="000000"/>
                <w:sz w:val="16"/>
                <w:szCs w:val="16"/>
              </w:rPr>
            </w:pPr>
            <w:r w:rsidRPr="000F6D96">
              <w:rPr>
                <w:rFonts w:eastAsia="Times New Roman" w:cs="Times New Roman"/>
                <w:color w:val="000000"/>
                <w:sz w:val="16"/>
                <w:szCs w:val="16"/>
              </w:rPr>
              <w:t>Органы гос.</w:t>
            </w:r>
            <w:r w:rsidR="00B25AF7">
              <w:rPr>
                <w:rFonts w:eastAsia="Times New Roman" w:cs="Times New Roman"/>
                <w:color w:val="000000"/>
                <w:sz w:val="16"/>
                <w:szCs w:val="16"/>
              </w:rPr>
              <w:t xml:space="preserve"> </w:t>
            </w:r>
            <w:r w:rsidRPr="000F6D96">
              <w:rPr>
                <w:rFonts w:eastAsia="Times New Roman" w:cs="Times New Roman"/>
                <w:color w:val="000000"/>
                <w:sz w:val="16"/>
                <w:szCs w:val="16"/>
              </w:rPr>
              <w:t>управления</w:t>
            </w:r>
          </w:p>
        </w:tc>
        <w:tc>
          <w:tcPr>
            <w:tcW w:w="588" w:type="dxa"/>
            <w:shd w:val="clear" w:color="auto" w:fill="auto"/>
            <w:noWrap/>
            <w:vAlign w:val="center"/>
            <w:hideMark/>
          </w:tcPr>
          <w:p w:rsidR="00F8280E" w:rsidRPr="000F6D96" w:rsidRDefault="00F8280E" w:rsidP="00AF5F6F">
            <w:pPr>
              <w:spacing w:after="0" w:line="240" w:lineRule="auto"/>
              <w:rPr>
                <w:rFonts w:eastAsia="Times New Roman" w:cs="Times New Roman"/>
                <w:color w:val="000000"/>
                <w:sz w:val="16"/>
                <w:szCs w:val="16"/>
                <w:lang w:val="en-US"/>
              </w:rPr>
            </w:pPr>
            <w:r w:rsidRPr="000F6D96">
              <w:rPr>
                <w:rFonts w:eastAsia="Times New Roman" w:cs="Times New Roman"/>
                <w:color w:val="000000"/>
                <w:sz w:val="16"/>
                <w:szCs w:val="16"/>
                <w:lang w:val="en-US"/>
              </w:rPr>
              <w:t> </w:t>
            </w:r>
          </w:p>
        </w:tc>
        <w:tc>
          <w:tcPr>
            <w:tcW w:w="734" w:type="dxa"/>
            <w:shd w:val="clear" w:color="auto" w:fill="auto"/>
            <w:noWrap/>
            <w:vAlign w:val="center"/>
            <w:hideMark/>
          </w:tcPr>
          <w:p w:rsidR="00F8280E" w:rsidRPr="000F6D96" w:rsidRDefault="00F8280E" w:rsidP="00AF5F6F">
            <w:pPr>
              <w:spacing w:after="0" w:line="240" w:lineRule="auto"/>
              <w:rPr>
                <w:rFonts w:eastAsia="Times New Roman" w:cs="Times New Roman"/>
                <w:color w:val="000000"/>
                <w:sz w:val="16"/>
                <w:szCs w:val="16"/>
                <w:lang w:val="en-US"/>
              </w:rPr>
            </w:pPr>
            <w:r w:rsidRPr="000F6D96">
              <w:rPr>
                <w:rFonts w:eastAsia="Times New Roman" w:cs="Times New Roman"/>
                <w:color w:val="000000"/>
                <w:sz w:val="16"/>
                <w:szCs w:val="16"/>
                <w:lang w:val="en-US"/>
              </w:rPr>
              <w:t> </w:t>
            </w:r>
          </w:p>
        </w:tc>
        <w:tc>
          <w:tcPr>
            <w:tcW w:w="803" w:type="dxa"/>
            <w:shd w:val="clear" w:color="auto" w:fill="auto"/>
            <w:noWrap/>
            <w:vAlign w:val="center"/>
            <w:hideMark/>
          </w:tcPr>
          <w:p w:rsidR="00F8280E" w:rsidRPr="000F6D96" w:rsidRDefault="00F8280E" w:rsidP="00AF5F6F">
            <w:pPr>
              <w:spacing w:after="0" w:line="240" w:lineRule="auto"/>
              <w:rPr>
                <w:rFonts w:eastAsia="Times New Roman" w:cs="Times New Roman"/>
                <w:color w:val="000000"/>
                <w:sz w:val="16"/>
                <w:szCs w:val="16"/>
                <w:lang w:val="en-US"/>
              </w:rPr>
            </w:pPr>
            <w:r w:rsidRPr="000F6D96">
              <w:rPr>
                <w:rFonts w:eastAsia="Times New Roman" w:cs="Times New Roman"/>
                <w:color w:val="000000"/>
                <w:sz w:val="16"/>
                <w:szCs w:val="16"/>
                <w:lang w:val="en-US"/>
              </w:rPr>
              <w:t> </w:t>
            </w:r>
          </w:p>
        </w:tc>
        <w:tc>
          <w:tcPr>
            <w:tcW w:w="833" w:type="dxa"/>
            <w:shd w:val="clear" w:color="auto" w:fill="auto"/>
            <w:noWrap/>
            <w:vAlign w:val="center"/>
            <w:hideMark/>
          </w:tcPr>
          <w:p w:rsidR="00F8280E" w:rsidRPr="000F6D96" w:rsidRDefault="00F8280E" w:rsidP="00AF5F6F">
            <w:pPr>
              <w:spacing w:after="0" w:line="240" w:lineRule="auto"/>
              <w:rPr>
                <w:rFonts w:eastAsia="Times New Roman" w:cs="Times New Roman"/>
                <w:color w:val="000000"/>
                <w:sz w:val="16"/>
                <w:szCs w:val="16"/>
                <w:lang w:val="en-US"/>
              </w:rPr>
            </w:pPr>
            <w:r w:rsidRPr="000F6D96">
              <w:rPr>
                <w:rFonts w:eastAsia="Times New Roman" w:cs="Times New Roman"/>
                <w:color w:val="000000"/>
                <w:sz w:val="16"/>
                <w:szCs w:val="16"/>
                <w:lang w:val="en-US"/>
              </w:rPr>
              <w:t> </w:t>
            </w:r>
          </w:p>
        </w:tc>
        <w:tc>
          <w:tcPr>
            <w:tcW w:w="748" w:type="dxa"/>
            <w:shd w:val="clear" w:color="auto" w:fill="auto"/>
            <w:noWrap/>
            <w:vAlign w:val="center"/>
            <w:hideMark/>
          </w:tcPr>
          <w:p w:rsidR="00F8280E" w:rsidRPr="000F6D96" w:rsidRDefault="00F8280E" w:rsidP="00AF5F6F">
            <w:pPr>
              <w:spacing w:after="0" w:line="240" w:lineRule="auto"/>
              <w:rPr>
                <w:rFonts w:eastAsia="Times New Roman" w:cs="Times New Roman"/>
                <w:color w:val="000000"/>
                <w:sz w:val="16"/>
                <w:szCs w:val="16"/>
                <w:lang w:val="en-US"/>
              </w:rPr>
            </w:pPr>
            <w:r w:rsidRPr="000F6D96">
              <w:rPr>
                <w:rFonts w:eastAsia="Times New Roman" w:cs="Times New Roman"/>
                <w:color w:val="000000"/>
                <w:sz w:val="16"/>
                <w:szCs w:val="16"/>
                <w:lang w:val="en-US"/>
              </w:rPr>
              <w:t> </w:t>
            </w:r>
          </w:p>
        </w:tc>
        <w:tc>
          <w:tcPr>
            <w:tcW w:w="822" w:type="dxa"/>
            <w:vMerge w:val="restart"/>
            <w:shd w:val="clear" w:color="auto" w:fill="auto"/>
            <w:vAlign w:val="center"/>
            <w:hideMark/>
          </w:tcPr>
          <w:p w:rsidR="00F8280E" w:rsidRPr="000F6D96" w:rsidRDefault="000B7BF1" w:rsidP="00AF5F6F">
            <w:pPr>
              <w:spacing w:after="0" w:line="240" w:lineRule="auto"/>
              <w:jc w:val="center"/>
              <w:rPr>
                <w:rFonts w:eastAsia="Times New Roman" w:cs="Times New Roman"/>
                <w:color w:val="000000"/>
                <w:sz w:val="16"/>
                <w:szCs w:val="16"/>
              </w:rPr>
            </w:pPr>
            <w:r w:rsidRPr="000F6D96">
              <w:rPr>
                <w:rFonts w:eastAsia="Times New Roman" w:cs="Times New Roman"/>
                <w:color w:val="000000"/>
                <w:sz w:val="16"/>
                <w:szCs w:val="16"/>
              </w:rPr>
              <w:t>Меморан</w:t>
            </w:r>
            <w:r w:rsidR="00B25AF7">
              <w:rPr>
                <w:rFonts w:eastAsia="Times New Roman" w:cs="Times New Roman"/>
                <w:color w:val="000000"/>
                <w:sz w:val="16"/>
                <w:szCs w:val="16"/>
              </w:rPr>
              <w:t xml:space="preserve">дум: Центральное правительство </w:t>
            </w:r>
            <w:r w:rsidRPr="000F6D96">
              <w:rPr>
                <w:rFonts w:eastAsia="Times New Roman" w:cs="Times New Roman"/>
                <w:color w:val="000000"/>
                <w:sz w:val="16"/>
                <w:szCs w:val="16"/>
              </w:rPr>
              <w:t xml:space="preserve">(вкл. </w:t>
            </w:r>
            <w:r w:rsidRPr="000F6D96">
              <w:rPr>
                <w:rFonts w:eastAsia="Times New Roman" w:cs="Times New Roman"/>
                <w:color w:val="000000"/>
                <w:sz w:val="16"/>
                <w:szCs w:val="16"/>
                <w:lang w:val="en-US"/>
              </w:rPr>
              <w:t>SSF</w:t>
            </w:r>
            <w:r w:rsidRPr="000F6D96">
              <w:rPr>
                <w:rFonts w:eastAsia="Times New Roman" w:cs="Times New Roman"/>
                <w:color w:val="000000"/>
                <w:sz w:val="16"/>
                <w:szCs w:val="16"/>
              </w:rPr>
              <w:t xml:space="preserve"> центрального уровня)</w:t>
            </w:r>
          </w:p>
        </w:tc>
      </w:tr>
      <w:tr w:rsidR="00F8280E" w:rsidRPr="000F6D96" w:rsidTr="000F6D96">
        <w:trPr>
          <w:trHeight w:val="540"/>
        </w:trPr>
        <w:tc>
          <w:tcPr>
            <w:tcW w:w="4828" w:type="dxa"/>
            <w:gridSpan w:val="5"/>
            <w:shd w:val="clear" w:color="auto" w:fill="auto"/>
            <w:noWrap/>
            <w:vAlign w:val="center"/>
            <w:hideMark/>
          </w:tcPr>
          <w:p w:rsidR="00F8280E" w:rsidRPr="000F6D96" w:rsidRDefault="000B7BF1" w:rsidP="00AF5F6F">
            <w:pPr>
              <w:spacing w:after="0" w:line="240" w:lineRule="auto"/>
              <w:jc w:val="center"/>
              <w:rPr>
                <w:rFonts w:eastAsia="Times New Roman" w:cs="Times New Roman"/>
                <w:color w:val="000000"/>
                <w:sz w:val="16"/>
                <w:szCs w:val="16"/>
              </w:rPr>
            </w:pPr>
            <w:r w:rsidRPr="000F6D96">
              <w:rPr>
                <w:rFonts w:eastAsia="Times New Roman" w:cs="Times New Roman"/>
                <w:color w:val="000000"/>
                <w:sz w:val="16"/>
                <w:szCs w:val="16"/>
              </w:rPr>
              <w:t>Центральное правительство (за исключением фондов социального обеспечения</w:t>
            </w:r>
            <w:r w:rsidR="00F8280E" w:rsidRPr="000F6D96">
              <w:rPr>
                <w:rFonts w:eastAsia="Times New Roman" w:cs="Times New Roman"/>
                <w:color w:val="000000"/>
                <w:sz w:val="16"/>
                <w:szCs w:val="16"/>
              </w:rPr>
              <w:t>)</w:t>
            </w:r>
          </w:p>
        </w:tc>
        <w:tc>
          <w:tcPr>
            <w:tcW w:w="588" w:type="dxa"/>
            <w:vMerge w:val="restart"/>
            <w:shd w:val="clear" w:color="auto" w:fill="auto"/>
            <w:vAlign w:val="center"/>
            <w:hideMark/>
          </w:tcPr>
          <w:p w:rsidR="00F8280E" w:rsidRPr="000F6D96" w:rsidRDefault="000B7BF1" w:rsidP="00AF5F6F">
            <w:pPr>
              <w:spacing w:after="0" w:line="240" w:lineRule="auto"/>
              <w:jc w:val="center"/>
              <w:rPr>
                <w:rFonts w:eastAsia="Times New Roman" w:cs="Times New Roman"/>
                <w:color w:val="000000"/>
                <w:sz w:val="16"/>
                <w:szCs w:val="16"/>
                <w:lang w:val="en-US"/>
              </w:rPr>
            </w:pPr>
            <w:r w:rsidRPr="00B25AF7">
              <w:rPr>
                <w:rFonts w:eastAsia="Times New Roman" w:cs="Times New Roman"/>
                <w:color w:val="000000"/>
                <w:sz w:val="16"/>
                <w:szCs w:val="16"/>
              </w:rPr>
              <w:t xml:space="preserve">Фонды социального </w:t>
            </w:r>
            <w:proofErr w:type="spellStart"/>
            <w:r w:rsidRPr="00B25AF7">
              <w:rPr>
                <w:rFonts w:eastAsia="Times New Roman" w:cs="Times New Roman"/>
                <w:color w:val="000000"/>
                <w:sz w:val="16"/>
                <w:szCs w:val="16"/>
              </w:rPr>
              <w:t>обес</w:t>
            </w:r>
            <w:r w:rsidRPr="000F6D96">
              <w:rPr>
                <w:rFonts w:eastAsia="Times New Roman" w:cs="Times New Roman"/>
                <w:color w:val="000000"/>
                <w:sz w:val="16"/>
                <w:szCs w:val="16"/>
                <w:lang w:val="en-US"/>
              </w:rPr>
              <w:t>печения</w:t>
            </w:r>
            <w:proofErr w:type="spellEnd"/>
          </w:p>
        </w:tc>
        <w:tc>
          <w:tcPr>
            <w:tcW w:w="734" w:type="dxa"/>
            <w:vMerge w:val="restart"/>
            <w:shd w:val="clear" w:color="auto" w:fill="auto"/>
            <w:vAlign w:val="center"/>
            <w:hideMark/>
          </w:tcPr>
          <w:p w:rsidR="00F8280E" w:rsidRPr="000F6D96" w:rsidRDefault="000B7BF1" w:rsidP="00AF5F6F">
            <w:pPr>
              <w:spacing w:after="0" w:line="240" w:lineRule="auto"/>
              <w:jc w:val="center"/>
              <w:rPr>
                <w:rFonts w:eastAsia="Times New Roman" w:cs="Times New Roman"/>
                <w:color w:val="000000"/>
                <w:sz w:val="16"/>
                <w:szCs w:val="16"/>
              </w:rPr>
            </w:pPr>
            <w:r w:rsidRPr="000F6D96">
              <w:rPr>
                <w:rFonts w:eastAsia="Times New Roman" w:cs="Times New Roman"/>
                <w:color w:val="000000"/>
                <w:sz w:val="16"/>
                <w:szCs w:val="16"/>
                <w:lang w:val="en-US"/>
              </w:rPr>
              <w:t>Правительства штатов</w:t>
            </w:r>
            <w:r w:rsidRPr="000F6D96">
              <w:rPr>
                <w:rFonts w:eastAsia="Times New Roman" w:cs="Times New Roman"/>
                <w:color w:val="000000"/>
                <w:sz w:val="16"/>
                <w:szCs w:val="16"/>
              </w:rPr>
              <w:t xml:space="preserve"> (регионов)</w:t>
            </w:r>
          </w:p>
        </w:tc>
        <w:tc>
          <w:tcPr>
            <w:tcW w:w="803" w:type="dxa"/>
            <w:vMerge w:val="restart"/>
            <w:shd w:val="clear" w:color="auto" w:fill="auto"/>
            <w:vAlign w:val="center"/>
            <w:hideMark/>
          </w:tcPr>
          <w:p w:rsidR="00F8280E" w:rsidRPr="000F6D96" w:rsidRDefault="000B7BF1"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Местные органы власти</w:t>
            </w:r>
          </w:p>
        </w:tc>
        <w:tc>
          <w:tcPr>
            <w:tcW w:w="833" w:type="dxa"/>
            <w:vMerge w:val="restart"/>
            <w:shd w:val="clear" w:color="auto" w:fill="auto"/>
            <w:vAlign w:val="center"/>
            <w:hideMark/>
          </w:tcPr>
          <w:p w:rsidR="00F8280E" w:rsidRPr="000F6D96" w:rsidRDefault="000B7BF1"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Столбец консолидации</w:t>
            </w:r>
          </w:p>
        </w:tc>
        <w:tc>
          <w:tcPr>
            <w:tcW w:w="748" w:type="dxa"/>
            <w:vMerge w:val="restart"/>
            <w:shd w:val="clear" w:color="auto" w:fill="auto"/>
            <w:vAlign w:val="center"/>
            <w:hideMark/>
          </w:tcPr>
          <w:p w:rsidR="00F8280E" w:rsidRPr="000F6D96" w:rsidRDefault="000B7BF1"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rPr>
              <w:t>Органы гос.</w:t>
            </w:r>
            <w:r w:rsidR="00B25AF7">
              <w:rPr>
                <w:rFonts w:eastAsia="Times New Roman" w:cs="Times New Roman"/>
                <w:color w:val="000000"/>
                <w:sz w:val="16"/>
                <w:szCs w:val="16"/>
              </w:rPr>
              <w:t xml:space="preserve"> </w:t>
            </w:r>
            <w:r w:rsidRPr="000F6D96">
              <w:rPr>
                <w:rFonts w:eastAsia="Times New Roman" w:cs="Times New Roman"/>
                <w:color w:val="000000"/>
                <w:sz w:val="16"/>
                <w:szCs w:val="16"/>
              </w:rPr>
              <w:t>управления</w:t>
            </w:r>
          </w:p>
        </w:tc>
        <w:tc>
          <w:tcPr>
            <w:tcW w:w="822" w:type="dxa"/>
            <w:vMerge/>
            <w:vAlign w:val="center"/>
            <w:hideMark/>
          </w:tcPr>
          <w:p w:rsidR="00F8280E" w:rsidRPr="000F6D96" w:rsidRDefault="00F8280E" w:rsidP="00AF5F6F">
            <w:pPr>
              <w:spacing w:after="0" w:line="240" w:lineRule="auto"/>
              <w:rPr>
                <w:rFonts w:eastAsia="Times New Roman" w:cs="Times New Roman"/>
                <w:color w:val="000000"/>
                <w:sz w:val="16"/>
                <w:szCs w:val="16"/>
                <w:lang w:val="en-US"/>
              </w:rPr>
            </w:pPr>
          </w:p>
        </w:tc>
      </w:tr>
      <w:tr w:rsidR="000B7BF1" w:rsidRPr="000F6D96" w:rsidTr="000F6D96">
        <w:trPr>
          <w:trHeight w:val="750"/>
        </w:trPr>
        <w:tc>
          <w:tcPr>
            <w:tcW w:w="1288" w:type="dxa"/>
            <w:shd w:val="clear" w:color="auto" w:fill="auto"/>
            <w:noWrap/>
            <w:vAlign w:val="center"/>
            <w:hideMark/>
          </w:tcPr>
          <w:p w:rsidR="00F8280E" w:rsidRPr="000F6D96" w:rsidRDefault="000B7BF1" w:rsidP="000B7BF1">
            <w:pPr>
              <w:spacing w:after="0" w:line="240" w:lineRule="auto"/>
              <w:jc w:val="center"/>
              <w:rPr>
                <w:rFonts w:eastAsia="Times New Roman" w:cs="Times New Roman"/>
                <w:color w:val="000000"/>
                <w:sz w:val="16"/>
                <w:szCs w:val="16"/>
              </w:rPr>
            </w:pPr>
            <w:r w:rsidRPr="000F6D96">
              <w:rPr>
                <w:rFonts w:eastAsia="Times New Roman" w:cs="Times New Roman"/>
                <w:color w:val="000000"/>
                <w:sz w:val="16"/>
                <w:szCs w:val="16"/>
              </w:rPr>
              <w:t>Бюджетные</w:t>
            </w:r>
          </w:p>
        </w:tc>
        <w:tc>
          <w:tcPr>
            <w:tcW w:w="1009" w:type="dxa"/>
            <w:shd w:val="clear" w:color="auto" w:fill="auto"/>
            <w:noWrap/>
            <w:vAlign w:val="center"/>
            <w:hideMark/>
          </w:tcPr>
          <w:p w:rsidR="00F8280E" w:rsidRPr="000F6D96" w:rsidRDefault="000B7BF1" w:rsidP="00AF5F6F">
            <w:pPr>
              <w:spacing w:after="0" w:line="240" w:lineRule="auto"/>
              <w:jc w:val="center"/>
              <w:rPr>
                <w:rFonts w:eastAsia="Times New Roman" w:cs="Times New Roman"/>
                <w:color w:val="000000"/>
                <w:sz w:val="16"/>
                <w:szCs w:val="16"/>
              </w:rPr>
            </w:pPr>
            <w:r w:rsidRPr="000F6D96">
              <w:rPr>
                <w:rFonts w:eastAsia="Times New Roman" w:cs="Times New Roman"/>
                <w:color w:val="000000"/>
                <w:sz w:val="16"/>
                <w:szCs w:val="16"/>
              </w:rPr>
              <w:t>Внебюджетный</w:t>
            </w:r>
          </w:p>
        </w:tc>
        <w:tc>
          <w:tcPr>
            <w:tcW w:w="1369" w:type="dxa"/>
            <w:gridSpan w:val="2"/>
            <w:shd w:val="clear" w:color="auto" w:fill="auto"/>
            <w:vAlign w:val="center"/>
            <w:hideMark/>
          </w:tcPr>
          <w:p w:rsidR="00F8280E" w:rsidRPr="000F6D96" w:rsidRDefault="000B7BF1"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Столбец консолидации</w:t>
            </w:r>
          </w:p>
        </w:tc>
        <w:tc>
          <w:tcPr>
            <w:tcW w:w="1162" w:type="dxa"/>
            <w:shd w:val="clear" w:color="auto" w:fill="auto"/>
            <w:vAlign w:val="center"/>
            <w:hideMark/>
          </w:tcPr>
          <w:p w:rsidR="00F8280E" w:rsidRPr="000F6D96" w:rsidRDefault="000B7BF1" w:rsidP="00AF5F6F">
            <w:pPr>
              <w:spacing w:after="0" w:line="240" w:lineRule="auto"/>
              <w:jc w:val="center"/>
              <w:rPr>
                <w:rFonts w:eastAsia="Times New Roman" w:cs="Times New Roman"/>
                <w:color w:val="000000"/>
                <w:sz w:val="16"/>
                <w:szCs w:val="16"/>
              </w:rPr>
            </w:pPr>
            <w:r w:rsidRPr="000F6D96">
              <w:rPr>
                <w:rFonts w:eastAsia="Times New Roman" w:cs="Times New Roman"/>
                <w:color w:val="000000"/>
                <w:sz w:val="16"/>
                <w:szCs w:val="16"/>
              </w:rPr>
              <w:t>Центральное правительство</w:t>
            </w:r>
          </w:p>
        </w:tc>
        <w:tc>
          <w:tcPr>
            <w:tcW w:w="588" w:type="dxa"/>
            <w:vMerge/>
            <w:vAlign w:val="center"/>
            <w:hideMark/>
          </w:tcPr>
          <w:p w:rsidR="00F8280E" w:rsidRPr="000F6D96" w:rsidRDefault="00F8280E" w:rsidP="00AF5F6F">
            <w:pPr>
              <w:spacing w:after="0" w:line="240" w:lineRule="auto"/>
              <w:rPr>
                <w:rFonts w:eastAsia="Times New Roman" w:cs="Times New Roman"/>
                <w:color w:val="000000"/>
                <w:sz w:val="16"/>
                <w:szCs w:val="16"/>
                <w:lang w:val="en-US"/>
              </w:rPr>
            </w:pPr>
          </w:p>
        </w:tc>
        <w:tc>
          <w:tcPr>
            <w:tcW w:w="734" w:type="dxa"/>
            <w:vMerge/>
            <w:vAlign w:val="center"/>
            <w:hideMark/>
          </w:tcPr>
          <w:p w:rsidR="00F8280E" w:rsidRPr="000F6D96" w:rsidRDefault="00F8280E" w:rsidP="00AF5F6F">
            <w:pPr>
              <w:spacing w:after="0" w:line="240" w:lineRule="auto"/>
              <w:rPr>
                <w:rFonts w:eastAsia="Times New Roman" w:cs="Times New Roman"/>
                <w:color w:val="000000"/>
                <w:sz w:val="16"/>
                <w:szCs w:val="16"/>
                <w:lang w:val="en-US"/>
              </w:rPr>
            </w:pPr>
          </w:p>
        </w:tc>
        <w:tc>
          <w:tcPr>
            <w:tcW w:w="803" w:type="dxa"/>
            <w:vMerge/>
            <w:vAlign w:val="center"/>
            <w:hideMark/>
          </w:tcPr>
          <w:p w:rsidR="00F8280E" w:rsidRPr="000F6D96" w:rsidRDefault="00F8280E" w:rsidP="00AF5F6F">
            <w:pPr>
              <w:spacing w:after="0" w:line="240" w:lineRule="auto"/>
              <w:rPr>
                <w:rFonts w:eastAsia="Times New Roman" w:cs="Times New Roman"/>
                <w:color w:val="000000"/>
                <w:sz w:val="16"/>
                <w:szCs w:val="16"/>
                <w:lang w:val="en-US"/>
              </w:rPr>
            </w:pPr>
          </w:p>
        </w:tc>
        <w:tc>
          <w:tcPr>
            <w:tcW w:w="833" w:type="dxa"/>
            <w:vMerge/>
            <w:vAlign w:val="center"/>
            <w:hideMark/>
          </w:tcPr>
          <w:p w:rsidR="00F8280E" w:rsidRPr="000F6D96" w:rsidRDefault="00F8280E" w:rsidP="00AF5F6F">
            <w:pPr>
              <w:spacing w:after="0" w:line="240" w:lineRule="auto"/>
              <w:rPr>
                <w:rFonts w:eastAsia="Times New Roman" w:cs="Times New Roman"/>
                <w:color w:val="000000"/>
                <w:sz w:val="16"/>
                <w:szCs w:val="16"/>
                <w:lang w:val="en-US"/>
              </w:rPr>
            </w:pPr>
          </w:p>
        </w:tc>
        <w:tc>
          <w:tcPr>
            <w:tcW w:w="748" w:type="dxa"/>
            <w:vMerge/>
            <w:vAlign w:val="center"/>
            <w:hideMark/>
          </w:tcPr>
          <w:p w:rsidR="00F8280E" w:rsidRPr="000F6D96" w:rsidRDefault="00F8280E" w:rsidP="00AF5F6F">
            <w:pPr>
              <w:spacing w:after="0" w:line="240" w:lineRule="auto"/>
              <w:rPr>
                <w:rFonts w:eastAsia="Times New Roman" w:cs="Times New Roman"/>
                <w:color w:val="000000"/>
                <w:sz w:val="16"/>
                <w:szCs w:val="16"/>
                <w:lang w:val="en-US"/>
              </w:rPr>
            </w:pPr>
          </w:p>
        </w:tc>
        <w:tc>
          <w:tcPr>
            <w:tcW w:w="822" w:type="dxa"/>
            <w:vMerge/>
            <w:vAlign w:val="center"/>
            <w:hideMark/>
          </w:tcPr>
          <w:p w:rsidR="00F8280E" w:rsidRPr="000F6D96" w:rsidRDefault="00F8280E" w:rsidP="00AF5F6F">
            <w:pPr>
              <w:spacing w:after="0" w:line="240" w:lineRule="auto"/>
              <w:rPr>
                <w:rFonts w:eastAsia="Times New Roman" w:cs="Times New Roman"/>
                <w:color w:val="000000"/>
                <w:sz w:val="16"/>
                <w:szCs w:val="16"/>
                <w:lang w:val="en-US"/>
              </w:rPr>
            </w:pPr>
          </w:p>
        </w:tc>
      </w:tr>
      <w:tr w:rsidR="000B7BF1" w:rsidRPr="000F6D96" w:rsidTr="000F6D96">
        <w:trPr>
          <w:trHeight w:val="540"/>
        </w:trPr>
        <w:tc>
          <w:tcPr>
            <w:tcW w:w="1288" w:type="dxa"/>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BA = GL1</w:t>
            </w:r>
          </w:p>
        </w:tc>
        <w:tc>
          <w:tcPr>
            <w:tcW w:w="1009" w:type="dxa"/>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EA</w:t>
            </w:r>
          </w:p>
        </w:tc>
        <w:tc>
          <w:tcPr>
            <w:tcW w:w="1369" w:type="dxa"/>
            <w:gridSpan w:val="2"/>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CC</w:t>
            </w:r>
          </w:p>
        </w:tc>
        <w:tc>
          <w:tcPr>
            <w:tcW w:w="1162" w:type="dxa"/>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CG</w:t>
            </w:r>
          </w:p>
        </w:tc>
        <w:tc>
          <w:tcPr>
            <w:tcW w:w="588" w:type="dxa"/>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SSF</w:t>
            </w:r>
          </w:p>
        </w:tc>
        <w:tc>
          <w:tcPr>
            <w:tcW w:w="734" w:type="dxa"/>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SG</w:t>
            </w:r>
          </w:p>
        </w:tc>
        <w:tc>
          <w:tcPr>
            <w:tcW w:w="803" w:type="dxa"/>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LG</w:t>
            </w:r>
          </w:p>
        </w:tc>
        <w:tc>
          <w:tcPr>
            <w:tcW w:w="833" w:type="dxa"/>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CT</w:t>
            </w:r>
          </w:p>
        </w:tc>
        <w:tc>
          <w:tcPr>
            <w:tcW w:w="748" w:type="dxa"/>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GG = GL3</w:t>
            </w:r>
          </w:p>
        </w:tc>
        <w:tc>
          <w:tcPr>
            <w:tcW w:w="822" w:type="dxa"/>
            <w:shd w:val="clear" w:color="auto" w:fill="auto"/>
            <w:noWrap/>
            <w:vAlign w:val="center"/>
            <w:hideMark/>
          </w:tcPr>
          <w:p w:rsidR="00F8280E" w:rsidRPr="000F6D96" w:rsidRDefault="00F8280E" w:rsidP="00AF5F6F">
            <w:pPr>
              <w:spacing w:after="0" w:line="240" w:lineRule="auto"/>
              <w:jc w:val="center"/>
              <w:rPr>
                <w:rFonts w:eastAsia="Times New Roman" w:cs="Times New Roman"/>
                <w:color w:val="000000"/>
                <w:sz w:val="16"/>
                <w:szCs w:val="16"/>
                <w:lang w:val="en-US"/>
              </w:rPr>
            </w:pPr>
            <w:r w:rsidRPr="000F6D96">
              <w:rPr>
                <w:rFonts w:eastAsia="Times New Roman" w:cs="Times New Roman"/>
                <w:color w:val="000000"/>
                <w:sz w:val="16"/>
                <w:szCs w:val="16"/>
                <w:lang w:val="en-US"/>
              </w:rPr>
              <w:t>GL2</w:t>
            </w:r>
          </w:p>
        </w:tc>
      </w:tr>
    </w:tbl>
    <w:p w:rsidR="000B7BF1" w:rsidRDefault="000B7BF1" w:rsidP="000F6D96">
      <w:pPr>
        <w:spacing w:before="120"/>
      </w:pPr>
      <w:r w:rsidRPr="000B7BF1">
        <w:t xml:space="preserve">Есть некоторые страны, которые сообщают о </w:t>
      </w:r>
      <w:r w:rsidR="000F6D96">
        <w:t>«</w:t>
      </w:r>
      <w:r w:rsidRPr="000B7BF1">
        <w:t>консолидированном центральном правительстве</w:t>
      </w:r>
      <w:r w:rsidR="000F6D96">
        <w:t>»</w:t>
      </w:r>
      <w:r w:rsidRPr="000B7BF1">
        <w:t>, не обязательно указывая отдельно бюджетный подсектор центрального правительства. МВФ намерен предоставлять данные для бюджетного центрального правительства и будет работать над решением этого вопроса, где это необходимо, как указано в разделе 5 выше.</w:t>
      </w:r>
    </w:p>
    <w:p w:rsidR="002E15F9"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CB2A74" w:rsidRDefault="00CB2A74" w:rsidP="002D732C">
      <w:pPr>
        <w:spacing w:after="0"/>
      </w:pPr>
      <w:r>
        <w:t xml:space="preserve">Ряд бюджетных доходов центрального правительства СГФ, собранный в Таблице 1 ежегодного </w:t>
      </w:r>
      <w:hyperlink r:id="rId9" w:history="1">
        <w:r w:rsidR="002D732C">
          <w:rPr>
            <w:rStyle w:val="ac"/>
          </w:rPr>
          <w:t>вопросника СГФ</w:t>
        </w:r>
      </w:hyperlink>
      <w:r>
        <w:t xml:space="preserve">, предоставляемого всем странам, будет объединен с рядом бюджетных расходов центрального правительства (фактическое исполнение основного бюджета) по «расходам» плюс «чистое приобретение </w:t>
      </w:r>
      <w:proofErr w:type="gramStart"/>
      <w:r>
        <w:t>-ф</w:t>
      </w:r>
      <w:proofErr w:type="gramEnd"/>
      <w:r>
        <w:t xml:space="preserve">инансовые активы», как это определено в РСГФ 2014 года). Ряды расходов СГФ представлены по экономической классификации в таблицах 2 и 3 (статьи под кодом 31). Альтернативно, для тех стран, которые сообщают об общих расходах в соответствии с функциональной классификацией (COFOG) в Таблице 7 СГФ, можно провести аналогичный расчет. Доля внутренних бюджетных расходов центрального правительства, финансируемых за счет налогов, будет </w:t>
      </w:r>
      <w:r w:rsidR="002D732C">
        <w:lastRenderedPageBreak/>
        <w:t>рассчитываться как (Налоги/</w:t>
      </w:r>
      <w:r>
        <w:t xml:space="preserve">Расходы, выраженные </w:t>
      </w:r>
      <w:proofErr w:type="gramStart"/>
      <w:r>
        <w:t>в</w:t>
      </w:r>
      <w:proofErr w:type="gramEnd"/>
      <w:r>
        <w:t xml:space="preserve"> %) </w:t>
      </w:r>
      <w:proofErr w:type="gramStart"/>
      <w:r>
        <w:t>с</w:t>
      </w:r>
      <w:proofErr w:type="gramEnd"/>
      <w:r>
        <w:t xml:space="preserve"> использованием следующего ряда данных:</w:t>
      </w:r>
    </w:p>
    <w:p w:rsidR="00CB2A74" w:rsidRDefault="00CB2A74" w:rsidP="002D732C">
      <w:pPr>
        <w:spacing w:after="0"/>
      </w:pPr>
    </w:p>
    <w:p w:rsidR="000B7BF1" w:rsidRDefault="00CB2A74" w:rsidP="002D732C">
      <w:pPr>
        <w:spacing w:after="0"/>
      </w:pPr>
      <w:r>
        <w:t>Пример: расчет показателя ЦУР 17.1.2</w:t>
      </w:r>
    </w:p>
    <w:p w:rsidR="000B7BF1" w:rsidRPr="00DA4169" w:rsidRDefault="000B7BF1" w:rsidP="000B7BF1">
      <w:pPr>
        <w:pStyle w:val="MText"/>
        <w:rPr>
          <w:lang w:val="ru-RU"/>
        </w:rPr>
      </w:pPr>
    </w:p>
    <w:tbl>
      <w:tblPr>
        <w:tblW w:w="8253" w:type="dxa"/>
        <w:tblInd w:w="612" w:type="dxa"/>
        <w:tblLook w:val="04A0" w:firstRow="1" w:lastRow="0" w:firstColumn="1" w:lastColumn="0" w:noHBand="0" w:noVBand="1"/>
      </w:tblPr>
      <w:tblGrid>
        <w:gridCol w:w="2520"/>
        <w:gridCol w:w="960"/>
        <w:gridCol w:w="960"/>
        <w:gridCol w:w="2853"/>
        <w:gridCol w:w="960"/>
      </w:tblGrid>
      <w:tr w:rsidR="000B7BF1" w:rsidRPr="002D732C" w:rsidTr="00566556">
        <w:trPr>
          <w:trHeight w:val="300"/>
        </w:trPr>
        <w:tc>
          <w:tcPr>
            <w:tcW w:w="252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b/>
                <w:bCs/>
                <w:color w:val="000000"/>
                <w:lang w:val="en-US"/>
              </w:rPr>
            </w:pPr>
            <w:r w:rsidRPr="002D732C">
              <w:rPr>
                <w:rFonts w:eastAsia="Times New Roman" w:cs="Times New Roman"/>
                <w:b/>
                <w:bCs/>
                <w:color w:val="000000"/>
                <w:lang w:val="en-US"/>
              </w:rPr>
              <w:t>Общий доход</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jc w:val="right"/>
              <w:rPr>
                <w:rFonts w:eastAsia="Times New Roman" w:cs="Times New Roman"/>
                <w:b/>
                <w:bCs/>
                <w:color w:val="000000"/>
                <w:lang w:val="en-US"/>
              </w:rPr>
            </w:pPr>
            <w:r w:rsidRPr="002D732C">
              <w:rPr>
                <w:rFonts w:eastAsia="Times New Roman" w:cs="Times New Roman"/>
                <w:b/>
                <w:bCs/>
                <w:color w:val="000000"/>
                <w:lang w:val="en-US"/>
              </w:rPr>
              <w:t>963</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b/>
                <w:bCs/>
                <w:color w:val="000000"/>
                <w:lang w:val="en-US"/>
              </w:rPr>
            </w:pPr>
            <w:r w:rsidRPr="002D732C">
              <w:rPr>
                <w:rFonts w:eastAsia="Times New Roman" w:cs="Times New Roman"/>
                <w:b/>
                <w:bCs/>
                <w:color w:val="000000"/>
                <w:lang w:val="en-US"/>
              </w:rPr>
              <w:t> </w:t>
            </w:r>
          </w:p>
        </w:tc>
        <w:tc>
          <w:tcPr>
            <w:tcW w:w="2853"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b/>
                <w:bCs/>
                <w:color w:val="000000"/>
              </w:rPr>
            </w:pPr>
            <w:r w:rsidRPr="002D732C">
              <w:rPr>
                <w:rFonts w:eastAsia="Times New Roman" w:cs="Times New Roman"/>
                <w:b/>
                <w:bCs/>
                <w:color w:val="000000"/>
              </w:rPr>
              <w:t>Расходы</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jc w:val="right"/>
              <w:rPr>
                <w:rFonts w:eastAsia="Times New Roman" w:cs="Times New Roman"/>
                <w:b/>
                <w:bCs/>
                <w:color w:val="000000"/>
                <w:lang w:val="en-US"/>
              </w:rPr>
            </w:pPr>
            <w:r w:rsidRPr="002D732C">
              <w:rPr>
                <w:rFonts w:eastAsia="Times New Roman" w:cs="Times New Roman"/>
                <w:b/>
                <w:bCs/>
                <w:color w:val="000000"/>
                <w:lang w:val="en-US"/>
              </w:rPr>
              <w:t>1200</w:t>
            </w:r>
          </w:p>
        </w:tc>
      </w:tr>
      <w:tr w:rsidR="000B7BF1" w:rsidRPr="002D732C" w:rsidTr="00566556">
        <w:trPr>
          <w:trHeight w:val="300"/>
        </w:trPr>
        <w:tc>
          <w:tcPr>
            <w:tcW w:w="252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2853"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r>
      <w:tr w:rsidR="000B7BF1" w:rsidRPr="002D732C" w:rsidTr="00566556">
        <w:trPr>
          <w:trHeight w:val="300"/>
        </w:trPr>
        <w:tc>
          <w:tcPr>
            <w:tcW w:w="2520" w:type="dxa"/>
            <w:tcBorders>
              <w:top w:val="nil"/>
              <w:left w:val="nil"/>
              <w:bottom w:val="nil"/>
              <w:right w:val="nil"/>
            </w:tcBorders>
            <w:shd w:val="clear" w:color="000000" w:fill="D9D9D9"/>
            <w:noWrap/>
            <w:vAlign w:val="bottom"/>
            <w:hideMark/>
          </w:tcPr>
          <w:p w:rsidR="000B7BF1" w:rsidRPr="002D732C" w:rsidRDefault="000B7BF1" w:rsidP="000B7BF1">
            <w:pPr>
              <w:spacing w:after="0" w:line="240" w:lineRule="auto"/>
              <w:ind w:firstLineChars="200" w:firstLine="480"/>
              <w:rPr>
                <w:rFonts w:eastAsia="Times New Roman" w:cs="Times New Roman"/>
                <w:color w:val="000000"/>
              </w:rPr>
            </w:pPr>
            <w:r w:rsidRPr="002D732C">
              <w:rPr>
                <w:rFonts w:eastAsia="Times New Roman" w:cs="Times New Roman"/>
                <w:color w:val="000000"/>
              </w:rPr>
              <w:t>Налоги</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jc w:val="right"/>
              <w:rPr>
                <w:rFonts w:eastAsia="Times New Roman" w:cs="Times New Roman"/>
                <w:color w:val="000000"/>
                <w:lang w:val="en-US"/>
              </w:rPr>
            </w:pPr>
            <w:r w:rsidRPr="002D732C">
              <w:rPr>
                <w:rFonts w:eastAsia="Times New Roman" w:cs="Times New Roman"/>
                <w:color w:val="000000"/>
                <w:lang w:val="en-US"/>
              </w:rPr>
              <w:t>800</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2853" w:type="dxa"/>
            <w:tcBorders>
              <w:top w:val="nil"/>
              <w:left w:val="nil"/>
              <w:bottom w:val="nil"/>
              <w:right w:val="nil"/>
            </w:tcBorders>
            <w:shd w:val="clear" w:color="000000" w:fill="D9D9D9"/>
            <w:noWrap/>
            <w:vAlign w:val="bottom"/>
            <w:hideMark/>
          </w:tcPr>
          <w:p w:rsidR="000B7BF1" w:rsidRPr="002D732C" w:rsidRDefault="000B7BF1" w:rsidP="000B7BF1">
            <w:pPr>
              <w:spacing w:after="0" w:line="240" w:lineRule="auto"/>
              <w:ind w:firstLineChars="200" w:firstLine="480"/>
              <w:rPr>
                <w:rFonts w:eastAsia="Times New Roman" w:cs="Times New Roman"/>
                <w:color w:val="000000"/>
                <w:lang w:val="en-US"/>
              </w:rPr>
            </w:pPr>
            <w:r w:rsidRPr="002D732C">
              <w:rPr>
                <w:rFonts w:eastAsia="Times New Roman" w:cs="Times New Roman"/>
                <w:color w:val="000000"/>
                <w:lang w:val="en-US"/>
              </w:rPr>
              <w:t>Расход</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jc w:val="right"/>
              <w:rPr>
                <w:rFonts w:eastAsia="Times New Roman" w:cs="Times New Roman"/>
                <w:color w:val="000000"/>
                <w:lang w:val="en-US"/>
              </w:rPr>
            </w:pPr>
            <w:r w:rsidRPr="002D732C">
              <w:rPr>
                <w:rFonts w:eastAsia="Times New Roman" w:cs="Times New Roman"/>
                <w:color w:val="000000"/>
                <w:lang w:val="en-US"/>
              </w:rPr>
              <w:t>950</w:t>
            </w:r>
          </w:p>
        </w:tc>
      </w:tr>
      <w:tr w:rsidR="000B7BF1" w:rsidRPr="002D732C" w:rsidTr="00566556">
        <w:trPr>
          <w:trHeight w:val="300"/>
        </w:trPr>
        <w:tc>
          <w:tcPr>
            <w:tcW w:w="2520" w:type="dxa"/>
            <w:tcBorders>
              <w:top w:val="nil"/>
              <w:left w:val="nil"/>
              <w:bottom w:val="nil"/>
              <w:right w:val="nil"/>
            </w:tcBorders>
            <w:shd w:val="clear" w:color="000000" w:fill="D9D9D9"/>
            <w:noWrap/>
            <w:vAlign w:val="bottom"/>
            <w:hideMark/>
          </w:tcPr>
          <w:p w:rsidR="000B7BF1" w:rsidRPr="002D732C" w:rsidRDefault="000B7BF1" w:rsidP="000B7BF1">
            <w:pPr>
              <w:spacing w:after="0" w:line="240" w:lineRule="auto"/>
              <w:ind w:firstLineChars="200" w:firstLine="480"/>
              <w:rPr>
                <w:rFonts w:eastAsia="Times New Roman" w:cs="Times New Roman"/>
                <w:color w:val="000000"/>
                <w:lang w:val="en-US"/>
              </w:rPr>
            </w:pPr>
            <w:r w:rsidRPr="002D732C">
              <w:rPr>
                <w:rFonts w:eastAsia="Times New Roman" w:cs="Times New Roman"/>
                <w:color w:val="000000"/>
                <w:lang w:val="en-US"/>
              </w:rPr>
              <w:t>Социальные взносы</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jc w:val="right"/>
              <w:rPr>
                <w:rFonts w:eastAsia="Times New Roman" w:cs="Times New Roman"/>
                <w:color w:val="000000"/>
                <w:lang w:val="en-US"/>
              </w:rPr>
            </w:pPr>
            <w:r w:rsidRPr="002D732C">
              <w:rPr>
                <w:rFonts w:eastAsia="Times New Roman" w:cs="Times New Roman"/>
                <w:color w:val="000000"/>
                <w:lang w:val="en-US"/>
              </w:rPr>
              <w:t>105</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2853" w:type="dxa"/>
            <w:vMerge w:val="restart"/>
            <w:tcBorders>
              <w:top w:val="nil"/>
              <w:left w:val="nil"/>
              <w:bottom w:val="nil"/>
              <w:right w:val="nil"/>
            </w:tcBorders>
            <w:shd w:val="clear" w:color="000000" w:fill="D9D9D9"/>
            <w:vAlign w:val="center"/>
            <w:hideMark/>
          </w:tcPr>
          <w:p w:rsidR="000B7BF1" w:rsidRPr="002D732C" w:rsidRDefault="000B7BF1" w:rsidP="000B7BF1">
            <w:pPr>
              <w:spacing w:after="0" w:line="240" w:lineRule="auto"/>
              <w:ind w:firstLineChars="200" w:firstLine="480"/>
              <w:rPr>
                <w:rFonts w:eastAsia="Times New Roman" w:cs="Times New Roman"/>
                <w:color w:val="000000"/>
                <w:lang w:val="en-US"/>
              </w:rPr>
            </w:pPr>
            <w:r w:rsidRPr="002D732C">
              <w:rPr>
                <w:rFonts w:eastAsia="Times New Roman" w:cs="Times New Roman"/>
                <w:color w:val="000000"/>
                <w:lang w:val="en-US"/>
              </w:rPr>
              <w:t>Чистое приобретение нефинансовых активов</w:t>
            </w:r>
          </w:p>
        </w:tc>
        <w:tc>
          <w:tcPr>
            <w:tcW w:w="960" w:type="dxa"/>
            <w:tcBorders>
              <w:top w:val="nil"/>
              <w:left w:val="nil"/>
              <w:bottom w:val="nil"/>
              <w:right w:val="nil"/>
            </w:tcBorders>
            <w:shd w:val="clear" w:color="000000" w:fill="D9D9D9"/>
            <w:noWrap/>
            <w:hideMark/>
          </w:tcPr>
          <w:p w:rsidR="000B7BF1" w:rsidRPr="002D732C" w:rsidRDefault="000B7BF1" w:rsidP="00AF5F6F">
            <w:pPr>
              <w:spacing w:after="0" w:line="240" w:lineRule="auto"/>
              <w:jc w:val="right"/>
              <w:rPr>
                <w:rFonts w:eastAsia="Times New Roman" w:cs="Times New Roman"/>
                <w:color w:val="000000"/>
                <w:lang w:val="en-US"/>
              </w:rPr>
            </w:pPr>
            <w:r w:rsidRPr="002D732C">
              <w:rPr>
                <w:rFonts w:eastAsia="Times New Roman" w:cs="Times New Roman"/>
                <w:color w:val="000000"/>
                <w:lang w:val="en-US"/>
              </w:rPr>
              <w:t>250</w:t>
            </w:r>
          </w:p>
        </w:tc>
      </w:tr>
      <w:tr w:rsidR="000B7BF1" w:rsidRPr="002D732C" w:rsidTr="00566556">
        <w:trPr>
          <w:trHeight w:val="300"/>
        </w:trPr>
        <w:tc>
          <w:tcPr>
            <w:tcW w:w="2520" w:type="dxa"/>
            <w:tcBorders>
              <w:top w:val="nil"/>
              <w:left w:val="nil"/>
              <w:bottom w:val="nil"/>
              <w:right w:val="nil"/>
            </w:tcBorders>
            <w:shd w:val="clear" w:color="000000" w:fill="D9D9D9"/>
            <w:noWrap/>
            <w:vAlign w:val="bottom"/>
            <w:hideMark/>
          </w:tcPr>
          <w:p w:rsidR="000B7BF1" w:rsidRPr="002D732C" w:rsidRDefault="000B7BF1" w:rsidP="000B7BF1">
            <w:pPr>
              <w:spacing w:after="0" w:line="240" w:lineRule="auto"/>
              <w:ind w:firstLineChars="200" w:firstLine="480"/>
              <w:rPr>
                <w:rFonts w:eastAsia="Times New Roman" w:cs="Times New Roman"/>
                <w:color w:val="000000"/>
              </w:rPr>
            </w:pPr>
            <w:r w:rsidRPr="002D732C">
              <w:rPr>
                <w:rFonts w:eastAsia="Times New Roman" w:cs="Times New Roman"/>
                <w:color w:val="000000"/>
              </w:rPr>
              <w:t>Гранты</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jc w:val="right"/>
              <w:rPr>
                <w:rFonts w:eastAsia="Times New Roman" w:cs="Times New Roman"/>
                <w:color w:val="000000"/>
                <w:lang w:val="en-US"/>
              </w:rPr>
            </w:pPr>
            <w:r w:rsidRPr="002D732C">
              <w:rPr>
                <w:rFonts w:eastAsia="Times New Roman" w:cs="Times New Roman"/>
                <w:color w:val="000000"/>
                <w:lang w:val="en-US"/>
              </w:rPr>
              <w:t>25</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2853" w:type="dxa"/>
            <w:vMerge/>
            <w:tcBorders>
              <w:top w:val="nil"/>
              <w:left w:val="nil"/>
              <w:bottom w:val="nil"/>
              <w:right w:val="nil"/>
            </w:tcBorders>
            <w:vAlign w:val="center"/>
            <w:hideMark/>
          </w:tcPr>
          <w:p w:rsidR="000B7BF1" w:rsidRPr="002D732C" w:rsidRDefault="000B7BF1" w:rsidP="00AF5F6F">
            <w:pPr>
              <w:spacing w:after="0" w:line="240" w:lineRule="auto"/>
              <w:rPr>
                <w:rFonts w:eastAsia="Times New Roman" w:cs="Times New Roman"/>
                <w:color w:val="000000"/>
                <w:lang w:val="en-US"/>
              </w:rPr>
            </w:pP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r>
      <w:tr w:rsidR="000B7BF1" w:rsidRPr="002D732C" w:rsidTr="00566556">
        <w:trPr>
          <w:trHeight w:val="300"/>
        </w:trPr>
        <w:tc>
          <w:tcPr>
            <w:tcW w:w="2520" w:type="dxa"/>
            <w:tcBorders>
              <w:top w:val="nil"/>
              <w:left w:val="nil"/>
              <w:bottom w:val="nil"/>
              <w:right w:val="nil"/>
            </w:tcBorders>
            <w:shd w:val="clear" w:color="000000" w:fill="D9D9D9"/>
            <w:noWrap/>
            <w:vAlign w:val="bottom"/>
            <w:hideMark/>
          </w:tcPr>
          <w:p w:rsidR="000B7BF1" w:rsidRPr="002D732C" w:rsidRDefault="000B7BF1" w:rsidP="000B7BF1">
            <w:pPr>
              <w:spacing w:after="0" w:line="240" w:lineRule="auto"/>
              <w:ind w:firstLineChars="200" w:firstLine="480"/>
              <w:rPr>
                <w:rFonts w:eastAsia="Times New Roman" w:cs="Times New Roman"/>
                <w:color w:val="000000"/>
              </w:rPr>
            </w:pPr>
            <w:r w:rsidRPr="002D732C">
              <w:rPr>
                <w:rFonts w:eastAsia="Times New Roman" w:cs="Times New Roman"/>
                <w:color w:val="000000"/>
                <w:lang w:val="en-US"/>
              </w:rPr>
              <w:t>Друг</w:t>
            </w:r>
            <w:r w:rsidRPr="002D732C">
              <w:rPr>
                <w:rFonts w:eastAsia="Times New Roman" w:cs="Times New Roman"/>
                <w:color w:val="000000"/>
              </w:rPr>
              <w:t>ие</w:t>
            </w:r>
            <w:r w:rsidRPr="002D732C">
              <w:rPr>
                <w:rFonts w:eastAsia="Times New Roman" w:cs="Times New Roman"/>
                <w:color w:val="000000"/>
                <w:lang w:val="en-US"/>
              </w:rPr>
              <w:t xml:space="preserve"> доход</w:t>
            </w:r>
            <w:r w:rsidRPr="002D732C">
              <w:rPr>
                <w:rFonts w:eastAsia="Times New Roman" w:cs="Times New Roman"/>
                <w:color w:val="000000"/>
              </w:rPr>
              <w:t>ы</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jc w:val="right"/>
              <w:rPr>
                <w:rFonts w:eastAsia="Times New Roman" w:cs="Times New Roman"/>
                <w:color w:val="000000"/>
                <w:lang w:val="en-US"/>
              </w:rPr>
            </w:pPr>
            <w:r w:rsidRPr="002D732C">
              <w:rPr>
                <w:rFonts w:eastAsia="Times New Roman" w:cs="Times New Roman"/>
                <w:color w:val="000000"/>
                <w:lang w:val="en-US"/>
              </w:rPr>
              <w:t>33</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2853"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r>
      <w:tr w:rsidR="000B7BF1" w:rsidRPr="002D732C" w:rsidTr="00566556">
        <w:trPr>
          <w:trHeight w:val="300"/>
        </w:trPr>
        <w:tc>
          <w:tcPr>
            <w:tcW w:w="2520" w:type="dxa"/>
            <w:tcBorders>
              <w:top w:val="nil"/>
              <w:left w:val="nil"/>
              <w:bottom w:val="nil"/>
              <w:right w:val="nil"/>
            </w:tcBorders>
            <w:shd w:val="clear" w:color="000000" w:fill="D9D9D9"/>
            <w:noWrap/>
            <w:vAlign w:val="bottom"/>
            <w:hideMark/>
          </w:tcPr>
          <w:p w:rsidR="000B7BF1" w:rsidRPr="002D732C" w:rsidRDefault="000B7BF1" w:rsidP="000B7BF1">
            <w:pPr>
              <w:spacing w:after="0" w:line="240" w:lineRule="auto"/>
              <w:ind w:firstLineChars="200" w:firstLine="480"/>
              <w:rPr>
                <w:rFonts w:eastAsia="Times New Roman" w:cs="Times New Roman"/>
                <w:color w:val="000000"/>
                <w:lang w:val="en-US"/>
              </w:rPr>
            </w:pPr>
            <w:r w:rsidRPr="002D732C">
              <w:rPr>
                <w:rFonts w:eastAsia="Times New Roman" w:cs="Times New Roman"/>
                <w:color w:val="000000"/>
                <w:lang w:val="en-US"/>
              </w:rPr>
              <w:t> </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2853"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r>
      <w:tr w:rsidR="000B7BF1" w:rsidRPr="002D732C" w:rsidTr="00566556">
        <w:trPr>
          <w:trHeight w:val="300"/>
        </w:trPr>
        <w:tc>
          <w:tcPr>
            <w:tcW w:w="252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color w:val="000000"/>
                <w:lang w:val="en-US"/>
              </w:rPr>
            </w:pPr>
            <w:r w:rsidRPr="002D732C">
              <w:rPr>
                <w:rFonts w:eastAsia="Times New Roman" w:cs="Times New Roman"/>
                <w:color w:val="000000"/>
                <w:lang w:val="en-US"/>
              </w:rPr>
              <w:t> </w:t>
            </w:r>
          </w:p>
        </w:tc>
        <w:tc>
          <w:tcPr>
            <w:tcW w:w="2853"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rPr>
                <w:rFonts w:eastAsia="Times New Roman" w:cs="Times New Roman"/>
                <w:b/>
                <w:bCs/>
                <w:color w:val="0000FF"/>
                <w:lang w:val="en-US"/>
              </w:rPr>
            </w:pPr>
            <w:r w:rsidRPr="002D732C">
              <w:rPr>
                <w:rFonts w:eastAsia="Times New Roman" w:cs="Times New Roman"/>
                <w:b/>
                <w:bCs/>
                <w:color w:val="0000FF"/>
              </w:rPr>
              <w:t>Показатель ЦУР</w:t>
            </w:r>
            <w:r w:rsidRPr="002D732C">
              <w:rPr>
                <w:rFonts w:eastAsia="Times New Roman" w:cs="Times New Roman"/>
                <w:b/>
                <w:bCs/>
                <w:color w:val="0000FF"/>
                <w:lang w:val="en-US"/>
              </w:rPr>
              <w:t xml:space="preserve"> 17.1.2</w:t>
            </w:r>
          </w:p>
        </w:tc>
        <w:tc>
          <w:tcPr>
            <w:tcW w:w="960" w:type="dxa"/>
            <w:tcBorders>
              <w:top w:val="nil"/>
              <w:left w:val="nil"/>
              <w:bottom w:val="nil"/>
              <w:right w:val="nil"/>
            </w:tcBorders>
            <w:shd w:val="clear" w:color="000000" w:fill="D9D9D9"/>
            <w:noWrap/>
            <w:vAlign w:val="bottom"/>
            <w:hideMark/>
          </w:tcPr>
          <w:p w:rsidR="000B7BF1" w:rsidRPr="002D732C" w:rsidRDefault="000B7BF1" w:rsidP="00AF5F6F">
            <w:pPr>
              <w:spacing w:after="0" w:line="240" w:lineRule="auto"/>
              <w:jc w:val="right"/>
              <w:rPr>
                <w:rFonts w:eastAsia="Times New Roman" w:cs="Times New Roman"/>
                <w:b/>
                <w:bCs/>
                <w:color w:val="0000FF"/>
                <w:lang w:val="en-US"/>
              </w:rPr>
            </w:pPr>
            <w:r w:rsidRPr="002D732C">
              <w:rPr>
                <w:rFonts w:eastAsia="Times New Roman" w:cs="Times New Roman"/>
                <w:b/>
                <w:bCs/>
                <w:color w:val="0000FF"/>
                <w:lang w:val="en-US"/>
              </w:rPr>
              <w:t>67%</w:t>
            </w:r>
          </w:p>
        </w:tc>
      </w:tr>
    </w:tbl>
    <w:p w:rsidR="000B7BF1" w:rsidRDefault="000B7BF1" w:rsidP="000B7BF1"/>
    <w:p w:rsidR="000B7BF1" w:rsidRPr="00BD29EC" w:rsidRDefault="000B7BF1" w:rsidP="000B7BF1">
      <w:r w:rsidRPr="000B7BF1">
        <w:t xml:space="preserve">Согласованность между странами будет обеспечиваться за счет базовой структуры базы данных СГФ МВФ и применения одной простой математической формулы для выполнения расчетов на основе исходных данных, представленных странами, которые используются для расчета показателя (никакие корректировки и/или методы взвешивания применяться не будут). Смешанные источники не используются, и расчеты не будут </w:t>
      </w:r>
      <w:r w:rsidR="006624C4">
        <w:t>меняться с течением времени (т.</w:t>
      </w:r>
      <w:r w:rsidRPr="000B7BF1">
        <w:t>е. в базовом ряду нет разрывов, поскольку они являются ключевыми агрегатами/компонентами во всех рядах СГФ, представляемых странами).</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284E30" w:rsidRPr="00A96255" w:rsidRDefault="00284E30" w:rsidP="00284E30">
      <w:r>
        <w:t>См.</w:t>
      </w:r>
      <w:r w:rsidRPr="00413E37">
        <w:t xml:space="preserve"> 4.c.</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25AF7" w:rsidRDefault="00F92D6F" w:rsidP="0075371E">
      <w:pPr>
        <w:pStyle w:val="MText"/>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6624C4" w:rsidRPr="00B25AF7" w:rsidRDefault="006624C4" w:rsidP="0075371E">
      <w:pPr>
        <w:pStyle w:val="MText"/>
        <w:rPr>
          <w:color w:val="auto"/>
          <w:sz w:val="24"/>
          <w:szCs w:val="24"/>
          <w:lang w:val="ru-RU"/>
        </w:rPr>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F31B47" w:rsidRPr="00B25AF7" w:rsidRDefault="00284E30" w:rsidP="00284E30">
      <w:r w:rsidRPr="00284E30">
        <w:t>МВФ планирует полагаться исключительно на официальн</w:t>
      </w:r>
      <w:r>
        <w:t xml:space="preserve">ые </w:t>
      </w:r>
      <w:r w:rsidRPr="00284E30">
        <w:t>данные, предоставленные национальными органами с использованием стандартного вопросника СГФ, основанного на методологии РСГФ 2014 года. Когда данные по странам недоступны из-за отсутствия отчетности для Статистического департамента МВФ, мы планируем связаться с национальными властями, консультируясь, по мере необходимости, с соответствующими территориальными департаментами и офисами Исполнительного директора МВФ, чтобы убедиться, что сообщаются ключевые серии СГФ. Статистический департамент МВФ не будет рассчитывать оценочные данные по странам для отсутствующих значений.</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F31B47" w:rsidRDefault="00284E30" w:rsidP="00284E30">
      <w:r w:rsidRPr="00284E30">
        <w:t>Статистический департамент МВФ будет использовать существующую базу данных СГФ для предоставления сопоставимых рядов данных по странам в ста</w:t>
      </w:r>
      <w:r w:rsidR="00F31B47">
        <w:t>ндартном формате представления.</w:t>
      </w:r>
    </w:p>
    <w:p w:rsidR="002E15F9" w:rsidRDefault="002E15F9" w:rsidP="0075371E">
      <w:pPr>
        <w:pStyle w:val="MHeader2"/>
        <w:rPr>
          <w:b/>
          <w:color w:val="auto"/>
          <w:sz w:val="24"/>
          <w:szCs w:val="24"/>
          <w:lang w:val="ru-RU"/>
        </w:rPr>
      </w:pPr>
      <w:r w:rsidRPr="00BD29EC">
        <w:rPr>
          <w:color w:val="auto"/>
          <w:sz w:val="24"/>
          <w:szCs w:val="24"/>
          <w:lang w:val="ru-RU"/>
        </w:rPr>
        <w:lastRenderedPageBreak/>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284E30" w:rsidRPr="00BD29EC" w:rsidRDefault="00284E30" w:rsidP="00284E30">
      <w:r>
        <w:t>См.</w:t>
      </w:r>
      <w:r w:rsidRPr="00284E30">
        <w:t xml:space="preserve"> 4.</w:t>
      </w:r>
      <w:r w:rsidRPr="00413E37">
        <w:t>c</w:t>
      </w:r>
      <w:r w:rsidRPr="00284E30">
        <w:t xml:space="preserve">. </w:t>
      </w:r>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284E30" w:rsidRPr="00284E30" w:rsidRDefault="00284E30" w:rsidP="00284E30">
      <w:r>
        <w:t>См.</w:t>
      </w:r>
      <w:r w:rsidRPr="00284E30">
        <w:t xml:space="preserve"> 4.</w:t>
      </w:r>
      <w:r w:rsidRPr="00413E37">
        <w:t>c</w:t>
      </w:r>
      <w:r w:rsidRPr="00284E30">
        <w:t xml:space="preserve">. </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284E30" w:rsidRPr="00284E30" w:rsidRDefault="00284E30" w:rsidP="00284E30">
      <w:r>
        <w:t>См.</w:t>
      </w:r>
      <w:r w:rsidRPr="00284E30">
        <w:t xml:space="preserve"> 4.</w:t>
      </w:r>
      <w:r w:rsidRPr="00413E37">
        <w:t>c</w:t>
      </w:r>
      <w:r w:rsidRPr="00284E30">
        <w:t xml:space="preserve">. </w:t>
      </w:r>
    </w:p>
    <w:p w:rsidR="00284E30"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284E30" w:rsidRPr="00284E30" w:rsidRDefault="00284E30" w:rsidP="00284E30">
      <w:r>
        <w:t>См.</w:t>
      </w:r>
      <w:r w:rsidRPr="00284E30">
        <w:t xml:space="preserve"> 4.</w:t>
      </w:r>
      <w:r w:rsidRPr="00413E37">
        <w:t>c</w:t>
      </w:r>
      <w:r w:rsidRPr="00284E30">
        <w:t xml:space="preserve">. </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024E61">
        <w:rPr>
          <w:b/>
          <w:color w:val="auto"/>
          <w:sz w:val="24"/>
          <w:szCs w:val="24"/>
          <w:lang w:val="ru-RU"/>
        </w:rPr>
        <w:t>ация</w:t>
      </w:r>
      <w:r w:rsidR="0075371E" w:rsidRPr="00BD29EC">
        <w:rPr>
          <w:b/>
          <w:color w:val="auto"/>
          <w:sz w:val="24"/>
          <w:szCs w:val="24"/>
          <w:lang w:val="ru-RU"/>
        </w:rPr>
        <w:t xml:space="preserve"> данных</w:t>
      </w:r>
    </w:p>
    <w:p w:rsidR="0075371E" w:rsidRPr="00024E61" w:rsidRDefault="0075371E" w:rsidP="00024E61">
      <w:pPr>
        <w:spacing w:after="120"/>
        <w:rPr>
          <w:b/>
        </w:rPr>
      </w:pPr>
      <w:r w:rsidRPr="00024E61">
        <w:rPr>
          <w:b/>
        </w:rPr>
        <w:t>Доступность данных:</w:t>
      </w:r>
    </w:p>
    <w:p w:rsidR="00284E30" w:rsidRPr="00284E30" w:rsidRDefault="00284E30" w:rsidP="00024E61">
      <w:pPr>
        <w:spacing w:after="0"/>
      </w:pPr>
      <w:r w:rsidRPr="00284E30">
        <w:t xml:space="preserve">Классификация </w:t>
      </w:r>
      <w:r>
        <w:t>показателя</w:t>
      </w:r>
      <w:r w:rsidRPr="00284E30">
        <w:t xml:space="preserve"> на один из следующих трех уровней:</w:t>
      </w:r>
    </w:p>
    <w:p w:rsidR="00284E30" w:rsidRPr="00BD29EC" w:rsidRDefault="00284E30" w:rsidP="00284E30">
      <w:r w:rsidRPr="00284E30">
        <w:t xml:space="preserve">Мы рекомендуем, чтобы 17.1.2 оставался классифицированным как Уровень 1: показатель концептуально ясен, и стандарты доступны. Исходные данные регулярно предоставляются странами, и имеются текущие данные. Согласно описанию </w:t>
      </w:r>
      <w:r>
        <w:t>МЭГ ЦУР</w:t>
      </w:r>
      <w:r w:rsidRPr="00284E30">
        <w:t xml:space="preserve"> </w:t>
      </w:r>
      <w:proofErr w:type="spellStart"/>
      <w:r w:rsidRPr="00284E30">
        <w:t>Tier</w:t>
      </w:r>
      <w:proofErr w:type="spellEnd"/>
      <w:r w:rsidRPr="00284E30">
        <w:t xml:space="preserve"> </w:t>
      </w:r>
      <w:proofErr w:type="spellStart"/>
      <w:r w:rsidRPr="00284E30">
        <w:t>Classification</w:t>
      </w:r>
      <w:proofErr w:type="spellEnd"/>
      <w:r w:rsidRPr="00284E30">
        <w:t xml:space="preserve"> по адресу https://unstats.un.org/sdgs/iaeg-sdgs/tier-classification/, ключевым критерием является то, что «страны регулярно представляют </w:t>
      </w:r>
      <w:proofErr w:type="gramStart"/>
      <w:r w:rsidRPr="00284E30">
        <w:t>данные</w:t>
      </w:r>
      <w:proofErr w:type="gramEnd"/>
      <w:r w:rsidRPr="00284E30">
        <w:t xml:space="preserve"> по крайней</w:t>
      </w:r>
      <w:r>
        <w:t xml:space="preserve"> мере для 50 процентов стран»</w:t>
      </w:r>
      <w:r w:rsidRPr="00284E30">
        <w:t xml:space="preserve">. База данных СГФ МВФ, в которой более 130 стран, представляющих регулярные ежегодные отчеты, используют один и тот же формат отчетности, безусловно, соответствует этому ключевому критерию. Все страны-члены МВФ предоставляют данные о доходах (и расходах) для целей наблюдения. В недавних раундах запроса ежегодных рядов СГФ от стран мы особо призвали те страны, которые не представляли отчетность в течение последних нескольких лет, предоставить (как минимум) ключевые ряды доходов и расходов, необходимые для мониторинга </w:t>
      </w:r>
      <w:r w:rsidR="00665A98">
        <w:t xml:space="preserve">задачи </w:t>
      </w:r>
      <w:r w:rsidRPr="00284E30">
        <w:t>17.1.</w:t>
      </w:r>
    </w:p>
    <w:p w:rsidR="0075371E" w:rsidRPr="00024E61" w:rsidRDefault="00024E61" w:rsidP="005B053A">
      <w:pPr>
        <w:spacing w:after="120"/>
        <w:rPr>
          <w:b/>
        </w:rPr>
      </w:pPr>
      <w:r w:rsidRPr="00024E61">
        <w:rPr>
          <w:b/>
        </w:rPr>
        <w:t>Дезагрегация</w:t>
      </w:r>
      <w:r w:rsidR="0075371E" w:rsidRPr="00024E61">
        <w:rPr>
          <w:b/>
        </w:rPr>
        <w:t>:</w:t>
      </w:r>
    </w:p>
    <w:p w:rsidR="00284E30" w:rsidRPr="00BD29EC" w:rsidRDefault="00284E30" w:rsidP="00284E30">
      <w:r w:rsidRPr="00284E30">
        <w:t>Единицы сектора государственного управления имеют четыре вида доходов: (i) обязательные сборы в виде налогов и определенных видов социальных отчислений; (</w:t>
      </w:r>
      <w:proofErr w:type="spellStart"/>
      <w:r w:rsidRPr="00284E30">
        <w:t>ii</w:t>
      </w:r>
      <w:proofErr w:type="spellEnd"/>
      <w:r w:rsidRPr="00284E30">
        <w:t>) доход от собственности, полученный от владения активами; (iii) продажа товаров и услуг; и (</w:t>
      </w:r>
      <w:proofErr w:type="spellStart"/>
      <w:r w:rsidRPr="00284E30">
        <w:t>iv</w:t>
      </w:r>
      <w:proofErr w:type="spellEnd"/>
      <w:r w:rsidRPr="00284E30">
        <w:t xml:space="preserve">) прочие переводы к получению от других единиц. Из них обязательные сборы и трансферты считаются основными источниками доходов для большинства единиц сектора государственного управления (РСГФ 2014 года, пункт 5.1). Эти четыре типа доходов представлены следующими агрегатами: Налоги, Социальные отчисления, Гранты, Прочие доходы. Точно так же экономическая классификация расходов определяет восемь видов расходов, понесенных в соответствии с вовлеченным экономическим процессом. Например, оплата труда работников, использование товаров и услуг и потребление основного капитала — все это относится к затратам на производство нерыночных (а в некоторых случаях и рыночных) товаров и услуг государством. Субсидии, гранты, социальные пособия и трансферты, кроме грантов, относятся к трансфертам в денежной </w:t>
      </w:r>
      <w:r w:rsidRPr="00284E30">
        <w:lastRenderedPageBreak/>
        <w:t xml:space="preserve">или натуральной форме и направлены на перераспределение доходов и богатства. Функциональная классификация расходов предоставляет информацию о цели, для которой были понесены расходы. Примерами функций являются образование, здравоохранение и охрана окружающей среды. Детальная классификационная структура СГФ, используемая в ежегодном вопроснике, который используется странами для предоставления данных, позволяет обеспечить </w:t>
      </w:r>
      <w:proofErr w:type="gramStart"/>
      <w:r w:rsidRPr="00284E30">
        <w:t>достаточную</w:t>
      </w:r>
      <w:proofErr w:type="gramEnd"/>
      <w:r w:rsidRPr="00284E30">
        <w:t xml:space="preserve"> дезагрегацию для составления 17.1.2.</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284E30" w:rsidRPr="005B053A" w:rsidRDefault="00284E30" w:rsidP="005B053A">
      <w:pPr>
        <w:spacing w:after="120"/>
        <w:rPr>
          <w:b/>
          <w:lang w:eastAsia="en-GB"/>
        </w:rPr>
      </w:pPr>
      <w:r w:rsidRPr="005B053A">
        <w:rPr>
          <w:b/>
          <w:lang w:eastAsia="en-GB"/>
        </w:rPr>
        <w:t>Источники расхождений:</w:t>
      </w:r>
    </w:p>
    <w:p w:rsidR="00284E30" w:rsidRDefault="00284E30" w:rsidP="00284E30">
      <w:pPr>
        <w:rPr>
          <w:lang w:eastAsia="en-GB"/>
        </w:rPr>
      </w:pPr>
      <w:r w:rsidRPr="00284E30">
        <w:rPr>
          <w:lang w:eastAsia="en-GB"/>
        </w:rPr>
        <w:t>Статистический департамент МВФ планирует полагаться на официально представленные национальные данные, представленные национальными органами власти с использованием стандартного вопросника МВФ по годовым данным СГФ, основанного на методологии РСГФ 2014 года.</w:t>
      </w:r>
    </w:p>
    <w:p w:rsidR="00040034" w:rsidRDefault="00040034" w:rsidP="00284E30">
      <w:pPr>
        <w:pBdr>
          <w:bottom w:val="single" w:sz="12" w:space="4" w:color="DDDDDD"/>
        </w:pBdr>
        <w:shd w:val="clear" w:color="auto" w:fill="FFFFFF"/>
        <w:spacing w:after="100"/>
        <w:outlineLvl w:val="2"/>
        <w:rPr>
          <w:rFonts w:eastAsia="Times New Roman" w:cs="Times New Roman"/>
          <w:b/>
          <w:szCs w:val="24"/>
          <w:lang w:eastAsia="en-GB"/>
        </w:rPr>
      </w:pPr>
      <w:r w:rsidRPr="00284E30">
        <w:rPr>
          <w:rFonts w:eastAsia="Times New Roman" w:cs="Times New Roman"/>
          <w:b/>
          <w:szCs w:val="24"/>
          <w:lang w:eastAsia="en-GB"/>
        </w:rPr>
        <w:t xml:space="preserve">7. </w:t>
      </w:r>
      <w:r>
        <w:rPr>
          <w:rFonts w:eastAsia="Times New Roman" w:cs="Times New Roman"/>
          <w:b/>
          <w:szCs w:val="24"/>
          <w:lang w:eastAsia="en-GB"/>
        </w:rPr>
        <w:t>Ссылки</w:t>
      </w:r>
      <w:r w:rsidRPr="00284E30">
        <w:rPr>
          <w:rFonts w:eastAsia="Times New Roman" w:cs="Times New Roman"/>
          <w:b/>
          <w:szCs w:val="24"/>
          <w:lang w:eastAsia="en-GB"/>
        </w:rPr>
        <w:t xml:space="preserve"> </w:t>
      </w:r>
      <w:r>
        <w:rPr>
          <w:rFonts w:eastAsia="Times New Roman" w:cs="Times New Roman"/>
          <w:b/>
          <w:szCs w:val="24"/>
          <w:lang w:eastAsia="en-GB"/>
        </w:rPr>
        <w:t>и</w:t>
      </w:r>
      <w:r w:rsidRPr="00284E30">
        <w:rPr>
          <w:rFonts w:eastAsia="Times New Roman" w:cs="Times New Roman"/>
          <w:b/>
          <w:szCs w:val="24"/>
          <w:lang w:eastAsia="en-GB"/>
        </w:rPr>
        <w:t xml:space="preserve"> </w:t>
      </w:r>
      <w:r>
        <w:rPr>
          <w:rFonts w:eastAsia="Times New Roman" w:cs="Times New Roman"/>
          <w:b/>
          <w:szCs w:val="24"/>
          <w:lang w:eastAsia="en-GB"/>
        </w:rPr>
        <w:t>документы</w:t>
      </w:r>
    </w:p>
    <w:p w:rsidR="00284E30" w:rsidRPr="00284E30" w:rsidRDefault="00284E30" w:rsidP="00284E30">
      <w:pPr>
        <w:rPr>
          <w:lang w:eastAsia="en-GB"/>
        </w:rPr>
      </w:pPr>
      <w:r w:rsidRPr="00284E30">
        <w:rPr>
          <w:lang w:eastAsia="en-GB"/>
        </w:rPr>
        <w:t xml:space="preserve">РСГФ 2014 года </w:t>
      </w:r>
      <w:proofErr w:type="gramStart"/>
      <w:r w:rsidRPr="00284E30">
        <w:rPr>
          <w:lang w:eastAsia="en-GB"/>
        </w:rPr>
        <w:t>доступен</w:t>
      </w:r>
      <w:proofErr w:type="gramEnd"/>
      <w:r w:rsidRPr="00284E30">
        <w:rPr>
          <w:lang w:eastAsia="en-GB"/>
        </w:rPr>
        <w:t xml:space="preserve"> по адресу </w:t>
      </w:r>
      <w:hyperlink r:id="rId10" w:history="1">
        <w:r w:rsidR="005B053A" w:rsidRPr="00985160">
          <w:rPr>
            <w:rStyle w:val="ac"/>
            <w:lang w:eastAsia="en-GB"/>
          </w:rPr>
          <w:t>http://www.imf.org/external/np/sta/gfsm/</w:t>
        </w:r>
      </w:hyperlink>
      <w:r w:rsidRPr="00284E30">
        <w:rPr>
          <w:lang w:eastAsia="en-GB"/>
        </w:rPr>
        <w:t xml:space="preserve">. Серия видеороликов, в которых обсуждается аналитическая основа СГФ, доступна по адресу: </w:t>
      </w:r>
      <w:hyperlink r:id="rId11" w:history="1">
        <w:r w:rsidR="005B053A">
          <w:rPr>
            <w:rStyle w:val="ac"/>
            <w:lang w:eastAsia="en-GB"/>
          </w:rPr>
          <w:t>Видеоматериалы для электронного обучения МВФ по статистике – YouTube</w:t>
        </w:r>
      </w:hyperlink>
      <w:r w:rsidRPr="00284E30">
        <w:rPr>
          <w:lang w:eastAsia="en-GB"/>
        </w:rPr>
        <w:t>.</w:t>
      </w:r>
    </w:p>
    <w:sectPr w:rsidR="00284E30" w:rsidRPr="00284E30">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DCB" w:rsidRDefault="005A4DCB" w:rsidP="00F73DBC">
      <w:pPr>
        <w:spacing w:after="0" w:line="240" w:lineRule="auto"/>
      </w:pPr>
      <w:r>
        <w:separator/>
      </w:r>
    </w:p>
  </w:endnote>
  <w:endnote w:type="continuationSeparator" w:id="0">
    <w:p w:rsidR="005A4DCB" w:rsidRDefault="005A4DCB"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DCB" w:rsidRDefault="005A4DCB" w:rsidP="00F73DBC">
      <w:pPr>
        <w:spacing w:after="0" w:line="240" w:lineRule="auto"/>
      </w:pPr>
      <w:r>
        <w:separator/>
      </w:r>
    </w:p>
  </w:footnote>
  <w:footnote w:type="continuationSeparator" w:id="0">
    <w:p w:rsidR="005A4DCB" w:rsidRDefault="005A4DCB"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B25AF7">
      <w:rPr>
        <w:rFonts w:cs="Times New Roman"/>
      </w:rPr>
      <w:t>июль 2024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24E61"/>
    <w:rsid w:val="00033E1C"/>
    <w:rsid w:val="00040034"/>
    <w:rsid w:val="000476F9"/>
    <w:rsid w:val="00053D20"/>
    <w:rsid w:val="00087B96"/>
    <w:rsid w:val="000A210D"/>
    <w:rsid w:val="000A229E"/>
    <w:rsid w:val="000B7BF1"/>
    <w:rsid w:val="000C5EF5"/>
    <w:rsid w:val="000F3B83"/>
    <w:rsid w:val="000F6D96"/>
    <w:rsid w:val="00107A08"/>
    <w:rsid w:val="00116248"/>
    <w:rsid w:val="00144D2F"/>
    <w:rsid w:val="001470A2"/>
    <w:rsid w:val="00147D8F"/>
    <w:rsid w:val="001612F6"/>
    <w:rsid w:val="00165896"/>
    <w:rsid w:val="001762D0"/>
    <w:rsid w:val="0018353F"/>
    <w:rsid w:val="001A163A"/>
    <w:rsid w:val="001C4663"/>
    <w:rsid w:val="001E2FC9"/>
    <w:rsid w:val="002064C4"/>
    <w:rsid w:val="002306F8"/>
    <w:rsid w:val="002652D0"/>
    <w:rsid w:val="00284E30"/>
    <w:rsid w:val="00291FA0"/>
    <w:rsid w:val="002C7BF9"/>
    <w:rsid w:val="002D732C"/>
    <w:rsid w:val="002E122C"/>
    <w:rsid w:val="002E15F9"/>
    <w:rsid w:val="002F3714"/>
    <w:rsid w:val="002F63E5"/>
    <w:rsid w:val="00303D71"/>
    <w:rsid w:val="003143BC"/>
    <w:rsid w:val="00320C65"/>
    <w:rsid w:val="00322B59"/>
    <w:rsid w:val="003615CB"/>
    <w:rsid w:val="003746BC"/>
    <w:rsid w:val="003859BD"/>
    <w:rsid w:val="003A325C"/>
    <w:rsid w:val="003B3294"/>
    <w:rsid w:val="003D33FA"/>
    <w:rsid w:val="003D58DC"/>
    <w:rsid w:val="003D7A38"/>
    <w:rsid w:val="003F1AEB"/>
    <w:rsid w:val="00407AF0"/>
    <w:rsid w:val="00407E4E"/>
    <w:rsid w:val="004143B4"/>
    <w:rsid w:val="00421928"/>
    <w:rsid w:val="004344AC"/>
    <w:rsid w:val="00456E71"/>
    <w:rsid w:val="00467B9B"/>
    <w:rsid w:val="004D2413"/>
    <w:rsid w:val="004E087E"/>
    <w:rsid w:val="005016B8"/>
    <w:rsid w:val="00503B4A"/>
    <w:rsid w:val="00504837"/>
    <w:rsid w:val="00532D98"/>
    <w:rsid w:val="00566556"/>
    <w:rsid w:val="00587D0B"/>
    <w:rsid w:val="005A4DCB"/>
    <w:rsid w:val="005B053A"/>
    <w:rsid w:val="005C6119"/>
    <w:rsid w:val="005E47BD"/>
    <w:rsid w:val="005F2C0B"/>
    <w:rsid w:val="00655F55"/>
    <w:rsid w:val="006624C4"/>
    <w:rsid w:val="00665A98"/>
    <w:rsid w:val="006704C2"/>
    <w:rsid w:val="00682107"/>
    <w:rsid w:val="00690B09"/>
    <w:rsid w:val="00691C96"/>
    <w:rsid w:val="00694160"/>
    <w:rsid w:val="006B260E"/>
    <w:rsid w:val="006B3939"/>
    <w:rsid w:val="006C43F8"/>
    <w:rsid w:val="006D5488"/>
    <w:rsid w:val="006D7049"/>
    <w:rsid w:val="00702333"/>
    <w:rsid w:val="00705161"/>
    <w:rsid w:val="00724018"/>
    <w:rsid w:val="00741A39"/>
    <w:rsid w:val="0075371E"/>
    <w:rsid w:val="00753F18"/>
    <w:rsid w:val="00780F08"/>
    <w:rsid w:val="00781DE7"/>
    <w:rsid w:val="007953D8"/>
    <w:rsid w:val="007B07B2"/>
    <w:rsid w:val="007B0CFD"/>
    <w:rsid w:val="007B32CE"/>
    <w:rsid w:val="007C27E0"/>
    <w:rsid w:val="007D1185"/>
    <w:rsid w:val="007D1FD7"/>
    <w:rsid w:val="007F06DF"/>
    <w:rsid w:val="008138AD"/>
    <w:rsid w:val="00836F3E"/>
    <w:rsid w:val="00853C09"/>
    <w:rsid w:val="00864C1A"/>
    <w:rsid w:val="0092739E"/>
    <w:rsid w:val="009508D1"/>
    <w:rsid w:val="00957A62"/>
    <w:rsid w:val="00963238"/>
    <w:rsid w:val="009655B4"/>
    <w:rsid w:val="009737AE"/>
    <w:rsid w:val="00980F79"/>
    <w:rsid w:val="00982FE8"/>
    <w:rsid w:val="009C064B"/>
    <w:rsid w:val="009D4322"/>
    <w:rsid w:val="009F43A6"/>
    <w:rsid w:val="00A110F9"/>
    <w:rsid w:val="00A53D4B"/>
    <w:rsid w:val="00A618FC"/>
    <w:rsid w:val="00A71EC6"/>
    <w:rsid w:val="00A82CD3"/>
    <w:rsid w:val="00A83ED3"/>
    <w:rsid w:val="00A91FDE"/>
    <w:rsid w:val="00AC1A97"/>
    <w:rsid w:val="00B0378B"/>
    <w:rsid w:val="00B06B4E"/>
    <w:rsid w:val="00B22AB5"/>
    <w:rsid w:val="00B25AF7"/>
    <w:rsid w:val="00B518DC"/>
    <w:rsid w:val="00B72F77"/>
    <w:rsid w:val="00BD29EC"/>
    <w:rsid w:val="00BE2C5D"/>
    <w:rsid w:val="00BE415C"/>
    <w:rsid w:val="00C47A4A"/>
    <w:rsid w:val="00C515AF"/>
    <w:rsid w:val="00C8596F"/>
    <w:rsid w:val="00C90708"/>
    <w:rsid w:val="00C95AB2"/>
    <w:rsid w:val="00CA1CB1"/>
    <w:rsid w:val="00CA53CA"/>
    <w:rsid w:val="00CB2A74"/>
    <w:rsid w:val="00D05466"/>
    <w:rsid w:val="00D2619D"/>
    <w:rsid w:val="00DA19D7"/>
    <w:rsid w:val="00DA4169"/>
    <w:rsid w:val="00DC18AA"/>
    <w:rsid w:val="00E123F7"/>
    <w:rsid w:val="00E21B43"/>
    <w:rsid w:val="00E27922"/>
    <w:rsid w:val="00E33CA8"/>
    <w:rsid w:val="00E559F9"/>
    <w:rsid w:val="00E90BD4"/>
    <w:rsid w:val="00EA206F"/>
    <w:rsid w:val="00EB362A"/>
    <w:rsid w:val="00EB389E"/>
    <w:rsid w:val="00EE0900"/>
    <w:rsid w:val="00F02540"/>
    <w:rsid w:val="00F31B47"/>
    <w:rsid w:val="00F374BA"/>
    <w:rsid w:val="00F53A75"/>
    <w:rsid w:val="00F5412C"/>
    <w:rsid w:val="00F6371F"/>
    <w:rsid w:val="00F73DBC"/>
    <w:rsid w:val="00F8280E"/>
    <w:rsid w:val="00F84FF1"/>
    <w:rsid w:val="00F85991"/>
    <w:rsid w:val="00F92D6F"/>
    <w:rsid w:val="00FB66D9"/>
    <w:rsid w:val="00FC5800"/>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724018"/>
    <w:pPr>
      <w:spacing w:after="0" w:line="240" w:lineRule="auto"/>
      <w:jc w:val="both"/>
    </w:pPr>
    <w:rPr>
      <w:rFonts w:ascii="Times New Roman" w:hAnsi="Times New Roman"/>
      <w:sz w:val="24"/>
    </w:rPr>
  </w:style>
  <w:style w:type="paragraph" w:customStyle="1" w:styleId="MGTHeader">
    <w:name w:val="M.G+T.Header"/>
    <w:basedOn w:val="a"/>
    <w:link w:val="MGTHeaderChar"/>
    <w:qFormat/>
    <w:rsid w:val="002F3714"/>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2F3714"/>
    <w:rPr>
      <w:rFonts w:eastAsia="Times New Roman" w:cs="Times New Roman"/>
      <w:color w:val="333333"/>
      <w:sz w:val="21"/>
      <w:szCs w:val="21"/>
      <w:shd w:val="clear" w:color="auto" w:fill="F5F5F5"/>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724018"/>
    <w:pPr>
      <w:spacing w:after="0" w:line="240" w:lineRule="auto"/>
      <w:jc w:val="both"/>
    </w:pPr>
    <w:rPr>
      <w:rFonts w:ascii="Times New Roman" w:hAnsi="Times New Roman"/>
      <w:sz w:val="24"/>
    </w:rPr>
  </w:style>
  <w:style w:type="paragraph" w:customStyle="1" w:styleId="MGTHeader">
    <w:name w:val="M.G+T.Header"/>
    <w:basedOn w:val="a"/>
    <w:link w:val="MGTHeaderChar"/>
    <w:qFormat/>
    <w:rsid w:val="002F3714"/>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2F3714"/>
    <w:rPr>
      <w:rFonts w:eastAsia="Times New Roman" w:cs="Times New Roman"/>
      <w:color w:val="333333"/>
      <w:sz w:val="21"/>
      <w:szCs w:val="21"/>
      <w:shd w:val="clear" w:color="auto" w:fill="F5F5F5"/>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13064">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playlist?list=PLmYAE4wV1YQzimXjDWMQ-4GwConTsP7-a" TargetMode="External"/><Relationship Id="rId5" Type="http://schemas.openxmlformats.org/officeDocument/2006/relationships/settings" Target="settings.xml"/><Relationship Id="rId10" Type="http://schemas.openxmlformats.org/officeDocument/2006/relationships/hyperlink" Target="http://www.imf.org/external/np/sta/gfsm/" TargetMode="External"/><Relationship Id="rId4" Type="http://schemas.microsoft.com/office/2007/relationships/stylesWithEffects" Target="stylesWithEffects.xml"/><Relationship Id="rId9" Type="http://schemas.openxmlformats.org/officeDocument/2006/relationships/hyperlink" Target="https://www.imf.org/external/pubs/ft/gfs/manual/gfs-qtca.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2744-9DAE-4FB7-A464-5DCC4F00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2220</Words>
  <Characters>12660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19</cp:revision>
  <dcterms:created xsi:type="dcterms:W3CDTF">2022-09-30T12:30:00Z</dcterms:created>
  <dcterms:modified xsi:type="dcterms:W3CDTF">2024-07-30T12:28:00Z</dcterms:modified>
</cp:coreProperties>
</file>