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90518E" w:rsidRPr="0090518E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9051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4D2413">
        <w:rPr>
          <w:rFonts w:eastAsia="Arial Unicode MS" w:cs="Times New Roman"/>
          <w:szCs w:val="24"/>
          <w:bdr w:val="nil"/>
          <w:lang w:eastAsia="ru-RU"/>
        </w:rPr>
        <w:t>1</w:t>
      </w:r>
      <w:r w:rsidR="003B3294">
        <w:rPr>
          <w:rFonts w:eastAsia="Arial Unicode MS" w:cs="Times New Roman"/>
          <w:szCs w:val="24"/>
          <w:bdr w:val="nil"/>
          <w:lang w:eastAsia="ru-RU"/>
        </w:rPr>
        <w:t>7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3B3294" w:rsidRPr="003B3294">
        <w:t>Укрепление средств осуществления и активизация работы в рамках Глобального партнерства в интересах устойчивого развития</w:t>
      </w:r>
      <w:r w:rsidR="00107A08">
        <w:t>.</w:t>
      </w:r>
    </w:p>
    <w:p w:rsidR="003143BC" w:rsidRPr="00BD29EC" w:rsidRDefault="003143BC" w:rsidP="0090518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E559F9" w:rsidP="009051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3B3294">
        <w:rPr>
          <w:rFonts w:cs="Times New Roman"/>
          <w:szCs w:val="24"/>
        </w:rPr>
        <w:t>7</w:t>
      </w:r>
      <w:r w:rsidR="00780F08" w:rsidRPr="00BD29EC">
        <w:rPr>
          <w:rFonts w:cs="Times New Roman"/>
          <w:szCs w:val="24"/>
        </w:rPr>
        <w:t>.</w:t>
      </w:r>
      <w:r w:rsidR="00EA2CBF">
        <w:rPr>
          <w:rFonts w:cs="Times New Roman"/>
          <w:szCs w:val="24"/>
        </w:rPr>
        <w:t>6</w:t>
      </w:r>
      <w:r w:rsidR="00780F08" w:rsidRPr="00BD29EC">
        <w:rPr>
          <w:rFonts w:cs="Times New Roman"/>
          <w:szCs w:val="24"/>
        </w:rPr>
        <w:t xml:space="preserve">. </w:t>
      </w:r>
      <w:r w:rsidR="00752F5B" w:rsidRPr="00752F5B">
        <w:t xml:space="preserve">Расширять сотрудничество по линии Север </w:t>
      </w:r>
      <w:r w:rsidR="0090518E" w:rsidRPr="0090518E">
        <w:t>–</w:t>
      </w:r>
      <w:r w:rsidR="00752F5B" w:rsidRPr="00752F5B">
        <w:t xml:space="preserve"> Юг и Юг </w:t>
      </w:r>
      <w:r w:rsidR="0090518E" w:rsidRPr="0090518E">
        <w:t>–</w:t>
      </w:r>
      <w:r w:rsidR="00752F5B" w:rsidRPr="00752F5B">
        <w:t xml:space="preserve"> Юг, а также трехстороннее региональное и международное сотрудничество в областях науки, техники и инноваций и доступ к соответствующим достижениям; активизировать обмен знаниями на взаимно согласованных условиях, в том числе благодаря улучшению координации между существующими механизмами, в частности на уровне Организации Объединенных Наций, а также с помощью глобального механизма содействия передаче технологий.</w:t>
      </w:r>
    </w:p>
    <w:p w:rsidR="003143BC" w:rsidRPr="00BD29EC" w:rsidRDefault="003143BC" w:rsidP="009051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90518E">
      <w:pPr>
        <w:spacing w:after="0"/>
      </w:pPr>
      <w:r w:rsidRPr="00BD29EC">
        <w:t xml:space="preserve">Показатель </w:t>
      </w:r>
      <w:r w:rsidR="00741A39">
        <w:t>1</w:t>
      </w:r>
      <w:r w:rsidR="003B3294">
        <w:t>7</w:t>
      </w:r>
      <w:r w:rsidR="00780F08" w:rsidRPr="00BD29EC">
        <w:t>.</w:t>
      </w:r>
      <w:r w:rsidR="00EA2CBF">
        <w:t>6</w:t>
      </w:r>
      <w:r w:rsidR="002064C4">
        <w:t>.</w:t>
      </w:r>
      <w:r w:rsidR="00EA2CBF">
        <w:t>1</w:t>
      </w:r>
      <w:r w:rsidR="00C95AB2">
        <w:t>.</w:t>
      </w:r>
      <w:r w:rsidR="00780F08" w:rsidRPr="00BD29EC">
        <w:t xml:space="preserve"> </w:t>
      </w:r>
      <w:r w:rsidR="009045E0" w:rsidRPr="009045E0">
        <w:t>Число абонентов стационарного широкопол</w:t>
      </w:r>
      <w:r w:rsidR="009045E0">
        <w:t>осного до</w:t>
      </w:r>
      <w:r w:rsidR="009045E0" w:rsidRPr="009045E0">
        <w:t>ступа на 100 жителей в разбивке по скорости</w:t>
      </w:r>
      <w:r w:rsidR="00752F5B">
        <w:t>.</w:t>
      </w:r>
    </w:p>
    <w:p w:rsidR="003143BC" w:rsidRDefault="003143BC" w:rsidP="0090518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6C0530" w:rsidRPr="006C0530" w:rsidRDefault="006C0530" w:rsidP="006C05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szCs w:val="24"/>
          <w:bdr w:val="nil"/>
          <w:lang w:eastAsia="ru-RU"/>
        </w:rPr>
      </w:pPr>
      <w:r w:rsidRPr="006C0530">
        <w:rPr>
          <w:rFonts w:eastAsia="Arial Unicode MS" w:cs="Times New Roman"/>
          <w:szCs w:val="24"/>
          <w:bdr w:val="nil"/>
          <w:lang w:val="en-US" w:eastAsia="ru-RU"/>
        </w:rPr>
        <w:t>IT</w:t>
      </w:r>
      <w:r w:rsidRPr="006C0530">
        <w:rPr>
          <w:rFonts w:eastAsia="Arial Unicode MS" w:cs="Times New Roman"/>
          <w:szCs w:val="24"/>
          <w:bdr w:val="nil"/>
          <w:lang w:eastAsia="ru-RU"/>
        </w:rPr>
        <w:t>_</w:t>
      </w:r>
      <w:r w:rsidRPr="006C0530">
        <w:rPr>
          <w:rFonts w:eastAsia="Arial Unicode MS" w:cs="Times New Roman"/>
          <w:szCs w:val="24"/>
          <w:bdr w:val="nil"/>
          <w:lang w:val="en-US" w:eastAsia="ru-RU"/>
        </w:rPr>
        <w:t>NET</w:t>
      </w:r>
      <w:r w:rsidRPr="006C0530">
        <w:rPr>
          <w:rFonts w:eastAsia="Arial Unicode MS" w:cs="Times New Roman"/>
          <w:szCs w:val="24"/>
          <w:bdr w:val="nil"/>
          <w:lang w:eastAsia="ru-RU"/>
        </w:rPr>
        <w:t>_</w:t>
      </w:r>
      <w:r w:rsidRPr="006C0530">
        <w:rPr>
          <w:rFonts w:eastAsia="Arial Unicode MS" w:cs="Times New Roman"/>
          <w:szCs w:val="24"/>
          <w:bdr w:val="nil"/>
          <w:lang w:val="en-US" w:eastAsia="ru-RU"/>
        </w:rPr>
        <w:t>BBND</w:t>
      </w:r>
      <w:r w:rsidRPr="006C0530">
        <w:rPr>
          <w:rFonts w:eastAsia="Arial Unicode MS" w:cs="Times New Roman"/>
          <w:szCs w:val="24"/>
          <w:bdr w:val="nil"/>
          <w:lang w:eastAsia="ru-RU"/>
        </w:rPr>
        <w:t xml:space="preserve"> </w:t>
      </w:r>
      <w:r w:rsidR="009045E0">
        <w:rPr>
          <w:rFonts w:eastAsia="Arial Unicode MS" w:cs="Times New Roman"/>
          <w:szCs w:val="24"/>
          <w:bdr w:val="nil"/>
          <w:lang w:eastAsia="ru-RU"/>
        </w:rPr>
        <w:t>–</w:t>
      </w:r>
      <w:r w:rsidRPr="006C0530">
        <w:rPr>
          <w:rFonts w:eastAsia="Arial Unicode MS" w:cs="Times New Roman"/>
          <w:szCs w:val="24"/>
          <w:bdr w:val="nil"/>
          <w:lang w:eastAsia="ru-RU"/>
        </w:rPr>
        <w:t xml:space="preserve"> </w:t>
      </w:r>
      <w:r w:rsidR="009045E0" w:rsidRPr="009045E0">
        <w:rPr>
          <w:rFonts w:eastAsia="Arial Unicode MS" w:cs="Times New Roman"/>
          <w:szCs w:val="24"/>
          <w:bdr w:val="nil"/>
          <w:lang w:eastAsia="ru-RU"/>
        </w:rPr>
        <w:t>Число абонентов с</w:t>
      </w:r>
      <w:r w:rsidR="009045E0">
        <w:rPr>
          <w:rFonts w:eastAsia="Arial Unicode MS" w:cs="Times New Roman"/>
          <w:szCs w:val="24"/>
          <w:bdr w:val="nil"/>
          <w:lang w:eastAsia="ru-RU"/>
        </w:rPr>
        <w:t>тационарного широкополосного до</w:t>
      </w:r>
      <w:r w:rsidR="009045E0" w:rsidRPr="009045E0">
        <w:rPr>
          <w:rFonts w:eastAsia="Arial Unicode MS" w:cs="Times New Roman"/>
          <w:szCs w:val="24"/>
          <w:bdr w:val="nil"/>
          <w:lang w:eastAsia="ru-RU"/>
        </w:rPr>
        <w:t xml:space="preserve">ступа на 100 жителей </w:t>
      </w:r>
      <w:r w:rsidRPr="006C0530">
        <w:rPr>
          <w:rFonts w:eastAsia="Arial Unicode MS" w:cs="Times New Roman"/>
          <w:szCs w:val="24"/>
          <w:bdr w:val="nil"/>
          <w:lang w:eastAsia="ru-RU"/>
        </w:rPr>
        <w:t>[17.6.1]</w:t>
      </w:r>
      <w:r>
        <w:rPr>
          <w:rStyle w:val="a6"/>
          <w:rFonts w:eastAsia="Arial Unicode MS" w:cs="Times New Roman"/>
          <w:szCs w:val="24"/>
          <w:bdr w:val="nil"/>
          <w:lang w:eastAsia="ru-RU"/>
        </w:rPr>
        <w:footnoteReference w:id="1"/>
      </w:r>
    </w:p>
    <w:p w:rsidR="00004BE3" w:rsidRDefault="00C8596F" w:rsidP="0090518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752F5B" w:rsidRPr="00752F5B" w:rsidRDefault="00F67A9C" w:rsidP="0090518E">
      <w:pPr>
        <w:spacing w:after="0"/>
        <w:rPr>
          <w:rFonts w:eastAsia="Times New Roman" w:cs="Times New Roman"/>
          <w:szCs w:val="21"/>
          <w:lang w:eastAsia="en-GB"/>
        </w:rPr>
      </w:pPr>
      <w:r>
        <w:t>28.03.2024</w:t>
      </w:r>
    </w:p>
    <w:p w:rsidR="00C8596F" w:rsidRDefault="00C8596F" w:rsidP="0090518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4022E2" w:rsidRDefault="004022E2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  <w:r w:rsidRPr="004022E2">
        <w:t>4.4.1, 4.5.1, 9.c.1, 17.8.</w:t>
      </w:r>
      <w:r w:rsidR="00DC44D9">
        <w:t>1</w:t>
      </w:r>
    </w:p>
    <w:p w:rsidR="00A91FDE" w:rsidRDefault="004022E2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4022E2">
        <w:rPr>
          <w:b/>
        </w:rPr>
        <w:t>1</w:t>
      </w:r>
      <w:r w:rsidR="00E33CA8"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="00E33CA8"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="00E33CA8"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752F5B" w:rsidRDefault="00752F5B" w:rsidP="00752F5B">
      <w:pPr>
        <w:rPr>
          <w:bdr w:val="nil"/>
          <w:lang w:eastAsia="ru-RU"/>
        </w:rPr>
      </w:pPr>
      <w:r w:rsidRPr="00752F5B">
        <w:rPr>
          <w:bdr w:val="nil"/>
          <w:lang w:eastAsia="ru-RU"/>
        </w:rPr>
        <w:t>Международный союз электросвязи (МСЭ)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752F5B" w:rsidRDefault="00752F5B" w:rsidP="00752F5B">
      <w:r w:rsidRPr="00752F5B">
        <w:t>Международный союз электросвязи (МСЭ)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4022E2" w:rsidRDefault="00DA19D7" w:rsidP="004022E2">
      <w:pPr>
        <w:spacing w:after="120"/>
        <w:rPr>
          <w:b/>
        </w:rPr>
      </w:pPr>
      <w:r w:rsidRPr="004022E2">
        <w:rPr>
          <w:b/>
        </w:rPr>
        <w:t>Определение:</w:t>
      </w:r>
    </w:p>
    <w:p w:rsidR="00752F5B" w:rsidRPr="00752F5B" w:rsidRDefault="00752F5B" w:rsidP="00752F5B">
      <w:r w:rsidRPr="00752F5B">
        <w:t>Показатель подключений к фиксированному широкополосному Интернету в разбивке по скорости относится к числу подключений к фиксированному широкополосному доступу в общедоступный Интернет, разделенному н</w:t>
      </w:r>
      <w:r>
        <w:t>а заявленную скорость загрузки.</w:t>
      </w:r>
    </w:p>
    <w:p w:rsidR="00752F5B" w:rsidRPr="00752F5B" w:rsidRDefault="00752F5B" w:rsidP="00752F5B">
      <w:r w:rsidRPr="00752F5B">
        <w:t xml:space="preserve">В настоящее время </w:t>
      </w:r>
      <w:r w:rsidR="000F7902">
        <w:t>показатель</w:t>
      </w:r>
      <w:r w:rsidRPr="00752F5B">
        <w:t xml:space="preserve"> разбит п</w:t>
      </w:r>
      <w:r>
        <w:t>о следующим скоростям подписки:</w:t>
      </w:r>
    </w:p>
    <w:p w:rsidR="00752F5B" w:rsidRPr="00752F5B" w:rsidRDefault="00752F5B" w:rsidP="00752F5B">
      <w:r w:rsidRPr="00752F5B">
        <w:lastRenderedPageBreak/>
        <w:t>- Подписки от 256 кбит/с до менее 2 Мбит/с: Относится ко всем подпискам на фиксированный широкополосный доступ в Интернет с объявленной скоростью входящего потока, равной или превышающей 256 кбит/с и менее 2 Мб</w:t>
      </w:r>
      <w:r>
        <w:t>ит/</w:t>
      </w:r>
      <w:proofErr w:type="gramStart"/>
      <w:r>
        <w:t>с</w:t>
      </w:r>
      <w:proofErr w:type="gramEnd"/>
      <w:r>
        <w:t>.</w:t>
      </w:r>
    </w:p>
    <w:p w:rsidR="00752F5B" w:rsidRPr="00752F5B" w:rsidRDefault="00752F5B" w:rsidP="00752F5B">
      <w:r w:rsidRPr="00752F5B">
        <w:t>- Подписки от 2 Мбит/с до менее 10 Мбит/с: Относится ко всем подпискам на фиксированный широкополосный доступ в Интернет с заявленными скоростями входящего потока, равными или превышающ</w:t>
      </w:r>
      <w:r>
        <w:t>ими 2 Мбит/с и менее 10 Мбит/</w:t>
      </w:r>
      <w:proofErr w:type="gramStart"/>
      <w:r>
        <w:t>с</w:t>
      </w:r>
      <w:proofErr w:type="gramEnd"/>
      <w:r>
        <w:t>.</w:t>
      </w:r>
    </w:p>
    <w:p w:rsidR="00752F5B" w:rsidRDefault="00752F5B" w:rsidP="00752F5B">
      <w:r w:rsidRPr="00752F5B">
        <w:t xml:space="preserve">- </w:t>
      </w:r>
      <w:r w:rsidR="00DC44D9">
        <w:t>П</w:t>
      </w:r>
      <w:r w:rsidR="00DC44D9" w:rsidRPr="00752F5B">
        <w:t xml:space="preserve">одписки </w:t>
      </w:r>
      <w:r w:rsidRPr="00752F5B">
        <w:t>на 10 Мбит/</w:t>
      </w:r>
      <w:proofErr w:type="gramStart"/>
      <w:r w:rsidRPr="00752F5B">
        <w:t>с</w:t>
      </w:r>
      <w:proofErr w:type="gramEnd"/>
      <w:r w:rsidRPr="00752F5B">
        <w:t xml:space="preserve"> </w:t>
      </w:r>
      <w:r w:rsidR="00DC44D9">
        <w:t xml:space="preserve">и </w:t>
      </w:r>
      <w:r w:rsidR="00DC44D9" w:rsidRPr="00752F5B">
        <w:t xml:space="preserve">выше </w:t>
      </w:r>
      <w:r w:rsidRPr="00752F5B">
        <w:t>(4213_G10). Относится ко всем подпискам на фиксированный широкополосный доступ в Интернет с заявленной скоростью нисходящего потока, равной или превышающей 10 Мбит/</w:t>
      </w:r>
      <w:proofErr w:type="gramStart"/>
      <w:r w:rsidRPr="00752F5B">
        <w:t>с</w:t>
      </w:r>
      <w:proofErr w:type="gramEnd"/>
      <w:r w:rsidRPr="00752F5B">
        <w:t>.</w:t>
      </w:r>
    </w:p>
    <w:p w:rsidR="00DA19D7" w:rsidRPr="004022E2" w:rsidRDefault="003859BD" w:rsidP="004022E2">
      <w:pPr>
        <w:spacing w:after="120"/>
        <w:rPr>
          <w:b/>
        </w:rPr>
      </w:pPr>
      <w:r w:rsidRPr="004022E2">
        <w:rPr>
          <w:b/>
        </w:rPr>
        <w:t>Основные понятия</w:t>
      </w:r>
      <w:r w:rsidR="004022E2" w:rsidRPr="004022E2">
        <w:rPr>
          <w:b/>
        </w:rPr>
        <w:t>:</w:t>
      </w:r>
    </w:p>
    <w:p w:rsidR="00752F5B" w:rsidRPr="00752F5B" w:rsidRDefault="00752F5B" w:rsidP="00752F5B">
      <w:r w:rsidRPr="00752F5B">
        <w:t xml:space="preserve">Под подпиской на фиксированный широкополосный доступ в Интернет понимаются подписки на высокоскоростной доступ к общедоступному Интернету (соединение TCP/IP) со скоростью входящего потока, равной или превышающей 256 кбит/с. Это включает в себя кабельный модем, DSL, оптоволокно до дома/здания, другие подписки на фиксированную (проводную) широкополосную связь, спутниковую широкополосную связь и наземную фиксированную беспроводную широкополосную связь. Эта сумма измеряется независимо от способа оплаты. Сюда не входят подписки, которые имеют доступ к передаче данных (включая Интернет) через сети мобильной и сотовой связи. Он должен включать фиксированный </w:t>
      </w:r>
      <w:proofErr w:type="spellStart"/>
      <w:r w:rsidRPr="00752F5B">
        <w:t>WiMAX</w:t>
      </w:r>
      <w:proofErr w:type="spellEnd"/>
      <w:r w:rsidRPr="00752F5B">
        <w:t xml:space="preserve"> и любые другие фиксированные беспроводные технологии. Он включает в себя как подписки для частных лиц, так и подписки для организаций.</w:t>
      </w:r>
    </w:p>
    <w:p w:rsidR="00752F5B" w:rsidRPr="00DA19D7" w:rsidRDefault="00752F5B" w:rsidP="00752F5B">
      <w:r w:rsidRPr="00752F5B">
        <w:t xml:space="preserve">Интернет </w:t>
      </w:r>
      <w:r w:rsidR="004022E2">
        <w:t>–</w:t>
      </w:r>
      <w:r w:rsidRPr="00752F5B">
        <w:t xml:space="preserve"> это всемирная общедоступная компьютерная сеть. Он обеспечивает доступ к ряду коммуникационных услуг, включая </w:t>
      </w:r>
      <w:proofErr w:type="spellStart"/>
      <w:r w:rsidRPr="00752F5B">
        <w:t>World</w:t>
      </w:r>
      <w:proofErr w:type="spellEnd"/>
      <w:r w:rsidRPr="00752F5B">
        <w:t xml:space="preserve"> </w:t>
      </w:r>
      <w:proofErr w:type="spellStart"/>
      <w:r w:rsidRPr="00752F5B">
        <w:t>Wide</w:t>
      </w:r>
      <w:proofErr w:type="spellEnd"/>
      <w:r w:rsidRPr="00752F5B">
        <w:t xml:space="preserve"> </w:t>
      </w:r>
      <w:proofErr w:type="spellStart"/>
      <w:r w:rsidRPr="00752F5B">
        <w:t>Web</w:t>
      </w:r>
      <w:proofErr w:type="spellEnd"/>
      <w:r w:rsidRPr="00752F5B">
        <w:t>, и передает электронную почту, новости, развлечения и файлы данных.</w:t>
      </w: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407E4E" w:rsidRPr="00BD29EC" w:rsidRDefault="007A5958" w:rsidP="007A5958">
      <w:r w:rsidRPr="007A5958">
        <w:t>На 100 жителей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Pr="007A5958" w:rsidRDefault="007A5958" w:rsidP="007A5958">
      <w:r w:rsidRPr="007A5958">
        <w:t>Уровни скорости, определенные в Справочнике МСЭ по сбору административных данных по электросвязи/ИКТ 2020.</w:t>
      </w: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7A5958" w:rsidRDefault="007A5958" w:rsidP="007A5958">
      <w:r w:rsidRPr="007A5958">
        <w:t>Поскольку данные для этого показателя основаны на административных данных от операторов, информация об отдельных абонентах отсутствует, и поэтому данные не могут быть разбиты по каким-либо индивидуальным характеристикам. Теоретически данные могут быть разбиты по географическому местоположению и городской/сельской местности, но МСЭ не собирает эту информацию.</w:t>
      </w:r>
    </w:p>
    <w:p w:rsidR="009D3BEE" w:rsidRDefault="009D3BEE" w:rsidP="007A5958"/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7A5958" w:rsidRPr="00BD29EC" w:rsidRDefault="007A5958" w:rsidP="007A5958">
      <w:r w:rsidRPr="007A5958">
        <w:t>МСЭ собирает данные для этого показателя с помощью вопросника от национальных регулирующих органов или министерств информационных и коммуникационных технологий, которые собирают данные у поставщиков интернет-услуг.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7A5958" w:rsidRPr="00BD29EC" w:rsidRDefault="004022E2" w:rsidP="007A5958">
      <w:r w:rsidRPr="004022E2">
        <w:t>Международный союз электросвязи (МСЭ) собирает данные от государств-членов дважды в год: в 1-м квартале и в 3-м квартале.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7A5958" w:rsidRPr="00BD29EC" w:rsidRDefault="007A5958" w:rsidP="007A5958">
      <w:r w:rsidRPr="007A5958">
        <w:t xml:space="preserve">Данные публикуются два раза в год, в июле и декабре, в базе данных </w:t>
      </w:r>
      <w:hyperlink r:id="rId9" w:history="1">
        <w:r w:rsidRPr="002C1B03">
          <w:rPr>
            <w:rStyle w:val="ac"/>
          </w:rPr>
          <w:t>мировых показателей в области электросвязи/ИКТ</w:t>
        </w:r>
      </w:hyperlink>
      <w:r w:rsidR="004022E2">
        <w:t xml:space="preserve"> </w:t>
      </w:r>
      <w:r w:rsidR="004022E2" w:rsidRPr="004022E2">
        <w:t xml:space="preserve">и </w:t>
      </w:r>
      <w:proofErr w:type="spellStart"/>
      <w:r w:rsidR="004022E2" w:rsidRPr="004022E2">
        <w:t>DataHub</w:t>
      </w:r>
      <w:proofErr w:type="spellEnd"/>
      <w:r w:rsidR="004022E2" w:rsidRPr="004022E2">
        <w:t xml:space="preserve"> МСЭ, см. https://datahub.itu.int/.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2C1B03" w:rsidRPr="00A71EC6" w:rsidRDefault="002C1B03" w:rsidP="002C1B03">
      <w:r w:rsidRPr="002C1B03">
        <w:t xml:space="preserve">Регуляторный орган электросвязи/ИКТ или министерство, отвечающее за ИКТ в каждой стране, которые собирают данные от </w:t>
      </w:r>
      <w:proofErr w:type="spellStart"/>
      <w:r w:rsidRPr="002C1B03">
        <w:t>интернет-провайдеров</w:t>
      </w:r>
      <w:proofErr w:type="spellEnd"/>
      <w:r w:rsidRPr="002C1B03">
        <w:t xml:space="preserve"> (ISP).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2C1B03" w:rsidRPr="00BD29EC" w:rsidRDefault="00B61C1D" w:rsidP="002C1B03">
      <w:r w:rsidRPr="004022E2">
        <w:t>Международный союз электросвязи (МСЭ)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Pr="00BD29EC" w:rsidRDefault="002C1B03" w:rsidP="002C1B03">
      <w:r w:rsidRPr="002C1B03">
        <w:t>Как специализированное учреждение ООН по ИКТ, МСЭ является официальным источником глобальной статистики ИКТ, собирая данные по ИКТ от своих Государств-Членов.</w:t>
      </w: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2C1B03" w:rsidRPr="002C1B03" w:rsidRDefault="002C1B03" w:rsidP="002C1B03">
      <w:r w:rsidRPr="002C1B03">
        <w:t>Интернет становится все более важным инструментом для обеспечения доступа к информации и может способствовать развитию и расширению регионального и международного сотрудничества и доступа к науке, технологиям и инновациям, а также расширению обмена знаниями. Высокоскоростной доступ в Интернет важен для обеспечения качественного доступа интернет-пользователей к Интернету и возможности пользоваться растущим объемом интернет-контента, включая пользовательский контент, услуги и информацию.</w:t>
      </w:r>
    </w:p>
    <w:p w:rsidR="002E15F9" w:rsidRPr="00BD29EC" w:rsidRDefault="002C1B03" w:rsidP="002C1B03">
      <w:r w:rsidRPr="002C1B03">
        <w:t xml:space="preserve">Хотя количество абонентов фиксированной широкополосной связи значительно увеличилось за последние годы, а поставщики услуг предлагают все более высокие скорости, скорость фиксированной широкополосной связи может значительно различаться, что влияет на качество и функциональность доступа в Интернет. Многие страны, особенно в развивающихся странах, имеют не только очень ограниченное количество абонентов фиксированной широкополосной связи, но и очень низкие скорости. Это ограничение является препятствием для достижения </w:t>
      </w:r>
      <w:r w:rsidR="000F7902">
        <w:t>задачи</w:t>
      </w:r>
      <w:r w:rsidRPr="002C1B03">
        <w:t xml:space="preserve"> 17.6, и </w:t>
      </w:r>
      <w:r>
        <w:t>показатель</w:t>
      </w:r>
      <w:r w:rsidRPr="002C1B03">
        <w:t xml:space="preserve"> подчеркивает потенциал Интернета (особенно благодаря высокоскоростному </w:t>
      </w:r>
      <w:r w:rsidRPr="002C1B03">
        <w:lastRenderedPageBreak/>
        <w:t>доступу) для расширения сотрудничества, улучшения доступа к науке, технологиям и инновациям и обмена знаниями. Этот показатель также подчеркивает важность использования Интернета как фактора развития и помогает измерить цифровое неравенство, которое, если его не решить должным образом, усугубит неравенство во всех областях развития. Информация о подписках на фиксированную широкополосную связь в разбивке по скорости будет способствовать разработке целевых политик для преодоления этих различий.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DC6FFD" w:rsidRPr="00BD29EC" w:rsidRDefault="00DC6FFD" w:rsidP="00DC6FFD">
      <w:r w:rsidRPr="00DC6FFD">
        <w:t xml:space="preserve">Поскольку большинство </w:t>
      </w:r>
      <w:proofErr w:type="spellStart"/>
      <w:r w:rsidRPr="00DC6FFD">
        <w:t>интернет-провайдеров</w:t>
      </w:r>
      <w:proofErr w:type="spellEnd"/>
      <w:r w:rsidRPr="00DC6FFD">
        <w:t xml:space="preserve"> предлагают тарифные планы, привязанные к скорости загрузки, </w:t>
      </w:r>
      <w:r>
        <w:t>данные по этому</w:t>
      </w:r>
      <w:r w:rsidRPr="00DC6FFD">
        <w:t xml:space="preserve"> показател</w:t>
      </w:r>
      <w:r>
        <w:t>ю</w:t>
      </w:r>
      <w:r w:rsidRPr="00DC6FFD">
        <w:t xml:space="preserve"> относительно просто собрать. Страны могут использовать пакеты, которые не соответствуют скорости, используемой для этой группы показателей. Странам рекомендуется собирать данные по большему количеству категорий скорости, чтобы можно было агрегировать данные в соответствии с показанным выше разделением. В будущем МСЭ может начать включать категории более высокой скорости, отражая растущий спрос и доступность подписки на высокоскоростную широкополосную связь.</w:t>
      </w:r>
    </w:p>
    <w:p w:rsidR="002E15F9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DC6FFD" w:rsidRPr="00DC6FFD" w:rsidRDefault="00DC6FFD" w:rsidP="00DC6FFD">
      <w:r w:rsidRPr="00DC6FFD">
        <w:t>МСЭ собирает данные для этого показателя с помощью ежегодного вопросника национальных регулирующих органов или министерств информационно-коммуникационных технологий (ИКТ), которые собирают данные у национальных поставщиков интернет-услуг. Данные можно собрать, попросив каждого провайдера интернет-услуг в стране предоставить количество своих подписок на фиксированную широкополосную связь с указанными скоростями. Затем данные суммируются, чтобы получить итоговые данные по стране.</w:t>
      </w:r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DC6FFD" w:rsidRDefault="00DC6FFD" w:rsidP="00DC6FFD">
      <w:r w:rsidRPr="00DC6FFD">
        <w:t>Данные представляются Государствами-Членами в МСЭ. МСЭ проверяет и подтверждает данные в консультации с Государствами-Членами.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DC6FFD" w:rsidRDefault="00DC6FFD" w:rsidP="00DC6FFD">
      <w:r w:rsidRPr="00DC6FFD">
        <w:t>Данные, представленные странами, не корректируются.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BD29EC" w:rsidRDefault="00694160" w:rsidP="00DC6FFD">
      <w:pPr>
        <w:pStyle w:val="ab"/>
        <w:numPr>
          <w:ilvl w:val="0"/>
          <w:numId w:val="5"/>
        </w:numPr>
      </w:pPr>
      <w:r w:rsidRPr="00DC44D9">
        <w:rPr>
          <w:b/>
        </w:rPr>
        <w:t xml:space="preserve">На </w:t>
      </w:r>
      <w:r w:rsidR="00BD6838" w:rsidRPr="00DC44D9">
        <w:rPr>
          <w:b/>
        </w:rPr>
        <w:t>страновом уровне:</w:t>
      </w:r>
      <w:r w:rsidR="00DC44D9">
        <w:rPr>
          <w:b/>
        </w:rPr>
        <w:t xml:space="preserve"> </w:t>
      </w:r>
      <w:r w:rsidR="00DC6FFD">
        <w:t>Вменение отсутствующих значений не производится</w:t>
      </w:r>
      <w:r w:rsidR="00DC6FFD" w:rsidRPr="00DC6FFD">
        <w:t xml:space="preserve"> (не</w:t>
      </w:r>
      <w:r w:rsidR="00DC6FFD">
        <w:t xml:space="preserve"> </w:t>
      </w:r>
      <w:r w:rsidR="00DC6FFD" w:rsidRPr="00DC6FFD">
        <w:t>применимо).</w:t>
      </w:r>
    </w:p>
    <w:p w:rsidR="00694160" w:rsidRPr="00BD29EC" w:rsidRDefault="00694160" w:rsidP="00DC6FFD">
      <w:pPr>
        <w:pStyle w:val="ab"/>
        <w:numPr>
          <w:ilvl w:val="0"/>
          <w:numId w:val="5"/>
        </w:numPr>
      </w:pPr>
      <w:r w:rsidRPr="00DC44D9">
        <w:rPr>
          <w:b/>
        </w:rPr>
        <w:t>На региональном и глобальном уровнях</w:t>
      </w:r>
      <w:r w:rsidR="00BD6838" w:rsidRPr="00DC44D9">
        <w:rPr>
          <w:b/>
        </w:rPr>
        <w:t>:</w:t>
      </w:r>
      <w:r w:rsidR="00DC44D9">
        <w:rPr>
          <w:b/>
        </w:rPr>
        <w:t xml:space="preserve"> </w:t>
      </w:r>
      <w:r w:rsidR="00DC6FFD">
        <w:t>Вменение отсутствующих значений не производится</w:t>
      </w:r>
      <w:r w:rsidR="00DC6FFD" w:rsidRPr="00DC6FFD">
        <w:t xml:space="preserve"> (не</w:t>
      </w:r>
      <w:r w:rsidR="00DC6FFD">
        <w:t xml:space="preserve"> </w:t>
      </w:r>
      <w:r w:rsidR="00DC6FFD" w:rsidRPr="00DC6FFD">
        <w:t>применимо).</w:t>
      </w:r>
    </w:p>
    <w:p w:rsidR="002E15F9" w:rsidRPr="00DC6FFD" w:rsidRDefault="002E15F9" w:rsidP="00DC6FFD">
      <w:pPr>
        <w:pStyle w:val="MHeader2"/>
        <w:rPr>
          <w:b/>
          <w:color w:val="auto"/>
          <w:sz w:val="24"/>
          <w:szCs w:val="24"/>
          <w:lang w:val="ru-RU"/>
        </w:rPr>
      </w:pPr>
      <w:r w:rsidRPr="00DC6FFD">
        <w:rPr>
          <w:color w:val="auto"/>
          <w:sz w:val="24"/>
          <w:szCs w:val="24"/>
          <w:lang w:val="ru-RU"/>
        </w:rPr>
        <w:t>4.g.</w:t>
      </w:r>
      <w:r w:rsidRPr="00DC6FFD">
        <w:rPr>
          <w:b/>
          <w:color w:val="auto"/>
          <w:sz w:val="24"/>
          <w:szCs w:val="24"/>
          <w:lang w:val="ru-RU"/>
        </w:rPr>
        <w:t xml:space="preserve"> </w:t>
      </w:r>
      <w:r w:rsidR="00E27922" w:rsidRPr="00DC6FFD">
        <w:rPr>
          <w:b/>
          <w:color w:val="auto"/>
          <w:sz w:val="24"/>
          <w:szCs w:val="24"/>
          <w:lang w:val="ru-RU"/>
        </w:rPr>
        <w:t xml:space="preserve">Региональное агрегирование </w:t>
      </w:r>
    </w:p>
    <w:p w:rsidR="00037327" w:rsidRDefault="00037327" w:rsidP="00037327">
      <w:r w:rsidRPr="00037327">
        <w:t>Не рассчит</w:t>
      </w:r>
      <w:r>
        <w:t xml:space="preserve">ывается </w:t>
      </w:r>
      <w:r w:rsidRPr="00037327">
        <w:t>для разбив</w:t>
      </w:r>
      <w:r>
        <w:t>ок по</w:t>
      </w:r>
      <w:r w:rsidRPr="00037327">
        <w:t xml:space="preserve"> скорости</w:t>
      </w:r>
      <w:r>
        <w:t>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A87957" w:rsidRDefault="00A87957" w:rsidP="00A87957">
      <w:r w:rsidRPr="00A87957">
        <w:t>Справочник МСЭ по сбору административных данных по электросвязи/ИКТ 2020:</w:t>
      </w:r>
    </w:p>
    <w:p w:rsidR="00A87957" w:rsidRPr="00BD29EC" w:rsidRDefault="009D3BEE" w:rsidP="00A87957">
      <w:hyperlink r:id="rId10" w:history="1">
        <w:r w:rsidR="00A87957" w:rsidRPr="00496C7F">
          <w:rPr>
            <w:rStyle w:val="ac"/>
          </w:rPr>
          <w:t>https</w:t>
        </w:r>
        <w:r w:rsidR="00A87957" w:rsidRPr="00A87957">
          <w:rPr>
            <w:rStyle w:val="ac"/>
          </w:rPr>
          <w:t>://</w:t>
        </w:r>
        <w:r w:rsidR="00A87957" w:rsidRPr="00496C7F">
          <w:rPr>
            <w:rStyle w:val="ac"/>
          </w:rPr>
          <w:t>www</w:t>
        </w:r>
        <w:r w:rsidR="00A87957" w:rsidRPr="00A87957">
          <w:rPr>
            <w:rStyle w:val="ac"/>
          </w:rPr>
          <w:t>.</w:t>
        </w:r>
        <w:r w:rsidR="00A87957" w:rsidRPr="00496C7F">
          <w:rPr>
            <w:rStyle w:val="ac"/>
          </w:rPr>
          <w:t>itu</w:t>
        </w:r>
        <w:r w:rsidR="00A87957" w:rsidRPr="00A87957">
          <w:rPr>
            <w:rStyle w:val="ac"/>
          </w:rPr>
          <w:t>.</w:t>
        </w:r>
        <w:r w:rsidR="00A87957" w:rsidRPr="00496C7F">
          <w:rPr>
            <w:rStyle w:val="ac"/>
          </w:rPr>
          <w:t>int</w:t>
        </w:r>
        <w:r w:rsidR="00A87957" w:rsidRPr="00A87957">
          <w:rPr>
            <w:rStyle w:val="ac"/>
          </w:rPr>
          <w:t>/</w:t>
        </w:r>
        <w:r w:rsidR="00A87957" w:rsidRPr="00496C7F">
          <w:rPr>
            <w:rStyle w:val="ac"/>
          </w:rPr>
          <w:t>en</w:t>
        </w:r>
        <w:r w:rsidR="00A87957" w:rsidRPr="00A87957">
          <w:rPr>
            <w:rStyle w:val="ac"/>
          </w:rPr>
          <w:t>/</w:t>
        </w:r>
        <w:r w:rsidR="00A87957" w:rsidRPr="00496C7F">
          <w:rPr>
            <w:rStyle w:val="ac"/>
          </w:rPr>
          <w:t>ITU</w:t>
        </w:r>
        <w:r w:rsidR="00A87957" w:rsidRPr="00A87957">
          <w:rPr>
            <w:rStyle w:val="ac"/>
          </w:rPr>
          <w:t>-</w:t>
        </w:r>
        <w:r w:rsidR="00A87957" w:rsidRPr="00496C7F">
          <w:rPr>
            <w:rStyle w:val="ac"/>
          </w:rPr>
          <w:t>D</w:t>
        </w:r>
        <w:r w:rsidR="00A87957" w:rsidRPr="00A87957">
          <w:rPr>
            <w:rStyle w:val="ac"/>
          </w:rPr>
          <w:t>/</w:t>
        </w:r>
        <w:r w:rsidR="00A87957" w:rsidRPr="00496C7F">
          <w:rPr>
            <w:rStyle w:val="ac"/>
          </w:rPr>
          <w:t>Statistics</w:t>
        </w:r>
        <w:r w:rsidR="00A87957" w:rsidRPr="00A87957">
          <w:rPr>
            <w:rStyle w:val="ac"/>
          </w:rPr>
          <w:t>/</w:t>
        </w:r>
        <w:r w:rsidR="00A87957" w:rsidRPr="00496C7F">
          <w:rPr>
            <w:rStyle w:val="ac"/>
          </w:rPr>
          <w:t>Pages</w:t>
        </w:r>
        <w:r w:rsidR="00A87957" w:rsidRPr="00A87957">
          <w:rPr>
            <w:rStyle w:val="ac"/>
          </w:rPr>
          <w:t>/</w:t>
        </w:r>
        <w:r w:rsidR="00A87957" w:rsidRPr="00496C7F">
          <w:rPr>
            <w:rStyle w:val="ac"/>
          </w:rPr>
          <w:t>publications</w:t>
        </w:r>
        <w:r w:rsidR="00A87957" w:rsidRPr="00A87957">
          <w:rPr>
            <w:rStyle w:val="ac"/>
          </w:rPr>
          <w:t>/</w:t>
        </w:r>
        <w:r w:rsidR="00A87957" w:rsidRPr="00496C7F">
          <w:rPr>
            <w:rStyle w:val="ac"/>
          </w:rPr>
          <w:t>handbook</w:t>
        </w:r>
        <w:r w:rsidR="00A87957" w:rsidRPr="00A87957">
          <w:rPr>
            <w:rStyle w:val="ac"/>
          </w:rPr>
          <w:t>.</w:t>
        </w:r>
        <w:r w:rsidR="00A87957" w:rsidRPr="00496C7F">
          <w:rPr>
            <w:rStyle w:val="ac"/>
          </w:rPr>
          <w:t>aspx</w:t>
        </w:r>
      </w:hyperlink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A87957" w:rsidRPr="00BD29EC" w:rsidRDefault="00A87957" w:rsidP="00A87957">
      <w:r w:rsidRPr="00A87957">
        <w:t>Данные проверяются и подтверждаются Отделом данных и аналитики ИКТ (IDA) МСЭ. Со странами связываются для уточнения и исправления их материалов.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A87957" w:rsidRPr="00040034" w:rsidRDefault="00A87957" w:rsidP="00A87957">
      <w:r w:rsidRPr="00A87957">
        <w:t>Соблюдаются руководящие принципы Справочника МСЭ по сбору административных данных по электросвязи/ИКТ 2020.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A87957" w:rsidRPr="00A87957" w:rsidRDefault="00A87957" w:rsidP="00A87957">
      <w:pPr>
        <w:rPr>
          <w:szCs w:val="24"/>
        </w:rPr>
      </w:pPr>
      <w:r w:rsidRPr="00A87957">
        <w:t>Соблюдаются руководящие принципы Справочника МСЭ по сбору административных данных по электросвязи/ИКТ 2020.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F76F93">
        <w:rPr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F76F93" w:rsidRDefault="0075371E" w:rsidP="00A87957">
      <w:pPr>
        <w:rPr>
          <w:b/>
        </w:rPr>
      </w:pPr>
      <w:r w:rsidRPr="00F76F93">
        <w:rPr>
          <w:b/>
        </w:rPr>
        <w:t>Доступность данных:</w:t>
      </w:r>
    </w:p>
    <w:p w:rsidR="00A87957" w:rsidRPr="00BD29EC" w:rsidRDefault="00A87957" w:rsidP="00A87957">
      <w:r w:rsidRPr="00A87957">
        <w:t>Данные по этому показателю существуют более чем по 160 странам.</w:t>
      </w:r>
    </w:p>
    <w:p w:rsidR="0075371E" w:rsidRPr="00F76F93" w:rsidRDefault="0075371E" w:rsidP="00A87957">
      <w:pPr>
        <w:rPr>
          <w:b/>
        </w:rPr>
      </w:pPr>
      <w:r w:rsidRPr="00F76F93">
        <w:rPr>
          <w:b/>
        </w:rPr>
        <w:t>Временные ряды:</w:t>
      </w:r>
    </w:p>
    <w:p w:rsidR="00A87957" w:rsidRPr="00BD29EC" w:rsidRDefault="00A87957" w:rsidP="00A87957">
      <w:r>
        <w:t>Начиная с 200</w:t>
      </w:r>
      <w:r w:rsidR="009D3BEE">
        <w:t>0</w:t>
      </w:r>
      <w:bookmarkStart w:id="5" w:name="_GoBack"/>
      <w:bookmarkEnd w:id="5"/>
      <w:r>
        <w:t xml:space="preserve"> года.</w:t>
      </w:r>
    </w:p>
    <w:p w:rsidR="0075371E" w:rsidRPr="00F76F93" w:rsidRDefault="00F76F93" w:rsidP="00A87957">
      <w:pPr>
        <w:rPr>
          <w:b/>
        </w:rPr>
      </w:pPr>
      <w:r w:rsidRPr="00F76F93">
        <w:rPr>
          <w:b/>
        </w:rPr>
        <w:t>Дезагрегация</w:t>
      </w:r>
      <w:r w:rsidR="0075371E" w:rsidRPr="00F76F93">
        <w:rPr>
          <w:b/>
        </w:rPr>
        <w:t>:</w:t>
      </w:r>
    </w:p>
    <w:p w:rsidR="00A87957" w:rsidRPr="00BD29EC" w:rsidRDefault="00A87957" w:rsidP="00A87957">
      <w:r w:rsidRPr="00A87957">
        <w:t xml:space="preserve">Поскольку данные для этого показателя основаны на административных данных от </w:t>
      </w:r>
      <w:proofErr w:type="spellStart"/>
      <w:r w:rsidRPr="00A87957">
        <w:t>интернет-провайдеров</w:t>
      </w:r>
      <w:proofErr w:type="spellEnd"/>
      <w:r w:rsidRPr="00A87957">
        <w:t>, информация об отдельных абонентах отсутствует, и поэтому данные не могут быть разбиты по каким-либо индивидуальным характеристикам. Теоретически данные могут быть разбиты по географическому местоположению и городской/сельской местности, но МСЭ не собирает эту информацию.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A87957" w:rsidRPr="00F76F93" w:rsidRDefault="00A87957" w:rsidP="00F76F93">
      <w:pPr>
        <w:spacing w:after="120"/>
        <w:rPr>
          <w:b/>
          <w:lang w:eastAsia="en-GB"/>
        </w:rPr>
      </w:pPr>
      <w:r w:rsidRPr="00F76F93">
        <w:rPr>
          <w:b/>
          <w:lang w:eastAsia="en-GB"/>
        </w:rPr>
        <w:t>Источники расхождений:</w:t>
      </w:r>
    </w:p>
    <w:p w:rsidR="00A87957" w:rsidRDefault="00A87957" w:rsidP="00A87957">
      <w:pPr>
        <w:rPr>
          <w:lang w:eastAsia="en-GB"/>
        </w:rPr>
      </w:pPr>
      <w:r w:rsidRPr="00A87957">
        <w:rPr>
          <w:lang w:eastAsia="en-GB"/>
        </w:rPr>
        <w:t>Различия между глобальными и национальными цифрами могут возникнуть, если страны не используют одно и то же определение для подписки на фиксированную широкополосную связь или когда различаются уровни скорости. Различия для каждой точки данных будут объяснены в примечании.</w:t>
      </w:r>
    </w:p>
    <w:p w:rsidR="00040034" w:rsidRDefault="00040034" w:rsidP="00A87957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A87957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A87957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A87957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A87957" w:rsidRPr="00A87957" w:rsidRDefault="00A87957" w:rsidP="00A87957">
      <w:pPr>
        <w:rPr>
          <w:b/>
        </w:rPr>
      </w:pPr>
      <w:r w:rsidRPr="00A87957">
        <w:rPr>
          <w:b/>
        </w:rPr>
        <w:t>URL:</w:t>
      </w:r>
    </w:p>
    <w:p w:rsidR="00A87957" w:rsidRPr="00A87957" w:rsidRDefault="009D3BEE" w:rsidP="00A87957">
      <w:hyperlink r:id="rId11" w:history="1">
        <w:r w:rsidR="00A87957" w:rsidRPr="00496C7F">
          <w:rPr>
            <w:rStyle w:val="ac"/>
          </w:rPr>
          <w:t>http</w:t>
        </w:r>
        <w:r w:rsidR="00A87957" w:rsidRPr="00A87957">
          <w:rPr>
            <w:rStyle w:val="ac"/>
          </w:rPr>
          <w:t>://</w:t>
        </w:r>
        <w:r w:rsidR="00A87957" w:rsidRPr="00496C7F">
          <w:rPr>
            <w:rStyle w:val="ac"/>
          </w:rPr>
          <w:t>www</w:t>
        </w:r>
        <w:r w:rsidR="00A87957" w:rsidRPr="00A87957">
          <w:rPr>
            <w:rStyle w:val="ac"/>
          </w:rPr>
          <w:t>.</w:t>
        </w:r>
        <w:r w:rsidR="00A87957" w:rsidRPr="00496C7F">
          <w:rPr>
            <w:rStyle w:val="ac"/>
          </w:rPr>
          <w:t>itu</w:t>
        </w:r>
        <w:r w:rsidR="00A87957" w:rsidRPr="00A87957">
          <w:rPr>
            <w:rStyle w:val="ac"/>
          </w:rPr>
          <w:t>.</w:t>
        </w:r>
        <w:r w:rsidR="00A87957" w:rsidRPr="00496C7F">
          <w:rPr>
            <w:rStyle w:val="ac"/>
          </w:rPr>
          <w:t>int</w:t>
        </w:r>
        <w:r w:rsidR="00A87957" w:rsidRPr="00A87957">
          <w:rPr>
            <w:rStyle w:val="ac"/>
          </w:rPr>
          <w:t>/</w:t>
        </w:r>
        <w:r w:rsidR="00A87957" w:rsidRPr="00496C7F">
          <w:rPr>
            <w:rStyle w:val="ac"/>
          </w:rPr>
          <w:t>en</w:t>
        </w:r>
        <w:r w:rsidR="00A87957" w:rsidRPr="00A87957">
          <w:rPr>
            <w:rStyle w:val="ac"/>
          </w:rPr>
          <w:t>/</w:t>
        </w:r>
        <w:r w:rsidR="00A87957" w:rsidRPr="00496C7F">
          <w:rPr>
            <w:rStyle w:val="ac"/>
          </w:rPr>
          <w:t>ITU</w:t>
        </w:r>
        <w:r w:rsidR="00A87957" w:rsidRPr="00A87957">
          <w:rPr>
            <w:rStyle w:val="ac"/>
          </w:rPr>
          <w:t>-</w:t>
        </w:r>
        <w:r w:rsidR="00A87957" w:rsidRPr="00496C7F">
          <w:rPr>
            <w:rStyle w:val="ac"/>
          </w:rPr>
          <w:t>D</w:t>
        </w:r>
        <w:r w:rsidR="00A87957" w:rsidRPr="00A87957">
          <w:rPr>
            <w:rStyle w:val="ac"/>
          </w:rPr>
          <w:t>/</w:t>
        </w:r>
        <w:r w:rsidR="00A87957" w:rsidRPr="00496C7F">
          <w:rPr>
            <w:rStyle w:val="ac"/>
          </w:rPr>
          <w:t>Statistics</w:t>
        </w:r>
        <w:r w:rsidR="00A87957" w:rsidRPr="00A87957">
          <w:rPr>
            <w:rStyle w:val="ac"/>
          </w:rPr>
          <w:t>/</w:t>
        </w:r>
        <w:r w:rsidR="00A87957" w:rsidRPr="00496C7F">
          <w:rPr>
            <w:rStyle w:val="ac"/>
          </w:rPr>
          <w:t>Pages</w:t>
        </w:r>
        <w:r w:rsidR="00A87957" w:rsidRPr="00A87957">
          <w:rPr>
            <w:rStyle w:val="ac"/>
          </w:rPr>
          <w:t>/</w:t>
        </w:r>
        <w:r w:rsidR="00A87957" w:rsidRPr="00496C7F">
          <w:rPr>
            <w:rStyle w:val="ac"/>
          </w:rPr>
          <w:t>default</w:t>
        </w:r>
        <w:r w:rsidR="00A87957" w:rsidRPr="00A87957">
          <w:rPr>
            <w:rStyle w:val="ac"/>
          </w:rPr>
          <w:t>.</w:t>
        </w:r>
        <w:r w:rsidR="00A87957" w:rsidRPr="00496C7F">
          <w:rPr>
            <w:rStyle w:val="ac"/>
          </w:rPr>
          <w:t>aspx</w:t>
        </w:r>
      </w:hyperlink>
      <w:r w:rsidR="00A87957" w:rsidRPr="00A87957">
        <w:t xml:space="preserve"> </w:t>
      </w:r>
    </w:p>
    <w:p w:rsidR="00A87957" w:rsidRPr="00A87957" w:rsidRDefault="00A87957" w:rsidP="00A87957">
      <w:pPr>
        <w:rPr>
          <w:b/>
        </w:rPr>
      </w:pPr>
      <w:r w:rsidRPr="00A87957">
        <w:rPr>
          <w:b/>
        </w:rPr>
        <w:lastRenderedPageBreak/>
        <w:t>Использованные документы:</w:t>
      </w:r>
    </w:p>
    <w:p w:rsidR="00A87957" w:rsidRPr="00A87957" w:rsidRDefault="00A87957" w:rsidP="00A87957">
      <w:pPr>
        <w:rPr>
          <w:rFonts w:eastAsia="Times New Roman" w:cs="Times New Roman"/>
          <w:szCs w:val="21"/>
          <w:lang w:eastAsia="en-GB"/>
        </w:rPr>
      </w:pPr>
      <w:r w:rsidRPr="00A87957">
        <w:t xml:space="preserve">Справочник МСЭ по сбору административных данных по электросвязи/ИКТ, 2020 г.: </w:t>
      </w:r>
      <w:hyperlink r:id="rId12" w:history="1">
        <w:r w:rsidRPr="00496C7F">
          <w:rPr>
            <w:rStyle w:val="ac"/>
          </w:rPr>
          <w:t>https</w:t>
        </w:r>
        <w:r w:rsidRPr="00A87957">
          <w:rPr>
            <w:rStyle w:val="ac"/>
          </w:rPr>
          <w:t>://</w:t>
        </w:r>
        <w:r w:rsidRPr="00496C7F">
          <w:rPr>
            <w:rStyle w:val="ac"/>
          </w:rPr>
          <w:t>www</w:t>
        </w:r>
        <w:r w:rsidRPr="00A87957">
          <w:rPr>
            <w:rStyle w:val="ac"/>
          </w:rPr>
          <w:t>.</w:t>
        </w:r>
        <w:r w:rsidRPr="00496C7F">
          <w:rPr>
            <w:rStyle w:val="ac"/>
          </w:rPr>
          <w:t>itu</w:t>
        </w:r>
        <w:r w:rsidRPr="00A87957">
          <w:rPr>
            <w:rStyle w:val="ac"/>
          </w:rPr>
          <w:t>.</w:t>
        </w:r>
        <w:r w:rsidRPr="00496C7F">
          <w:rPr>
            <w:rStyle w:val="ac"/>
          </w:rPr>
          <w:t>int</w:t>
        </w:r>
        <w:r w:rsidRPr="00A87957">
          <w:rPr>
            <w:rStyle w:val="ac"/>
          </w:rPr>
          <w:t>/</w:t>
        </w:r>
        <w:r w:rsidRPr="00496C7F">
          <w:rPr>
            <w:rStyle w:val="ac"/>
          </w:rPr>
          <w:t>en</w:t>
        </w:r>
        <w:r w:rsidRPr="00A87957">
          <w:rPr>
            <w:rStyle w:val="ac"/>
          </w:rPr>
          <w:t>/</w:t>
        </w:r>
        <w:r w:rsidRPr="00496C7F">
          <w:rPr>
            <w:rStyle w:val="ac"/>
          </w:rPr>
          <w:t>ITU</w:t>
        </w:r>
        <w:r w:rsidRPr="00A87957">
          <w:rPr>
            <w:rStyle w:val="ac"/>
          </w:rPr>
          <w:t>-</w:t>
        </w:r>
        <w:r w:rsidRPr="00496C7F">
          <w:rPr>
            <w:rStyle w:val="ac"/>
          </w:rPr>
          <w:t>D</w:t>
        </w:r>
        <w:r w:rsidRPr="00A87957">
          <w:rPr>
            <w:rStyle w:val="ac"/>
          </w:rPr>
          <w:t>/</w:t>
        </w:r>
        <w:r w:rsidRPr="00496C7F">
          <w:rPr>
            <w:rStyle w:val="ac"/>
          </w:rPr>
          <w:t>Statistics</w:t>
        </w:r>
        <w:r w:rsidRPr="00A87957">
          <w:rPr>
            <w:rStyle w:val="ac"/>
          </w:rPr>
          <w:t>/</w:t>
        </w:r>
        <w:r w:rsidRPr="00496C7F">
          <w:rPr>
            <w:rStyle w:val="ac"/>
          </w:rPr>
          <w:t>Pages</w:t>
        </w:r>
        <w:r w:rsidRPr="00A87957">
          <w:rPr>
            <w:rStyle w:val="ac"/>
          </w:rPr>
          <w:t>/</w:t>
        </w:r>
        <w:r w:rsidRPr="00496C7F">
          <w:rPr>
            <w:rStyle w:val="ac"/>
          </w:rPr>
          <w:t>publications</w:t>
        </w:r>
        <w:r w:rsidRPr="00A87957">
          <w:rPr>
            <w:rStyle w:val="ac"/>
          </w:rPr>
          <w:t>/</w:t>
        </w:r>
        <w:r w:rsidRPr="00496C7F">
          <w:rPr>
            <w:rStyle w:val="ac"/>
          </w:rPr>
          <w:t>handbook</w:t>
        </w:r>
        <w:r w:rsidRPr="00A87957">
          <w:rPr>
            <w:rStyle w:val="ac"/>
          </w:rPr>
          <w:t>.</w:t>
        </w:r>
        <w:r w:rsidRPr="00496C7F">
          <w:rPr>
            <w:rStyle w:val="ac"/>
          </w:rPr>
          <w:t>aspx</w:t>
        </w:r>
      </w:hyperlink>
      <w:r w:rsidRPr="00A87957">
        <w:t xml:space="preserve"> </w:t>
      </w:r>
    </w:p>
    <w:sectPr w:rsidR="00A87957" w:rsidRPr="00A87957" w:rsidSect="00DC44D9">
      <w:headerReference w:type="defaul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21" w:rsidRDefault="00115321" w:rsidP="00F73DBC">
      <w:pPr>
        <w:spacing w:after="0" w:line="240" w:lineRule="auto"/>
      </w:pPr>
      <w:r>
        <w:separator/>
      </w:r>
    </w:p>
  </w:endnote>
  <w:endnote w:type="continuationSeparator" w:id="0">
    <w:p w:rsidR="00115321" w:rsidRDefault="00115321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21" w:rsidRDefault="00115321" w:rsidP="00F73DBC">
      <w:pPr>
        <w:spacing w:after="0" w:line="240" w:lineRule="auto"/>
      </w:pPr>
      <w:r>
        <w:separator/>
      </w:r>
    </w:p>
  </w:footnote>
  <w:footnote w:type="continuationSeparator" w:id="0">
    <w:p w:rsidR="00115321" w:rsidRDefault="00115321" w:rsidP="00F73DBC">
      <w:pPr>
        <w:spacing w:after="0" w:line="240" w:lineRule="auto"/>
      </w:pPr>
      <w:r>
        <w:continuationSeparator/>
      </w:r>
    </w:p>
  </w:footnote>
  <w:footnote w:id="1">
    <w:p w:rsidR="006C0530" w:rsidRDefault="006C0530">
      <w:pPr>
        <w:pStyle w:val="a4"/>
      </w:pPr>
      <w:r>
        <w:rPr>
          <w:rStyle w:val="a6"/>
        </w:rPr>
        <w:footnoteRef/>
      </w:r>
      <w:r>
        <w:t xml:space="preserve"> </w:t>
      </w:r>
      <w:r w:rsidRPr="006C0530">
        <w:t xml:space="preserve">В марте 2023 года описание </w:t>
      </w:r>
      <w:r>
        <w:t>ряда данных</w:t>
      </w:r>
      <w:r w:rsidRPr="006C0530">
        <w:t xml:space="preserve"> было обновлено с </w:t>
      </w:r>
      <w:r>
        <w:t>предыдущего названия «</w:t>
      </w:r>
      <w:r w:rsidR="0084104C" w:rsidRPr="0084104C">
        <w:t>Число стационарных абонентов широкополосного Интернета на 100 жителей</w:t>
      </w:r>
      <w:r w:rsidR="0084104C">
        <w:t>, в разбивке по скорости</w:t>
      </w:r>
      <w:r>
        <w:t>»</w:t>
      </w:r>
      <w:r w:rsidRPr="006C0530">
        <w:t xml:space="preserve"> на </w:t>
      </w:r>
      <w:r>
        <w:t>«</w:t>
      </w:r>
      <w:r w:rsidR="009045E0" w:rsidRPr="009045E0">
        <w:t>Число абонентов с</w:t>
      </w:r>
      <w:r w:rsidR="009045E0">
        <w:t>тационарного широкополосного до</w:t>
      </w:r>
      <w:r w:rsidR="009045E0" w:rsidRPr="009045E0">
        <w:t>ступа на 100 жителей в разбивке по скорости</w:t>
      </w:r>
      <w:r>
        <w:t>»</w:t>
      </w:r>
      <w:r w:rsidRPr="006C0530">
        <w:t xml:space="preserve">; содержание </w:t>
      </w:r>
      <w:r>
        <w:t>ряда данны</w:t>
      </w:r>
      <w:r w:rsidR="009045E0">
        <w:t>х</w:t>
      </w:r>
      <w:r w:rsidRPr="006C0530">
        <w:t xml:space="preserve"> осталось прежним.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Pr="00087B96" w:rsidRDefault="009508D1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9508D1" w:rsidRPr="000F7902" w:rsidRDefault="009508D1" w:rsidP="009508D1">
    <w:pPr>
      <w:pStyle w:val="ae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 w:rsidR="00495496">
      <w:rPr>
        <w:rFonts w:cs="Times New Roman"/>
      </w:rPr>
      <w:t>ок</w:t>
    </w:r>
    <w:r w:rsidR="00B22AB5">
      <w:rPr>
        <w:rFonts w:cs="Times New Roman"/>
      </w:rPr>
      <w:t xml:space="preserve">тябрь </w:t>
    </w:r>
    <w:r w:rsidR="00781DE7" w:rsidRPr="00087B96">
      <w:rPr>
        <w:rFonts w:cs="Times New Roman"/>
      </w:rPr>
      <w:t>202</w:t>
    </w:r>
    <w:r w:rsidR="0090518E" w:rsidRPr="000F7902">
      <w:rPr>
        <w:rFonts w:cs="Times New Roman"/>
      </w:rPr>
      <w:t>3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61E01"/>
    <w:multiLevelType w:val="hybridMultilevel"/>
    <w:tmpl w:val="DC2C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33E1C"/>
    <w:rsid w:val="00037327"/>
    <w:rsid w:val="00040034"/>
    <w:rsid w:val="000410BA"/>
    <w:rsid w:val="000476F9"/>
    <w:rsid w:val="00053D20"/>
    <w:rsid w:val="00087B96"/>
    <w:rsid w:val="000A210D"/>
    <w:rsid w:val="000A229E"/>
    <w:rsid w:val="000C5EF5"/>
    <w:rsid w:val="000F3B83"/>
    <w:rsid w:val="000F7902"/>
    <w:rsid w:val="00107A08"/>
    <w:rsid w:val="00115321"/>
    <w:rsid w:val="00116248"/>
    <w:rsid w:val="001470A2"/>
    <w:rsid w:val="00147D8F"/>
    <w:rsid w:val="001612F6"/>
    <w:rsid w:val="00165896"/>
    <w:rsid w:val="001762D0"/>
    <w:rsid w:val="0018353F"/>
    <w:rsid w:val="001A163A"/>
    <w:rsid w:val="001C4663"/>
    <w:rsid w:val="001E2FC9"/>
    <w:rsid w:val="002064C4"/>
    <w:rsid w:val="002306F8"/>
    <w:rsid w:val="002652D0"/>
    <w:rsid w:val="00291FA0"/>
    <w:rsid w:val="002C1B03"/>
    <w:rsid w:val="002C7BF9"/>
    <w:rsid w:val="002E122C"/>
    <w:rsid w:val="002E15F9"/>
    <w:rsid w:val="002F63E5"/>
    <w:rsid w:val="00303D71"/>
    <w:rsid w:val="003143BC"/>
    <w:rsid w:val="00320C65"/>
    <w:rsid w:val="00322B59"/>
    <w:rsid w:val="003746BC"/>
    <w:rsid w:val="003859BD"/>
    <w:rsid w:val="003A325C"/>
    <w:rsid w:val="003B3294"/>
    <w:rsid w:val="003D33FA"/>
    <w:rsid w:val="003D58DC"/>
    <w:rsid w:val="003D7A38"/>
    <w:rsid w:val="004022E2"/>
    <w:rsid w:val="00407AF0"/>
    <w:rsid w:val="00407E4E"/>
    <w:rsid w:val="004143B4"/>
    <w:rsid w:val="00421928"/>
    <w:rsid w:val="004344AC"/>
    <w:rsid w:val="00456E71"/>
    <w:rsid w:val="00467B9B"/>
    <w:rsid w:val="00495496"/>
    <w:rsid w:val="004D2413"/>
    <w:rsid w:val="004E087E"/>
    <w:rsid w:val="005016B8"/>
    <w:rsid w:val="00503B4A"/>
    <w:rsid w:val="00504837"/>
    <w:rsid w:val="00532D98"/>
    <w:rsid w:val="00587D0B"/>
    <w:rsid w:val="005A4DCB"/>
    <w:rsid w:val="005B0739"/>
    <w:rsid w:val="005C6119"/>
    <w:rsid w:val="005E47BD"/>
    <w:rsid w:val="005F2C0B"/>
    <w:rsid w:val="00655F55"/>
    <w:rsid w:val="006704C2"/>
    <w:rsid w:val="00682107"/>
    <w:rsid w:val="00690B09"/>
    <w:rsid w:val="00691C96"/>
    <w:rsid w:val="00694160"/>
    <w:rsid w:val="006B260E"/>
    <w:rsid w:val="006B3939"/>
    <w:rsid w:val="006C0530"/>
    <w:rsid w:val="006C43F8"/>
    <w:rsid w:val="006D5488"/>
    <w:rsid w:val="006D7049"/>
    <w:rsid w:val="00702333"/>
    <w:rsid w:val="00705161"/>
    <w:rsid w:val="00724018"/>
    <w:rsid w:val="00741A39"/>
    <w:rsid w:val="00752F5B"/>
    <w:rsid w:val="0075371E"/>
    <w:rsid w:val="00753F18"/>
    <w:rsid w:val="007639AD"/>
    <w:rsid w:val="00780F08"/>
    <w:rsid w:val="00781DE7"/>
    <w:rsid w:val="007953D8"/>
    <w:rsid w:val="007A5958"/>
    <w:rsid w:val="007B07B2"/>
    <w:rsid w:val="007B0CFD"/>
    <w:rsid w:val="007B32CE"/>
    <w:rsid w:val="007C27E0"/>
    <w:rsid w:val="007D1185"/>
    <w:rsid w:val="007D1FD7"/>
    <w:rsid w:val="007F06DF"/>
    <w:rsid w:val="008138AD"/>
    <w:rsid w:val="00836F3E"/>
    <w:rsid w:val="0084104C"/>
    <w:rsid w:val="00853C09"/>
    <w:rsid w:val="00864C1A"/>
    <w:rsid w:val="009045E0"/>
    <w:rsid w:val="0090518E"/>
    <w:rsid w:val="0092739E"/>
    <w:rsid w:val="009508D1"/>
    <w:rsid w:val="00957A62"/>
    <w:rsid w:val="00963238"/>
    <w:rsid w:val="009655B4"/>
    <w:rsid w:val="009737AE"/>
    <w:rsid w:val="00980F79"/>
    <w:rsid w:val="00982FE8"/>
    <w:rsid w:val="009C064B"/>
    <w:rsid w:val="009D3BEE"/>
    <w:rsid w:val="009D4322"/>
    <w:rsid w:val="009F43A6"/>
    <w:rsid w:val="00A110F9"/>
    <w:rsid w:val="00A53D4B"/>
    <w:rsid w:val="00A618FC"/>
    <w:rsid w:val="00A71EC6"/>
    <w:rsid w:val="00A82CD3"/>
    <w:rsid w:val="00A87957"/>
    <w:rsid w:val="00A91FDE"/>
    <w:rsid w:val="00AC1A97"/>
    <w:rsid w:val="00B0378B"/>
    <w:rsid w:val="00B06B4E"/>
    <w:rsid w:val="00B22AB5"/>
    <w:rsid w:val="00B518DC"/>
    <w:rsid w:val="00B61C1D"/>
    <w:rsid w:val="00B72F77"/>
    <w:rsid w:val="00BD29EC"/>
    <w:rsid w:val="00BD6838"/>
    <w:rsid w:val="00BE2C5D"/>
    <w:rsid w:val="00BE415C"/>
    <w:rsid w:val="00C47A4A"/>
    <w:rsid w:val="00C515AF"/>
    <w:rsid w:val="00C8596F"/>
    <w:rsid w:val="00C90708"/>
    <w:rsid w:val="00C95AB2"/>
    <w:rsid w:val="00CA1CB1"/>
    <w:rsid w:val="00CA53CA"/>
    <w:rsid w:val="00D05466"/>
    <w:rsid w:val="00D2619D"/>
    <w:rsid w:val="00DA19D7"/>
    <w:rsid w:val="00DC18AA"/>
    <w:rsid w:val="00DC44D9"/>
    <w:rsid w:val="00DC6FFD"/>
    <w:rsid w:val="00E123F7"/>
    <w:rsid w:val="00E21B43"/>
    <w:rsid w:val="00E27922"/>
    <w:rsid w:val="00E33CA8"/>
    <w:rsid w:val="00E559F9"/>
    <w:rsid w:val="00E90164"/>
    <w:rsid w:val="00E90BD4"/>
    <w:rsid w:val="00EA206F"/>
    <w:rsid w:val="00EA2CBF"/>
    <w:rsid w:val="00EB362A"/>
    <w:rsid w:val="00EB389E"/>
    <w:rsid w:val="00EE0900"/>
    <w:rsid w:val="00F374BA"/>
    <w:rsid w:val="00F53A75"/>
    <w:rsid w:val="00F5412C"/>
    <w:rsid w:val="00F6371F"/>
    <w:rsid w:val="00F67A9C"/>
    <w:rsid w:val="00F73DBC"/>
    <w:rsid w:val="00F76F93"/>
    <w:rsid w:val="00F84FF1"/>
    <w:rsid w:val="00F85991"/>
    <w:rsid w:val="00F92D6F"/>
    <w:rsid w:val="00FB66D9"/>
    <w:rsid w:val="00FC5800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No Spacing"/>
    <w:uiPriority w:val="1"/>
    <w:qFormat/>
    <w:rsid w:val="0072401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MGTHeader">
    <w:name w:val="M.G+T.Header"/>
    <w:basedOn w:val="a"/>
    <w:link w:val="MGTHeaderChar"/>
    <w:qFormat/>
    <w:rsid w:val="00752F5B"/>
    <w:pPr>
      <w:shd w:val="clear" w:color="auto" w:fill="F5F5F5"/>
      <w:spacing w:after="100" w:line="240" w:lineRule="auto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GTHeaderChar">
    <w:name w:val="M.G+T.Header Char"/>
    <w:basedOn w:val="a0"/>
    <w:link w:val="MGTHeader"/>
    <w:rsid w:val="00752F5B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No Spacing"/>
    <w:uiPriority w:val="1"/>
    <w:qFormat/>
    <w:rsid w:val="0072401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MGTHeader">
    <w:name w:val="M.G+T.Header"/>
    <w:basedOn w:val="a"/>
    <w:link w:val="MGTHeaderChar"/>
    <w:qFormat/>
    <w:rsid w:val="00752F5B"/>
    <w:pPr>
      <w:shd w:val="clear" w:color="auto" w:fill="F5F5F5"/>
      <w:spacing w:after="100" w:line="240" w:lineRule="auto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GTHeaderChar">
    <w:name w:val="M.G+T.Header Char"/>
    <w:basedOn w:val="a0"/>
    <w:link w:val="MGTHeader"/>
    <w:rsid w:val="00752F5B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tu.int/en/ITU-D/Statistics/Pages/publications/handbook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D/Statistics/Pages/default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D/Statistics/Pages/publications/handbook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tu.int/en/ITU-D/Statistics/Pages/publications/wtid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746B-0CAB-409C-AB17-CABA4E5B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15</cp:revision>
  <dcterms:created xsi:type="dcterms:W3CDTF">2022-10-03T14:16:00Z</dcterms:created>
  <dcterms:modified xsi:type="dcterms:W3CDTF">2024-07-08T09:01:00Z</dcterms:modified>
</cp:coreProperties>
</file>