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bookmarkStart w:id="0" w:name="_GoBack"/>
      <w:bookmarkEnd w:id="0"/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955652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BE415C">
        <w:rPr>
          <w:rFonts w:eastAsia="Arial Unicode MS" w:cs="Times New Roman"/>
          <w:szCs w:val="24"/>
          <w:bdr w:val="nil"/>
          <w:lang w:eastAsia="ru-RU"/>
        </w:rPr>
        <w:t>3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BE415C" w:rsidRPr="00BE415C">
        <w:rPr>
          <w:rFonts w:eastAsia="Arial Unicode MS" w:cs="Times New Roman"/>
          <w:szCs w:val="24"/>
          <w:bdr w:val="nil"/>
          <w:lang w:eastAsia="ru-RU"/>
        </w:rPr>
        <w:t>Обеспечение здорового образа жизни и содействие благополучию для всех в любом возрасте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BE415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D82EE9">
        <w:rPr>
          <w:rFonts w:cs="Times New Roman"/>
          <w:szCs w:val="24"/>
        </w:rPr>
        <w:t>5</w:t>
      </w:r>
      <w:r w:rsidR="00780F08" w:rsidRPr="00BD29EC">
        <w:rPr>
          <w:rFonts w:cs="Times New Roman"/>
          <w:szCs w:val="24"/>
        </w:rPr>
        <w:t xml:space="preserve">.  </w:t>
      </w:r>
      <w:r w:rsidR="00D82EE9" w:rsidRPr="00D82EE9">
        <w:t>Улучшать профилактику и лечение зависимости от психоактивных веществ, в том числе злоупотребления наркотическими средствами и алкоголем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BE415C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D82EE9">
        <w:rPr>
          <w:rFonts w:cs="Times New Roman"/>
          <w:szCs w:val="24"/>
        </w:rPr>
        <w:t>5</w:t>
      </w:r>
      <w:r w:rsidR="00780F08" w:rsidRPr="00BD29EC">
        <w:rPr>
          <w:rFonts w:cs="Times New Roman"/>
          <w:szCs w:val="24"/>
        </w:rPr>
        <w:t xml:space="preserve">.1 </w:t>
      </w:r>
      <w:r w:rsidR="00D82EE9" w:rsidRPr="00D82EE9">
        <w:t>Охват лечением расстройств, вызванных употреблением психоактивных веществ (медикаментозные, психосоциальные и реабилитационные услуги и услуги по последующему уходу)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955652" w:rsidRPr="00955652" w:rsidRDefault="00955652" w:rsidP="009556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955652">
        <w:rPr>
          <w:rFonts w:eastAsia="Arial Unicode MS" w:cs="Times New Roman"/>
          <w:szCs w:val="24"/>
          <w:bdr w:val="nil"/>
          <w:lang w:eastAsia="ru-RU"/>
        </w:rPr>
        <w:t xml:space="preserve">SH_SUD_ALCOL </w:t>
      </w:r>
      <w:r>
        <w:rPr>
          <w:rFonts w:eastAsia="Arial Unicode MS" w:cs="Times New Roman"/>
          <w:szCs w:val="24"/>
          <w:bdr w:val="nil"/>
          <w:lang w:eastAsia="ru-RU"/>
        </w:rPr>
        <w:t>–</w:t>
      </w:r>
      <w:r w:rsidRPr="00955652">
        <w:rPr>
          <w:rFonts w:eastAsia="Arial Unicode MS" w:cs="Times New Roman"/>
          <w:szCs w:val="24"/>
          <w:bdr w:val="nil"/>
          <w:lang w:eastAsia="ru-RU"/>
        </w:rPr>
        <w:t xml:space="preserve"> Расстройства, связанные с употреблением алкоголя, распространенность за 12 месяцев (%) [3.5.1]</w:t>
      </w:r>
    </w:p>
    <w:p w:rsidR="00955652" w:rsidRPr="00955652" w:rsidRDefault="00955652" w:rsidP="009556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955652">
        <w:rPr>
          <w:rFonts w:eastAsia="Arial Unicode MS" w:cs="Times New Roman"/>
          <w:szCs w:val="24"/>
          <w:bdr w:val="nil"/>
          <w:lang w:eastAsia="ru-RU"/>
        </w:rPr>
        <w:t xml:space="preserve">SH_SUD_TREAT </w:t>
      </w:r>
      <w:r>
        <w:rPr>
          <w:rFonts w:eastAsia="Arial Unicode MS" w:cs="Times New Roman"/>
          <w:szCs w:val="24"/>
          <w:bdr w:val="nil"/>
          <w:lang w:eastAsia="ru-RU"/>
        </w:rPr>
        <w:t>–</w:t>
      </w:r>
      <w:r w:rsidRPr="00955652">
        <w:rPr>
          <w:rFonts w:eastAsia="Arial Unicode MS" w:cs="Times New Roman"/>
          <w:szCs w:val="24"/>
          <w:bdr w:val="nil"/>
          <w:lang w:eastAsia="ru-RU"/>
        </w:rPr>
        <w:t xml:space="preserve"> </w:t>
      </w:r>
      <w:r w:rsidR="00306A08" w:rsidRPr="00306A08">
        <w:rPr>
          <w:rFonts w:eastAsia="Arial Unicode MS" w:cs="Times New Roman"/>
          <w:szCs w:val="24"/>
          <w:bdr w:val="nil"/>
          <w:lang w:eastAsia="ru-RU"/>
        </w:rPr>
        <w:t xml:space="preserve">Охват лечением расстройств, вызванных употреблением психоактивных веществ (медикаментозные, психосоциальные и реабилитационные услуги и услуги по последующему уходу) </w:t>
      </w:r>
      <w:r w:rsidRPr="00955652">
        <w:rPr>
          <w:rFonts w:eastAsia="Arial Unicode MS" w:cs="Times New Roman"/>
          <w:szCs w:val="24"/>
          <w:bdr w:val="nil"/>
          <w:lang w:eastAsia="ru-RU"/>
        </w:rPr>
        <w:t>(%) [3.5.1]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D82EE9" w:rsidRPr="00BD29EC" w:rsidRDefault="00306A08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>24.05.2024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D82EE9" w:rsidRPr="00DA19D7" w:rsidRDefault="00D82EE9" w:rsidP="00D82EE9">
      <w:pPr>
        <w:rPr>
          <w:bdr w:val="nil"/>
          <w:lang w:eastAsia="ru-RU"/>
        </w:rPr>
      </w:pPr>
      <w:r>
        <w:rPr>
          <w:bdr w:val="nil"/>
          <w:lang w:eastAsia="ru-RU"/>
        </w:rPr>
        <w:t xml:space="preserve">Показатель 3.5.2. </w:t>
      </w:r>
      <w:r w:rsidRPr="00D82EE9">
        <w:rPr>
          <w:bdr w:val="nil"/>
          <w:lang w:eastAsia="ru-RU"/>
        </w:rPr>
        <w:t>Употребление алкоголя на душу населения (в возрасте 15 лет и старше) в литрах чистого спирта в календарный год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D82EE9" w:rsidRPr="00D82EE9" w:rsidRDefault="00D82EE9" w:rsidP="00D82E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D82EE9">
        <w:rPr>
          <w:rFonts w:cs="Times New Roman"/>
          <w:szCs w:val="24"/>
        </w:rPr>
        <w:t>Всемирная организация здравоохранения (ВОЗ)</w:t>
      </w:r>
    </w:p>
    <w:p w:rsidR="00D82EE9" w:rsidRPr="00D82EE9" w:rsidRDefault="00D82EE9" w:rsidP="00D82E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D82EE9">
        <w:rPr>
          <w:rFonts w:cs="Times New Roman"/>
          <w:szCs w:val="24"/>
        </w:rPr>
        <w:t>Управление ООН по наркотикам и преступности (УНП ООН)</w:t>
      </w:r>
    </w:p>
    <w:p w:rsidR="00957A62" w:rsidRPr="00BD29EC" w:rsidRDefault="00957A62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D82EE9" w:rsidRPr="00D82EE9" w:rsidRDefault="00D82EE9" w:rsidP="00D82EE9">
      <w:r w:rsidRPr="00D82EE9">
        <w:t>Всемирная организация здравоохранения (ВОЗ)</w:t>
      </w:r>
    </w:p>
    <w:p w:rsidR="00D82EE9" w:rsidRPr="00D82EE9" w:rsidRDefault="00D82EE9" w:rsidP="00D82EE9">
      <w:r w:rsidRPr="00D82EE9">
        <w:t>Управление ООН по наркотикам и преступности (УНП ООН)</w:t>
      </w:r>
    </w:p>
    <w:p w:rsidR="00957A62" w:rsidRPr="00BD29EC" w:rsidRDefault="00957A62" w:rsidP="0075371E">
      <w:pPr>
        <w:pStyle w:val="MText"/>
        <w:rPr>
          <w:color w:val="auto"/>
          <w:sz w:val="24"/>
          <w:szCs w:val="24"/>
          <w:lang w:val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D82EE9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D82EE9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D82EE9" w:rsidRPr="00D82EE9" w:rsidRDefault="00D82EE9" w:rsidP="00D82EE9">
      <w:pPr>
        <w:pStyle w:val="MText"/>
        <w:rPr>
          <w:color w:val="000000" w:themeColor="text1"/>
          <w:sz w:val="24"/>
          <w:szCs w:val="24"/>
          <w:lang w:val="ru-RU"/>
        </w:rPr>
      </w:pPr>
      <w:r w:rsidRPr="00D82EE9">
        <w:rPr>
          <w:color w:val="000000" w:themeColor="text1"/>
          <w:sz w:val="24"/>
          <w:szCs w:val="24"/>
          <w:lang w:val="ru-RU"/>
        </w:rPr>
        <w:t xml:space="preserve">Охват лечением расстройств, вызванных употреблением психоактивных веществ, определяется как число людей, получивших лечение в течение года, деленное на общее количество людей с расстройствами, вызванными употреблением психоактивных веществ </w:t>
      </w:r>
      <w:r w:rsidRPr="00D82EE9">
        <w:rPr>
          <w:color w:val="000000" w:themeColor="text1"/>
          <w:sz w:val="24"/>
          <w:szCs w:val="24"/>
          <w:lang w:val="ru-RU"/>
        </w:rPr>
        <w:lastRenderedPageBreak/>
        <w:t xml:space="preserve">в том же году. Этот показатель дезагрегирован по двум широким группам психоактивных веществ: (1) наркотики, (2) алкоголь и другие </w:t>
      </w:r>
      <w:proofErr w:type="spellStart"/>
      <w:r w:rsidRPr="00D82EE9">
        <w:rPr>
          <w:color w:val="000000" w:themeColor="text1"/>
          <w:sz w:val="24"/>
          <w:szCs w:val="24"/>
          <w:lang w:val="ru-RU"/>
        </w:rPr>
        <w:t>психоактивные</w:t>
      </w:r>
      <w:proofErr w:type="spellEnd"/>
      <w:r w:rsidRPr="00D82EE9">
        <w:rPr>
          <w:color w:val="000000" w:themeColor="text1"/>
          <w:sz w:val="24"/>
          <w:szCs w:val="24"/>
          <w:lang w:val="ru-RU"/>
        </w:rPr>
        <w:t xml:space="preserve"> вещества.</w:t>
      </w:r>
    </w:p>
    <w:p w:rsidR="00D82EE9" w:rsidRDefault="00D82EE9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D82EE9">
        <w:rPr>
          <w:color w:val="000000" w:themeColor="text1"/>
          <w:sz w:val="24"/>
          <w:szCs w:val="24"/>
          <w:lang w:val="ru-RU"/>
        </w:rPr>
        <w:t>По возможности, этот показатель дополнительно дезагрегируется по типу лечения (фармакологические, психосоциальные и реабилитационные, а та</w:t>
      </w:r>
      <w:r w:rsidR="00D3601C">
        <w:rPr>
          <w:color w:val="000000" w:themeColor="text1"/>
          <w:sz w:val="24"/>
          <w:szCs w:val="24"/>
          <w:lang w:val="ru-RU"/>
        </w:rPr>
        <w:t xml:space="preserve">кже послеоперационные услуги). </w:t>
      </w:r>
      <w:proofErr w:type="gramStart"/>
      <w:r w:rsidR="00D3601C" w:rsidRPr="00D3601C">
        <w:rPr>
          <w:color w:val="000000" w:themeColor="text1"/>
          <w:sz w:val="24"/>
          <w:szCs w:val="24"/>
          <w:lang w:val="ru-RU"/>
        </w:rPr>
        <w:t>Показатель сопровождается и может анализироваться вместе с контекстной информацией, такой как распространенность расстройств, вызванных употреблением алкоголя и наркотиков, и охват доступности, т. е. Индекс возможностей оказания услуг при расстройствах, вызванных употреблением психоактивных веществ (SCI-SUD)</w:t>
      </w:r>
      <w:r w:rsidR="00D3601C">
        <w:rPr>
          <w:rStyle w:val="a6"/>
          <w:color w:val="000000" w:themeColor="text1"/>
          <w:sz w:val="24"/>
          <w:szCs w:val="24"/>
          <w:lang w:val="ru-RU"/>
        </w:rPr>
        <w:footnoteReference w:id="1"/>
      </w:r>
      <w:r w:rsidR="00D3601C" w:rsidRPr="00D3601C">
        <w:rPr>
          <w:color w:val="000000" w:themeColor="text1"/>
          <w:sz w:val="24"/>
          <w:szCs w:val="24"/>
          <w:lang w:val="ru-RU"/>
        </w:rPr>
        <w:t>, который отражает способность национальных систем здравоохранения обеспечить лечение расстройства, связанные с употреблением психоактивных веществ (алкоголя, наркотиков и других психоактивных веществ), в отношении доли (%) доступных элементов системы</w:t>
      </w:r>
      <w:proofErr w:type="gramEnd"/>
      <w:r w:rsidR="00D3601C" w:rsidRPr="00D3601C">
        <w:rPr>
          <w:color w:val="000000" w:themeColor="text1"/>
          <w:sz w:val="24"/>
          <w:szCs w:val="24"/>
          <w:lang w:val="ru-RU"/>
        </w:rPr>
        <w:t xml:space="preserve"> здравоохранения в данной стране от теоретического максимума.</w:t>
      </w:r>
    </w:p>
    <w:p w:rsidR="00D3601C" w:rsidRDefault="00D3601C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</w:p>
    <w:p w:rsidR="00DA19D7" w:rsidRPr="00D82EE9" w:rsidRDefault="003859BD" w:rsidP="00D127E7">
      <w:pPr>
        <w:pStyle w:val="MText"/>
        <w:spacing w:after="120"/>
        <w:rPr>
          <w:b/>
          <w:color w:val="000000" w:themeColor="text1"/>
          <w:sz w:val="24"/>
          <w:szCs w:val="24"/>
          <w:lang w:val="ru-RU"/>
        </w:rPr>
      </w:pPr>
      <w:r w:rsidRPr="00D82EE9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D3601C">
        <w:rPr>
          <w:b/>
          <w:color w:val="000000" w:themeColor="text1"/>
          <w:sz w:val="24"/>
          <w:szCs w:val="24"/>
          <w:lang w:val="ru-RU"/>
        </w:rPr>
        <w:t>:</w:t>
      </w:r>
    </w:p>
    <w:p w:rsidR="00D82EE9" w:rsidRPr="00D82EE9" w:rsidRDefault="00D82EE9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D82EE9">
        <w:rPr>
          <w:color w:val="000000" w:themeColor="text1"/>
          <w:sz w:val="24"/>
          <w:szCs w:val="24"/>
          <w:lang w:val="ru-RU"/>
        </w:rPr>
        <w:t>Центральное понятие «зависимость от психоактивных веществ» в целевой задаче 3.5 ЦУР в области здравоохранения подразумевает использование психоактивных веществ, которые при приеме внутрь или введении в чей-то организм влияют на психические процессы, например, восприятие, сознание, познание или аффект. Понятие «расстройства, вызванные употреблением психоактивных веществ» включает как «расстройства, вызванные употреблением наркотиков», так и «расстройства, вызванные употреблением алкоголя» в соответствии с Международной классификацией болезней (МКБ-10 и МКБ-11)</w:t>
      </w:r>
      <w:r w:rsidR="00340B0C">
        <w:rPr>
          <w:rStyle w:val="a6"/>
          <w:color w:val="000000" w:themeColor="text1"/>
          <w:sz w:val="24"/>
          <w:szCs w:val="24"/>
          <w:lang w:val="ru-RU"/>
        </w:rPr>
        <w:footnoteReference w:id="2"/>
      </w:r>
      <w:r w:rsidRPr="00D82EE9">
        <w:rPr>
          <w:color w:val="000000" w:themeColor="text1"/>
          <w:sz w:val="24"/>
          <w:szCs w:val="24"/>
          <w:lang w:val="ru-RU"/>
        </w:rPr>
        <w:t>.</w:t>
      </w:r>
    </w:p>
    <w:p w:rsidR="00D82EE9" w:rsidRPr="00D82EE9" w:rsidRDefault="00D82EE9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D82EE9">
        <w:rPr>
          <w:color w:val="000000" w:themeColor="text1"/>
          <w:sz w:val="24"/>
          <w:szCs w:val="24"/>
          <w:lang w:val="ru-RU"/>
        </w:rPr>
        <w:t xml:space="preserve">Термин «наркотики» относится к контролируемым </w:t>
      </w:r>
      <w:proofErr w:type="spellStart"/>
      <w:r w:rsidRPr="00D82EE9">
        <w:rPr>
          <w:color w:val="000000" w:themeColor="text1"/>
          <w:sz w:val="24"/>
          <w:szCs w:val="24"/>
          <w:lang w:val="ru-RU"/>
        </w:rPr>
        <w:t>психоактивным</w:t>
      </w:r>
      <w:proofErr w:type="spellEnd"/>
      <w:r w:rsidRPr="00D82EE9">
        <w:rPr>
          <w:color w:val="000000" w:themeColor="text1"/>
          <w:sz w:val="24"/>
          <w:szCs w:val="24"/>
          <w:lang w:val="ru-RU"/>
        </w:rPr>
        <w:t xml:space="preserve"> веществам, что предусмотрено тремя конвенциями о контроле над наркотиками (1961, 1971 и 1988 годы), к веществам, контролируемым в соответствии с национальным законодательством, и новым </w:t>
      </w:r>
      <w:proofErr w:type="spellStart"/>
      <w:r w:rsidRPr="00D82EE9">
        <w:rPr>
          <w:color w:val="000000" w:themeColor="text1"/>
          <w:sz w:val="24"/>
          <w:szCs w:val="24"/>
          <w:lang w:val="ru-RU"/>
        </w:rPr>
        <w:t>психоактивным</w:t>
      </w:r>
      <w:proofErr w:type="spellEnd"/>
      <w:r w:rsidRPr="00D82EE9">
        <w:rPr>
          <w:color w:val="000000" w:themeColor="text1"/>
          <w:sz w:val="24"/>
          <w:szCs w:val="24"/>
          <w:lang w:val="ru-RU"/>
        </w:rPr>
        <w:t xml:space="preserve"> веществам (НПВ), которые не контролируются в соответствии с конвенциями, но могут представлять собой угрозу общественному здоровью. </w:t>
      </w:r>
      <w:r w:rsidR="00340B0C" w:rsidRPr="00340B0C">
        <w:rPr>
          <w:color w:val="000000" w:themeColor="text1"/>
          <w:sz w:val="24"/>
          <w:szCs w:val="24"/>
          <w:lang w:val="ru-RU"/>
        </w:rPr>
        <w:t>«Алкоголь» относится к этанолу – психоактивному веществу, обладающему свойствами вызывать зависимость, которое употребляется в составе алкогольных напитков на о</w:t>
      </w:r>
      <w:r w:rsidR="00340B0C">
        <w:rPr>
          <w:color w:val="000000" w:themeColor="text1"/>
          <w:sz w:val="24"/>
          <w:szCs w:val="24"/>
          <w:lang w:val="ru-RU"/>
        </w:rPr>
        <w:t>снове этанола или их суррогатов</w:t>
      </w:r>
      <w:r w:rsidRPr="00D82EE9">
        <w:rPr>
          <w:color w:val="000000" w:themeColor="text1"/>
          <w:sz w:val="24"/>
          <w:szCs w:val="24"/>
          <w:lang w:val="ru-RU"/>
        </w:rPr>
        <w:t>.</w:t>
      </w:r>
    </w:p>
    <w:p w:rsidR="00D82EE9" w:rsidRPr="00D82EE9" w:rsidRDefault="00D82EE9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D82EE9">
        <w:rPr>
          <w:color w:val="000000" w:themeColor="text1"/>
          <w:sz w:val="24"/>
          <w:szCs w:val="24"/>
          <w:lang w:val="ru-RU"/>
        </w:rPr>
        <w:t>Люди с расстройствами, вызванными употре</w:t>
      </w:r>
      <w:r w:rsidR="00D127E7">
        <w:rPr>
          <w:color w:val="000000" w:themeColor="text1"/>
          <w:sz w:val="24"/>
          <w:szCs w:val="24"/>
          <w:lang w:val="ru-RU"/>
        </w:rPr>
        <w:t>блением психоактивных веществ –</w:t>
      </w:r>
      <w:r w:rsidRPr="00D82EE9">
        <w:rPr>
          <w:color w:val="000000" w:themeColor="text1"/>
          <w:sz w:val="24"/>
          <w:szCs w:val="24"/>
          <w:lang w:val="ru-RU"/>
        </w:rPr>
        <w:t xml:space="preserve"> это люди, употребляющие вредные </w:t>
      </w:r>
      <w:r w:rsidR="00D127E7">
        <w:rPr>
          <w:color w:val="000000" w:themeColor="text1"/>
          <w:sz w:val="24"/>
          <w:szCs w:val="24"/>
          <w:lang w:val="ru-RU"/>
        </w:rPr>
        <w:t>вещества и/</w:t>
      </w:r>
      <w:r w:rsidRPr="00D82EE9">
        <w:rPr>
          <w:color w:val="000000" w:themeColor="text1"/>
          <w:sz w:val="24"/>
          <w:szCs w:val="24"/>
          <w:lang w:val="ru-RU"/>
        </w:rPr>
        <w:t xml:space="preserve">или страдающие зависимостью от психоактивных веществ. Употребление вредных веществ определено в МКБ-11 как форма использования веществ, которая нанесла ущерб физическому или психическому здоровью человека или привела к поведению, которое может нанести вред здоровью других людей. Согласно МКБ-11, зависимость возникает от многократного или постоянного употребления психоактивных веществ. Характерной особенностью является сильное внутреннее стремление к употреблению </w:t>
      </w:r>
      <w:proofErr w:type="spellStart"/>
      <w:r w:rsidRPr="00D82EE9">
        <w:rPr>
          <w:color w:val="000000" w:themeColor="text1"/>
          <w:sz w:val="24"/>
          <w:szCs w:val="24"/>
          <w:lang w:val="ru-RU"/>
        </w:rPr>
        <w:t>психоактивного</w:t>
      </w:r>
      <w:proofErr w:type="spellEnd"/>
      <w:r w:rsidRPr="00D82EE9">
        <w:rPr>
          <w:color w:val="000000" w:themeColor="text1"/>
          <w:sz w:val="24"/>
          <w:szCs w:val="24"/>
          <w:lang w:val="ru-RU"/>
        </w:rPr>
        <w:t xml:space="preserve"> вещества, что проявляется в нарушении способности контролировать употребление, повышении приоритета использования над </w:t>
      </w:r>
      <w:r w:rsidRPr="00D82EE9">
        <w:rPr>
          <w:color w:val="000000" w:themeColor="text1"/>
          <w:sz w:val="24"/>
          <w:szCs w:val="24"/>
          <w:lang w:val="ru-RU"/>
        </w:rPr>
        <w:lastRenderedPageBreak/>
        <w:t>другими видами деятельности и продолжении употребления, несмотря на вред или негативные последствия.</w:t>
      </w:r>
    </w:p>
    <w:p w:rsidR="00D82EE9" w:rsidRPr="00D82EE9" w:rsidRDefault="00D127E7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D127E7">
        <w:rPr>
          <w:color w:val="000000" w:themeColor="text1"/>
          <w:sz w:val="24"/>
          <w:szCs w:val="24"/>
          <w:lang w:val="ru-RU"/>
        </w:rPr>
        <w:t xml:space="preserve">В этом контексте лечебные вмешательства при расстройствах, связанных с употреблением психоактивных веществ, включают любое структурированное вмешательство, специально направленное на а) снижение употребления психоактивных веществ и тяги к их употреблению; б) улучшить здоровье, благополучие и социальное функционирование пострадавшего человека и в) предотвратить будущий вред за счет снижения риска осложнений и рецидивов. Они могут включать фармакологическое лечение, психосоциальные вмешательства, реабилитацию и последующий уход. Все научно обоснованные методы лечения расстройств, вызванных употреблением психоактивных веществ, четко определены в документах ВОЗ и УНП ООН. Хотя употребление опасных веществ не включено в концепцию «расстройства, вызванного употреблением психоактивных веществ», такие модели употребления психоактивных веществ являются важными целями для профилактических мероприятий в системах здравоохранения, и такие вмешательства включены в общий объем комплексных мер реагирования системы здравоохранения на «злоупотребление </w:t>
      </w:r>
      <w:proofErr w:type="spellStart"/>
      <w:r w:rsidRPr="00D127E7">
        <w:rPr>
          <w:color w:val="000000" w:themeColor="text1"/>
          <w:sz w:val="24"/>
          <w:szCs w:val="24"/>
          <w:lang w:val="ru-RU"/>
        </w:rPr>
        <w:t>психоактивными</w:t>
      </w:r>
      <w:proofErr w:type="spellEnd"/>
      <w:r w:rsidRPr="00D127E7">
        <w:rPr>
          <w:color w:val="000000" w:themeColor="text1"/>
          <w:sz w:val="24"/>
          <w:szCs w:val="24"/>
          <w:lang w:val="ru-RU"/>
        </w:rPr>
        <w:t xml:space="preserve"> веществами»</w:t>
      </w:r>
      <w:r w:rsidR="004D0529">
        <w:rPr>
          <w:color w:val="000000" w:themeColor="text1"/>
          <w:sz w:val="24"/>
          <w:szCs w:val="24"/>
          <w:lang w:val="ru-RU"/>
        </w:rPr>
        <w:t>,</w:t>
      </w:r>
      <w:r w:rsidRPr="00D127E7">
        <w:rPr>
          <w:color w:val="000000" w:themeColor="text1"/>
          <w:sz w:val="24"/>
          <w:szCs w:val="24"/>
          <w:lang w:val="ru-RU"/>
        </w:rPr>
        <w:t xml:space="preserve"> как определено в показателе ЦУР 3.5.1.</w:t>
      </w:r>
    </w:p>
    <w:p w:rsidR="00D82EE9" w:rsidRPr="00D82EE9" w:rsidRDefault="004D0529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4D0529">
        <w:rPr>
          <w:color w:val="000000" w:themeColor="text1"/>
          <w:sz w:val="24"/>
          <w:szCs w:val="24"/>
          <w:lang w:val="ru-RU"/>
        </w:rPr>
        <w:t>Фармакологическое лечение относится к научно обоснованным вмешательствам, которые включают назначение фармакологических агентов или лека</w:t>
      </w:r>
      <w:proofErr w:type="gramStart"/>
      <w:r w:rsidRPr="004D0529">
        <w:rPr>
          <w:color w:val="000000" w:themeColor="text1"/>
          <w:sz w:val="24"/>
          <w:szCs w:val="24"/>
          <w:lang w:val="ru-RU"/>
        </w:rPr>
        <w:t>рств в к</w:t>
      </w:r>
      <w:proofErr w:type="gramEnd"/>
      <w:r w:rsidRPr="004D0529">
        <w:rPr>
          <w:color w:val="000000" w:themeColor="text1"/>
          <w:sz w:val="24"/>
          <w:szCs w:val="24"/>
          <w:lang w:val="ru-RU"/>
        </w:rPr>
        <w:t xml:space="preserve">онтексте различных методов лечения и вмешательств, включая ведение синдрома отмены; лечение расстройств, вызванных употреблением алкоголя, 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баклофеном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налтрексоном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акампросатом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дисульфирамом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>; лечение опиоидной зависимости с помощью опиоидных агонистов (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метадон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бупренорфин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>) и антагонистов (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налтрексон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 xml:space="preserve">); а также профилактика и лечение передозировки 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опиоидами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 xml:space="preserve"> с помощью 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налоксона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 xml:space="preserve"> (Международные стандарты ВОЗ/УНП ООН по лечению расстройств, связанных с употреблением наркотиков</w:t>
      </w:r>
      <w:r>
        <w:rPr>
          <w:rStyle w:val="a6"/>
          <w:color w:val="000000" w:themeColor="text1"/>
          <w:sz w:val="24"/>
          <w:szCs w:val="24"/>
          <w:lang w:val="ru-RU"/>
        </w:rPr>
        <w:footnoteReference w:id="3"/>
      </w:r>
      <w:r w:rsidRPr="004D0529">
        <w:rPr>
          <w:color w:val="000000" w:themeColor="text1"/>
          <w:sz w:val="24"/>
          <w:szCs w:val="24"/>
          <w:lang w:val="ru-RU"/>
        </w:rPr>
        <w:t>, 2020 г. и Руководство Программы ВОЗ по устранению пробелов в психическом здоровье (</w:t>
      </w:r>
      <w:proofErr w:type="spellStart"/>
      <w:r w:rsidRPr="004D0529">
        <w:rPr>
          <w:color w:val="000000" w:themeColor="text1"/>
          <w:sz w:val="24"/>
          <w:szCs w:val="24"/>
          <w:lang w:val="ru-RU"/>
        </w:rPr>
        <w:t>mhGAP</w:t>
      </w:r>
      <w:proofErr w:type="spellEnd"/>
      <w:r w:rsidRPr="004D0529">
        <w:rPr>
          <w:color w:val="000000" w:themeColor="text1"/>
          <w:sz w:val="24"/>
          <w:szCs w:val="24"/>
          <w:lang w:val="ru-RU"/>
        </w:rPr>
        <w:t>) в отношении психических, неврологических расстройств и расстройств, вызванных употреблением психоактивных веществ, 2023 г.</w:t>
      </w:r>
      <w:r>
        <w:rPr>
          <w:rStyle w:val="a6"/>
          <w:color w:val="000000" w:themeColor="text1"/>
          <w:sz w:val="24"/>
          <w:szCs w:val="24"/>
          <w:lang w:val="ru-RU"/>
        </w:rPr>
        <w:footnoteReference w:id="4"/>
      </w:r>
      <w:r w:rsidRPr="004D0529">
        <w:rPr>
          <w:color w:val="000000" w:themeColor="text1"/>
          <w:sz w:val="24"/>
          <w:szCs w:val="24"/>
          <w:lang w:val="ru-RU"/>
        </w:rPr>
        <w:t>).</w:t>
      </w:r>
    </w:p>
    <w:p w:rsidR="00D82EE9" w:rsidRPr="00D82EE9" w:rsidRDefault="00D82EE9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D82EE9">
        <w:rPr>
          <w:color w:val="000000" w:themeColor="text1"/>
          <w:sz w:val="24"/>
          <w:szCs w:val="24"/>
          <w:lang w:val="ru-RU"/>
        </w:rPr>
        <w:t xml:space="preserve">Под психосоциальными мерами понимаются программы, которые касаются мотивационных, поведенческих, психологических, социальных и экологических факторов, связанных с употреблением психоактивных веществ, и было показано, что они снижают употребление наркотиков, способствуют воздержанию и предотвращают рецидив. В отношении различных расстройств, вызванных употреблением наркотиков, данные клинических испытаний подтверждают эффективность планирования лечения, скрининга, консультирования, групп взаимной поддержки, </w:t>
      </w:r>
      <w:proofErr w:type="spellStart"/>
      <w:r w:rsidRPr="00D82EE9">
        <w:rPr>
          <w:color w:val="000000" w:themeColor="text1"/>
          <w:sz w:val="24"/>
          <w:szCs w:val="24"/>
          <w:lang w:val="ru-RU"/>
        </w:rPr>
        <w:t>когнитивно</w:t>
      </w:r>
      <w:proofErr w:type="spellEnd"/>
      <w:r w:rsidRPr="00D82EE9">
        <w:rPr>
          <w:color w:val="000000" w:themeColor="text1"/>
          <w:sz w:val="24"/>
          <w:szCs w:val="24"/>
          <w:lang w:val="ru-RU"/>
        </w:rPr>
        <w:t>-поведенческой терапии (CBT), мотивационного консультирования (MI), подхода к укреплению сообщества (CRA), терапии повышения мотивации (MET), методов семейной терапии (FT), управления непредвиденными обстоятельствами (CM), консультирования, ориентированного на понимание методов лечения, жилищной поддержки и поддержки занятости. (УНП ООН ВОЗ Международные стандарты лечения заболеваний, связанных с употреблением наркотиков, 2016 г.).</w:t>
      </w:r>
    </w:p>
    <w:p w:rsidR="00D82EE9" w:rsidRPr="00DA19D7" w:rsidRDefault="00D82EE9" w:rsidP="00D127E7">
      <w:pPr>
        <w:pStyle w:val="MText"/>
        <w:spacing w:after="120"/>
        <w:rPr>
          <w:color w:val="000000" w:themeColor="text1"/>
          <w:sz w:val="24"/>
          <w:szCs w:val="24"/>
          <w:lang w:val="ru-RU"/>
        </w:rPr>
      </w:pPr>
      <w:r w:rsidRPr="00D82EE9">
        <w:rPr>
          <w:color w:val="000000" w:themeColor="text1"/>
          <w:sz w:val="24"/>
          <w:szCs w:val="24"/>
          <w:lang w:val="ru-RU"/>
        </w:rPr>
        <w:lastRenderedPageBreak/>
        <w:t xml:space="preserve">Под </w:t>
      </w:r>
      <w:r w:rsidRPr="00236A91">
        <w:rPr>
          <w:color w:val="000000" w:themeColor="text1"/>
          <w:sz w:val="24"/>
          <w:szCs w:val="24"/>
          <w:u w:val="single"/>
          <w:lang w:val="ru-RU"/>
        </w:rPr>
        <w:t>реабилитацией и последующим уходом</w:t>
      </w:r>
      <w:r w:rsidRPr="00D82EE9">
        <w:rPr>
          <w:color w:val="000000" w:themeColor="text1"/>
          <w:sz w:val="24"/>
          <w:szCs w:val="24"/>
          <w:lang w:val="ru-RU"/>
        </w:rPr>
        <w:t xml:space="preserve"> (управлением деятельностью по восстановлению и социальной поддержкой) понимаются меры, научно-обоснованные и направленные на процесс реабилитации, восстановления и социальной </w:t>
      </w:r>
      <w:proofErr w:type="spellStart"/>
      <w:r w:rsidRPr="00D82EE9">
        <w:rPr>
          <w:color w:val="000000" w:themeColor="text1"/>
          <w:sz w:val="24"/>
          <w:szCs w:val="24"/>
          <w:lang w:val="ru-RU"/>
        </w:rPr>
        <w:t>реинтеграции</w:t>
      </w:r>
      <w:proofErr w:type="spellEnd"/>
      <w:r w:rsidRPr="00D82EE9">
        <w:rPr>
          <w:color w:val="000000" w:themeColor="text1"/>
          <w:sz w:val="24"/>
          <w:szCs w:val="24"/>
          <w:lang w:val="ru-RU"/>
        </w:rPr>
        <w:t>, предназначенные для лечения расстройств, вызванных употреблением наркотиков.</w:t>
      </w:r>
    </w:p>
    <w:p w:rsidR="00407E4E" w:rsidRDefault="00407E4E" w:rsidP="00D82EE9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236A91" w:rsidRPr="00236A91" w:rsidRDefault="00236A91" w:rsidP="00D82EE9">
      <w:pPr>
        <w:pStyle w:val="MHeader2"/>
        <w:rPr>
          <w:color w:val="auto"/>
          <w:sz w:val="24"/>
          <w:szCs w:val="24"/>
          <w:lang w:val="ru-RU"/>
        </w:rPr>
      </w:pPr>
      <w:r w:rsidRPr="00236A91">
        <w:rPr>
          <w:color w:val="auto"/>
          <w:sz w:val="24"/>
          <w:szCs w:val="24"/>
          <w:lang w:val="ru-RU"/>
        </w:rPr>
        <w:t>Процент</w:t>
      </w:r>
      <w:proofErr w:type="gramStart"/>
      <w:r w:rsidRPr="00236A91">
        <w:rPr>
          <w:color w:val="auto"/>
          <w:sz w:val="24"/>
          <w:szCs w:val="24"/>
          <w:lang w:val="ru-RU"/>
        </w:rPr>
        <w:t xml:space="preserve"> (%)</w:t>
      </w:r>
      <w:proofErr w:type="gramEnd"/>
    </w:p>
    <w:p w:rsidR="000A229E" w:rsidRDefault="000A229E" w:rsidP="00D82EE9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236A91" w:rsidRPr="00236A91" w:rsidRDefault="00236A91" w:rsidP="00D82EE9">
      <w:pPr>
        <w:pStyle w:val="MHeader2"/>
        <w:rPr>
          <w:color w:val="auto"/>
          <w:sz w:val="24"/>
          <w:szCs w:val="24"/>
          <w:lang w:val="ru-RU"/>
        </w:rPr>
      </w:pPr>
      <w:r w:rsidRPr="00236A91">
        <w:rPr>
          <w:color w:val="auto"/>
          <w:sz w:val="24"/>
          <w:szCs w:val="24"/>
          <w:lang w:val="ru-RU"/>
        </w:rPr>
        <w:t>Международная статистическая классификация болезней и проблем, связанных со здоровьем (МКБ)</w:t>
      </w:r>
      <w:r>
        <w:rPr>
          <w:rStyle w:val="a6"/>
          <w:color w:val="auto"/>
          <w:sz w:val="24"/>
          <w:szCs w:val="24"/>
          <w:lang w:val="ru-RU"/>
        </w:rPr>
        <w:footnoteReference w:id="5"/>
      </w:r>
      <w:r w:rsidRPr="00236A91">
        <w:rPr>
          <w:color w:val="auto"/>
          <w:sz w:val="24"/>
          <w:szCs w:val="24"/>
          <w:lang w:val="ru-RU"/>
        </w:rPr>
        <w:t>, используется для определения расстройств, связанных с употреблением психоактивных веществ, как наркотиков, так и алкоголя.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D82EE9" w:rsidRPr="00D82EE9" w:rsidRDefault="00D82EE9" w:rsidP="00D82EE9">
      <w:pPr>
        <w:spacing w:after="0"/>
      </w:pPr>
      <w:r w:rsidRPr="00D82EE9">
        <w:t>Источники включают:</w:t>
      </w:r>
    </w:p>
    <w:p w:rsidR="00D82EE9" w:rsidRPr="00D82EE9" w:rsidRDefault="00D82EE9" w:rsidP="00560A09">
      <w:pPr>
        <w:pStyle w:val="ab"/>
        <w:numPr>
          <w:ilvl w:val="0"/>
          <w:numId w:val="7"/>
        </w:numPr>
        <w:spacing w:after="0"/>
      </w:pPr>
      <w:r w:rsidRPr="00D82EE9">
        <w:t>Обследования домашних хозяйств</w:t>
      </w:r>
    </w:p>
    <w:p w:rsidR="00D82EE9" w:rsidRPr="00D82EE9" w:rsidRDefault="00D82EE9" w:rsidP="00560A09">
      <w:pPr>
        <w:pStyle w:val="ab"/>
        <w:numPr>
          <w:ilvl w:val="0"/>
          <w:numId w:val="7"/>
        </w:numPr>
        <w:spacing w:after="0"/>
      </w:pPr>
      <w:r w:rsidRPr="00D82EE9">
        <w:t xml:space="preserve">Обследования среди людей, употребляющих наркотики </w:t>
      </w:r>
      <w:r w:rsidR="00560A09">
        <w:t>–</w:t>
      </w:r>
      <w:r w:rsidRPr="00D82EE9">
        <w:t xml:space="preserve"> с использованием, например, выборки по респондентам</w:t>
      </w:r>
    </w:p>
    <w:p w:rsidR="00D82EE9" w:rsidRPr="00D82EE9" w:rsidRDefault="00D82EE9" w:rsidP="00560A09">
      <w:pPr>
        <w:pStyle w:val="ab"/>
        <w:numPr>
          <w:ilvl w:val="0"/>
          <w:numId w:val="7"/>
        </w:numPr>
        <w:spacing w:after="0"/>
      </w:pPr>
      <w:r w:rsidRPr="00D82EE9">
        <w:t>Косвенные методы, та</w:t>
      </w:r>
      <w:r w:rsidR="00560A09">
        <w:t>кие как метод повторного отбора/</w:t>
      </w:r>
      <w:r w:rsidRPr="00D82EE9">
        <w:t>множительных коэффициентов и метод эталонных тестов.</w:t>
      </w:r>
    </w:p>
    <w:p w:rsidR="00D82EE9" w:rsidRPr="00D82EE9" w:rsidRDefault="00D82EE9" w:rsidP="00D82EE9">
      <w:pPr>
        <w:spacing w:after="0"/>
      </w:pPr>
      <w:r w:rsidRPr="00D82EE9">
        <w:t xml:space="preserve">Обследования должны быть национально репрезентативными, размер выборки должен быть достаточно большим, чтобы охватить соответствующие события и рассчитать </w:t>
      </w:r>
      <w:proofErr w:type="gramStart"/>
      <w:r w:rsidRPr="00D82EE9">
        <w:t>необходимую</w:t>
      </w:r>
      <w:proofErr w:type="gramEnd"/>
      <w:r w:rsidRPr="00D82EE9">
        <w:t xml:space="preserve"> дезагрегацию, и они должны основываться на надежной схеме выборки. Приветствуется использование косвенных вопросов для методов расширения сети в обследованиях домашних хозяйств.</w:t>
      </w:r>
    </w:p>
    <w:p w:rsidR="00560A09" w:rsidRDefault="00560A09" w:rsidP="00560A09">
      <w:pPr>
        <w:spacing w:after="0"/>
      </w:pPr>
      <w:r>
        <w:t>Когда данные на национальном уровне недоступны, оценки числа людей с расстройствами, вызванными употреблением наркотиков, производятся Институтом показа</w:t>
      </w:r>
      <w:r>
        <w:t xml:space="preserve">телей и оценки здоровья (IHME) </w:t>
      </w:r>
      <w:r>
        <w:t>и опубликованные в рамках исследования «Глобальное бремя болезней»</w:t>
      </w:r>
      <w:r>
        <w:t xml:space="preserve"> </w:t>
      </w:r>
      <w:r w:rsidRPr="00560A09">
        <w:t>(GBD)</w:t>
      </w:r>
      <w:r>
        <w:rPr>
          <w:rStyle w:val="a6"/>
        </w:rPr>
        <w:footnoteReference w:id="6"/>
      </w:r>
      <w:r>
        <w:t>, могут быть использованы в качестве знаменателя показателя.</w:t>
      </w:r>
    </w:p>
    <w:p w:rsidR="00D82EE9" w:rsidRPr="00D82EE9" w:rsidRDefault="00560A09" w:rsidP="00D82EE9">
      <w:pPr>
        <w:spacing w:after="0"/>
      </w:pPr>
      <w:r w:rsidRPr="00560A09">
        <w:t>Если данные на национальном уровне недоступны, для оценки можно использовать оценки числа людей с расстройствами, вызванными употреблением наркотиков, полученные Институтом показателей и оценки здоровья (IHME) и опубликованные в рамках исследования «Глобальное бремя болезней» (GBD)</w:t>
      </w:r>
      <w:proofErr w:type="gramStart"/>
      <w:r w:rsidRPr="00560A09">
        <w:t>.</w:t>
      </w:r>
      <w:proofErr w:type="gramEnd"/>
      <w:r w:rsidRPr="00560A09">
        <w:t xml:space="preserve"> </w:t>
      </w:r>
      <w:proofErr w:type="gramStart"/>
      <w:r w:rsidRPr="00560A09">
        <w:t>з</w:t>
      </w:r>
      <w:proofErr w:type="gramEnd"/>
      <w:r w:rsidRPr="00560A09">
        <w:t>наменатель показателя.</w:t>
      </w:r>
    </w:p>
    <w:p w:rsidR="00D82EE9" w:rsidRDefault="00D82EE9" w:rsidP="00D82EE9">
      <w:pPr>
        <w:spacing w:after="0"/>
      </w:pPr>
      <w:r w:rsidRPr="00D82EE9">
        <w:t>Для оценки числа людей с расстройствами, вызванными употреблением алкоголя, предпочтительными источниками данных являются обследования населения, ориентированные на взрослое население (15+ лет). Международные исследования, такие как WHS, STEPS, GENACIS и ECAS являются хорошими примерами.</w:t>
      </w:r>
    </w:p>
    <w:p w:rsidR="00236A91" w:rsidRPr="00BD29EC" w:rsidRDefault="00236A91" w:rsidP="00D82EE9">
      <w:pPr>
        <w:spacing w:after="0"/>
      </w:pP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2472F3" w:rsidRPr="002472F3" w:rsidRDefault="002472F3" w:rsidP="002472F3">
      <w:r w:rsidRPr="002472F3">
        <w:t>ВОЗ и УНП ООН будут использовать существующие наборы данных для сбора имеющихся статистических данных по государствам-членам:</w:t>
      </w:r>
    </w:p>
    <w:p w:rsidR="00560A09" w:rsidRDefault="00560A09" w:rsidP="00560A09">
      <w:pPr>
        <w:pStyle w:val="ab"/>
        <w:numPr>
          <w:ilvl w:val="0"/>
          <w:numId w:val="8"/>
        </w:numPr>
      </w:pPr>
      <w:r w:rsidRPr="00560A09">
        <w:lastRenderedPageBreak/>
        <w:t>Анкета к годовому отчету УНП ООН</w:t>
      </w:r>
      <w:r>
        <w:t>;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Глобальное обследование ВОЗ о прогрессе в достижении ЦУР в области здравоохранения цель 3.5.</w:t>
      </w:r>
    </w:p>
    <w:p w:rsidR="002472F3" w:rsidRPr="00560A09" w:rsidRDefault="002472F3" w:rsidP="00C17EF1">
      <w:pPr>
        <w:spacing w:after="120"/>
        <w:rPr>
          <w:b/>
        </w:rPr>
      </w:pPr>
      <w:r w:rsidRPr="00560A09">
        <w:rPr>
          <w:b/>
        </w:rPr>
        <w:t>Наркотики: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Данные о людях с расстройствами, вызванными употреблением наркотиков, и количестве людей, проходящих лечение, собираются с помощью стандартизированной анкеты, разосланной в страны, Вопросника к ежегодному докладу (ARQ). Этот вопросник содержит конкретные определения данных, которые должны быть предоставлены, и собирает набор метаданных для выявления возможных расхождений со стандартными определениями и для оценки общего качества данных (например, размер выборки, целевая группа, агентство, от</w:t>
      </w:r>
      <w:r w:rsidR="00C17EF1">
        <w:t>ветственное за сбор данных и т.</w:t>
      </w:r>
      <w:r w:rsidRPr="002472F3">
        <w:t>д.). На национальном уровне страны должны иметь стандартизированную систему отчетности в лечебных учреждениях.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Пересмотренный ARQ будет использоваться с 2021 года. Данные о расстройствах, вызванных употреблением наркотиков, и о лечении, с соответствующей дезагрегацией, будут и далее собираться с помощью этого инструмента.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Странам будет предложено назначить национальные координационные центры для обеспечения технического надзора на страновом уровне.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Имеются автоматизированные и основные процедуры проверки для оценки согласованности данных и соответствия стандартам.</w:t>
      </w:r>
    </w:p>
    <w:p w:rsidR="002472F3" w:rsidRPr="00C17EF1" w:rsidRDefault="002472F3" w:rsidP="00560A09">
      <w:pPr>
        <w:pStyle w:val="ab"/>
        <w:numPr>
          <w:ilvl w:val="0"/>
          <w:numId w:val="8"/>
        </w:numPr>
        <w:rPr>
          <w:b/>
        </w:rPr>
      </w:pPr>
      <w:r w:rsidRPr="002472F3">
        <w:t xml:space="preserve">Если данные из национальных официальных источников отсутствуют или не соответствуют методологическим стандартам, данные из других источников также рассматриваются и обрабатываются с использованием тех же процедур </w:t>
      </w:r>
      <w:r w:rsidRPr="00C17EF1">
        <w:rPr>
          <w:b/>
        </w:rPr>
        <w:t>обеспечения качества.</w:t>
      </w:r>
    </w:p>
    <w:p w:rsidR="002472F3" w:rsidRPr="00C17EF1" w:rsidRDefault="002472F3" w:rsidP="00C17EF1">
      <w:pPr>
        <w:spacing w:after="120"/>
        <w:rPr>
          <w:b/>
        </w:rPr>
      </w:pPr>
      <w:r w:rsidRPr="00C17EF1">
        <w:rPr>
          <w:b/>
        </w:rPr>
        <w:t>Алкоголь и другие вещества: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В периодических глобальных обзорах ВОЗ по проблемам алкоголя и здоровья, координационные центры по алкоголю, официально назначенные Министерством здравоохранения, предоставляют данные или ссылки или контакты, через которые можно получить доступ к данным.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Эти координационные центры предоставляют статистику национального правительства.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 xml:space="preserve">Кроме того, данные берутся из отраслевых </w:t>
      </w:r>
      <w:proofErr w:type="gramStart"/>
      <w:r w:rsidRPr="002472F3">
        <w:t>источников</w:t>
      </w:r>
      <w:proofErr w:type="gramEnd"/>
      <w:r w:rsidRPr="002472F3">
        <w:t xml:space="preserve"> данных по конкретной стране в открытом доступе и других баз данных, а также из систематических обзоров литературы.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 xml:space="preserve">Деятельность ВОЗ по </w:t>
      </w:r>
      <w:proofErr w:type="gramStart"/>
      <w:r w:rsidRPr="002472F3">
        <w:t>глобальному</w:t>
      </w:r>
      <w:proofErr w:type="gramEnd"/>
      <w:r w:rsidRPr="002472F3">
        <w:t xml:space="preserve"> </w:t>
      </w:r>
      <w:proofErr w:type="spellStart"/>
      <w:r w:rsidRPr="002472F3">
        <w:t>эпиднадзору</w:t>
      </w:r>
      <w:proofErr w:type="spellEnd"/>
      <w:r w:rsidRPr="002472F3">
        <w:t xml:space="preserve"> позволяет получать данные о населении по странам, которые используются для оценки числа людей с расстройствами, вызванными употреблением психоактивных веществ, среди групп населения (например, Всемирное обследование охраны психического здоровья и обследования STEPS)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 xml:space="preserve">Данные об использовании услуг и контекстуальная информация собираются Глобальным обследованием ВОЗ по ЦУР 3.5, который был ранее опробован, и в </w:t>
      </w:r>
      <w:r w:rsidRPr="002472F3">
        <w:lastRenderedPageBreak/>
        <w:t>рамках конкретных мероприятий, такие как обследования по картированию услуг, проводимые в сотрудничестве с УНП ООН</w:t>
      </w:r>
    </w:p>
    <w:p w:rsidR="002472F3" w:rsidRPr="002472F3" w:rsidRDefault="002472F3" w:rsidP="00560A09">
      <w:pPr>
        <w:pStyle w:val="ab"/>
        <w:numPr>
          <w:ilvl w:val="0"/>
          <w:numId w:val="8"/>
        </w:numPr>
      </w:pPr>
      <w:r w:rsidRPr="002472F3">
        <w:t>Собранные, сопоставленные и проанализированные данные включены в процесс консультаций со странами.</w:t>
      </w:r>
    </w:p>
    <w:p w:rsidR="002472F3" w:rsidRPr="00BD29EC" w:rsidRDefault="002472F3" w:rsidP="002472F3">
      <w:r w:rsidRPr="002472F3">
        <w:t>После процесса проверки данные будут отправлены национальным координационным центрам для проверки перед публикацией.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B04E4E" w:rsidRPr="00BD29EC" w:rsidRDefault="00B04E4E" w:rsidP="00B04E4E">
      <w:r w:rsidRPr="00B04E4E">
        <w:t>Странам рекомендуется проводить общие обследования населения на предмет употребления психоактивных веществ регулярно, но не реже одного раза в четыре-пять лет. Кроме того, странам рекомендуется использовать менее затратные альтернативы для оценки числа людей с расстройствами, связанными с употреблением психоактивных веществ, и обращения за услугами, пользуясь доступностью административных данных посредством использования методов косвенной оценки. Сбор данных из стран планируется ежегодно или раз в два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B04E4E" w:rsidRPr="00BD29EC" w:rsidRDefault="00B04E4E" w:rsidP="00B04E4E">
      <w:r w:rsidRPr="00B04E4E">
        <w:t>Данные по соответствующим показателям ЦУР ежегодно собираются, компилируются и отправляются обратно в страны для анализа данных. Затем данные ежегодно передаются в СОООН по обычным каналам отчетности.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B04E4E" w:rsidRPr="00A71EC6" w:rsidRDefault="00B04E4E" w:rsidP="00B04E4E">
      <w:r w:rsidRPr="00B04E4E">
        <w:t xml:space="preserve">Данные о расстройствах, связанных с употреблением наркотиков, собираются через национальные координационные центры. Поставщики данных различаются в зависимости от страны, и ими могут быть такие учреждения, как агентства по </w:t>
      </w:r>
      <w:proofErr w:type="gramStart"/>
      <w:r w:rsidRPr="00B04E4E">
        <w:t>контролю за</w:t>
      </w:r>
      <w:proofErr w:type="gramEnd"/>
      <w:r w:rsidRPr="00B04E4E">
        <w:t xml:space="preserve"> наркотиками, национальные обсерватории по наркотикам, министерства здравоохранения и/или национальные статистические управления.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5B5D94" w:rsidRPr="00BD29EC" w:rsidRDefault="005B5D94" w:rsidP="005B5D94">
      <w:r w:rsidRPr="005B5D94">
        <w:t>Данные будут собраны со-</w:t>
      </w:r>
      <w:r>
        <w:t>кураторами</w:t>
      </w:r>
      <w:r w:rsidRPr="005B5D94">
        <w:t xml:space="preserve"> этого показателя (УНП ООН и ВОЗ).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Default="00C03ED3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C03ED3">
        <w:rPr>
          <w:rFonts w:cs="Times New Roman"/>
          <w:szCs w:val="24"/>
        </w:rPr>
        <w:t>Управление Организации Объединенных Наций по наркотикам и преступности (УНП ООН) является мировым лидером в борьбе с незаконным оборотом наркотиков, транснациональной организованной преступностью, терроризмом и коррупцией, а также является хранителем большинства соответствующих конвенций, в частности:</w:t>
      </w:r>
    </w:p>
    <w:p w:rsidR="00476FE4" w:rsidRPr="00476FE4" w:rsidRDefault="00476FE4" w:rsidP="00476FE4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476FE4">
        <w:rPr>
          <w:rFonts w:cs="Times New Roman"/>
          <w:szCs w:val="24"/>
        </w:rPr>
        <w:t>Конвенция Организации Объединенных Наций против транснациональной организованной преступности и три протокола к ней (против торговли людьми, контрабанды мигрантов и торговли огнестрельным оружием).</w:t>
      </w:r>
    </w:p>
    <w:p w:rsidR="00476FE4" w:rsidRPr="00476FE4" w:rsidRDefault="00476FE4" w:rsidP="00476FE4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476FE4">
        <w:rPr>
          <w:rFonts w:cs="Times New Roman"/>
          <w:szCs w:val="24"/>
        </w:rPr>
        <w:t>Конвенция ООН против коррупции</w:t>
      </w:r>
    </w:p>
    <w:p w:rsidR="00C03ED3" w:rsidRPr="00476FE4" w:rsidRDefault="00476FE4" w:rsidP="00476FE4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476FE4">
        <w:rPr>
          <w:rFonts w:cs="Times New Roman"/>
          <w:szCs w:val="24"/>
        </w:rPr>
        <w:t>Международные конвенции по контролю над наркотиками</w:t>
      </w:r>
    </w:p>
    <w:p w:rsidR="00476FE4" w:rsidRDefault="00476FE4" w:rsidP="00476F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476FE4" w:rsidRDefault="00476FE4" w:rsidP="00476F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476FE4" w:rsidRPr="00476FE4" w:rsidRDefault="00476FE4" w:rsidP="00476F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476FE4">
        <w:rPr>
          <w:rFonts w:cs="Times New Roman"/>
          <w:szCs w:val="24"/>
        </w:rPr>
        <w:lastRenderedPageBreak/>
        <w:t xml:space="preserve">В соответствии с тремя </w:t>
      </w:r>
      <w:hyperlink r:id="rId9" w:history="1">
        <w:r>
          <w:rPr>
            <w:rStyle w:val="ad"/>
            <w:rFonts w:cs="Times New Roman"/>
            <w:szCs w:val="24"/>
          </w:rPr>
          <w:t>международными конвенциями по наркотикам</w:t>
        </w:r>
      </w:hyperlink>
      <w:r>
        <w:rPr>
          <w:rFonts w:cs="Times New Roman"/>
          <w:szCs w:val="24"/>
        </w:rPr>
        <w:t xml:space="preserve"> </w:t>
      </w:r>
      <w:r w:rsidRPr="00476FE4">
        <w:rPr>
          <w:rFonts w:cs="Times New Roman"/>
          <w:szCs w:val="24"/>
        </w:rPr>
        <w:t>УНП ООН конкретно уполномочено собирать данные о наркотиках на ежегодной основе от государств-членов с помощью вопросника к годовому отчету (</w:t>
      </w:r>
      <w:r w:rsidRPr="00476FE4">
        <w:rPr>
          <w:rFonts w:cs="Times New Roman"/>
          <w:szCs w:val="24"/>
          <w:lang w:val="en-US"/>
        </w:rPr>
        <w:t>ARQ</w:t>
      </w:r>
      <w:r w:rsidRPr="00476FE4">
        <w:rPr>
          <w:rFonts w:cs="Times New Roman"/>
          <w:szCs w:val="24"/>
        </w:rPr>
        <w:t>)</w:t>
      </w:r>
      <w:r>
        <w:rPr>
          <w:rStyle w:val="a6"/>
          <w:rFonts w:cs="Times New Roman"/>
          <w:szCs w:val="24"/>
        </w:rPr>
        <w:footnoteReference w:id="7"/>
      </w:r>
      <w:r w:rsidRPr="00476FE4">
        <w:rPr>
          <w:rFonts w:cs="Times New Roman"/>
          <w:szCs w:val="24"/>
        </w:rPr>
        <w:t>. Кроме того, Конвенция о наркотических средствах (КНС) контролировала процесс последнего пересмотра ВЕД и одобрила вопросник на своей 63-й сессии в марте 2020 года</w:t>
      </w:r>
      <w:r>
        <w:rPr>
          <w:rStyle w:val="a6"/>
          <w:rFonts w:cs="Times New Roman"/>
          <w:szCs w:val="24"/>
        </w:rPr>
        <w:footnoteReference w:id="8"/>
      </w:r>
      <w:r w:rsidRPr="00476FE4">
        <w:rPr>
          <w:rFonts w:cs="Times New Roman"/>
          <w:szCs w:val="24"/>
        </w:rPr>
        <w:t>.</w:t>
      </w:r>
    </w:p>
    <w:p w:rsidR="00C03ED3" w:rsidRPr="00476FE4" w:rsidRDefault="009A344A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9A344A">
        <w:rPr>
          <w:rFonts w:cs="Times New Roman"/>
          <w:szCs w:val="24"/>
        </w:rPr>
        <w:t xml:space="preserve">Всемирная организация здравоохранения (ВОЗ) </w:t>
      </w:r>
      <w:r>
        <w:rPr>
          <w:rFonts w:cs="Times New Roman"/>
          <w:szCs w:val="24"/>
        </w:rPr>
        <w:t>–</w:t>
      </w:r>
      <w:r w:rsidRPr="009A344A">
        <w:rPr>
          <w:rFonts w:cs="Times New Roman"/>
          <w:szCs w:val="24"/>
        </w:rPr>
        <w:t xml:space="preserve"> специализированное учреждение ООН, отвечающее за международное общественное здравоохранение. Деятельность ВОЗ осуществляется в соответствии с миссией, изложенной в Тринадцатой общей программе работы Организации: укреплять здоровье, обеспечивать безопасность мира и служить уязвимым слоям населения. Она структурирована вокруг трех взаимосвязанных стратегических приоритетов (обеспечение здорового образа жизни и благополучия для всех в любом возрасте: достижение всеобщего охвата услугами здравоохранения, решение чрезвычайных ситуаций в области здравоохранения и содействие более здоровому населению) и шести основных функций ВОЗ: (1) Обеспечение лидерства в критически важных вопросах здоровью и участию в партнерских отношениях там, где необходимы совместные действия; (2) формирование программы исследований и стимулирование создания, перевода и распространения ценных знаний; (3) установление норм и стандартов, а также продвижение и мониторинг их реализации; (4) формулирование этических и научно обоснованных вариантов политики; (5) предоставление технической поддержки, стимулирование изменений и создание устойчивого институционального потенциала; и (6) мониторинг ситуации в области здравоохранения и оценка тенденций в области здравоохранения.</w:t>
      </w:r>
    </w:p>
    <w:p w:rsidR="00C03ED3" w:rsidRDefault="004A4176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4A4176">
        <w:rPr>
          <w:rFonts w:cs="Times New Roman"/>
          <w:szCs w:val="24"/>
        </w:rPr>
        <w:t xml:space="preserve">ВОЗ является одним из четырех договорных органов международных конвенций по контролю над наркотиками. Роль ВОЗ в рамках системы Организации Объединенных Наций в соответствии с конвенциями заключается в защите отдельных лиц и общества от вреда, вызванного употреблением наркотиков, а также в содействии мерам общественного здравоохранения для снижения вреда. ВОЗ уделяет особое внимание профилактике употребления психоактивных веществ (включая все </w:t>
      </w:r>
      <w:proofErr w:type="spellStart"/>
      <w:r w:rsidRPr="004A4176">
        <w:rPr>
          <w:rFonts w:cs="Times New Roman"/>
          <w:szCs w:val="24"/>
        </w:rPr>
        <w:t>психоактивные</w:t>
      </w:r>
      <w:proofErr w:type="spellEnd"/>
      <w:r w:rsidRPr="004A4176">
        <w:rPr>
          <w:rFonts w:cs="Times New Roman"/>
          <w:szCs w:val="24"/>
        </w:rPr>
        <w:t xml:space="preserve"> вещества), лечению расстройств, вызванных употреблением психоактивных веществ (включая как вредные формы употребления, так и зависимость), мониторингу тенденций в употреблении психоактивных веществ и их последствий для здоровья, профилактике и лечению связанных с ними медицинских и социальных состояний и проблемы общественного здравоохранения с целью снижения медицинского и социального бремени, связанного с употреблением психоактивных веществ. Помимо международных конвенций по наркотикам, работа ВОЗ, связанная с </w:t>
      </w:r>
      <w:proofErr w:type="spellStart"/>
      <w:r w:rsidRPr="004A4176">
        <w:rPr>
          <w:rFonts w:cs="Times New Roman"/>
          <w:szCs w:val="24"/>
        </w:rPr>
        <w:t>психоактивными</w:t>
      </w:r>
      <w:proofErr w:type="spellEnd"/>
      <w:r w:rsidRPr="004A4176">
        <w:rPr>
          <w:rFonts w:cs="Times New Roman"/>
          <w:szCs w:val="24"/>
        </w:rPr>
        <w:t xml:space="preserve"> веществами, регулируется Уставом ВОЗ и руководящими органами Организации (главным образом посредством резолюций Всемирной ассамблеи здравоохранения и региональных комитетов ВОЗ), таких как Глобальная </w:t>
      </w:r>
      <w:proofErr w:type="gramStart"/>
      <w:r w:rsidRPr="004A4176">
        <w:rPr>
          <w:rFonts w:cs="Times New Roman"/>
          <w:szCs w:val="24"/>
        </w:rPr>
        <w:t>программа</w:t>
      </w:r>
      <w:proofErr w:type="gramEnd"/>
      <w:r w:rsidRPr="004A4176">
        <w:rPr>
          <w:rFonts w:cs="Times New Roman"/>
          <w:szCs w:val="24"/>
        </w:rPr>
        <w:t xml:space="preserve"> ВОЗ по борьбе с алкоголем. План на 2022–2030 годы, одобренный</w:t>
      </w:r>
      <w:proofErr w:type="gramStart"/>
      <w:r w:rsidRPr="004A4176">
        <w:rPr>
          <w:rFonts w:cs="Times New Roman"/>
          <w:szCs w:val="24"/>
        </w:rPr>
        <w:t xml:space="preserve"> С</w:t>
      </w:r>
      <w:proofErr w:type="gramEnd"/>
      <w:r w:rsidRPr="004A4176">
        <w:rPr>
          <w:rFonts w:cs="Times New Roman"/>
          <w:szCs w:val="24"/>
        </w:rPr>
        <w:t>емьдесят пятой сессией Всемирной ассамблеи здравоохранения в мае 2022 года, направлен на эффективную реализацию глобальной стратегии по сокращению вредного употребления алкоголя как приоритета общественного здравоохранения.</w:t>
      </w:r>
    </w:p>
    <w:p w:rsidR="004A4176" w:rsidRPr="00476FE4" w:rsidRDefault="004A4176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5B5D94" w:rsidRPr="005B5D94" w:rsidRDefault="005B5D94" w:rsidP="005B5D94">
      <w:proofErr w:type="gramStart"/>
      <w:r w:rsidRPr="005B5D94">
        <w:t>По данным УНП ООН и ВОЗ, около 2</w:t>
      </w:r>
      <w:r w:rsidR="001A3578">
        <w:t>96</w:t>
      </w:r>
      <w:r w:rsidRPr="005B5D94">
        <w:t xml:space="preserve"> миллиона человек в возрасте от 15 до 64 лет во всем мире употребляли запрещенные наркотики как минимум один раз в 2017 году, около 2,3 миллиарда человек в настоящее время употребляют алкоголь, около 35 миллионов человек страдают от расстройств, вызванных употреблением наркотиков и 289 миллионов от расстройств, вызванных употреблением алкоголя.</w:t>
      </w:r>
      <w:proofErr w:type="gramEnd"/>
    </w:p>
    <w:p w:rsidR="005B5D94" w:rsidRPr="005B5D94" w:rsidRDefault="005B5D94" w:rsidP="005B5D94">
      <w:r w:rsidRPr="005B5D94">
        <w:t>Расстройства, вызванные употреблением психоактивных веществ, являются серьезными заболеваниями, что становится большим бременем для пострадавших людей, их семей и общин. Запущенные расстройства, вызванные употреблением психоактивных веществ, могут привести к значительным издержкам для общества, включая потерю производительности, увеличение расходов на здравоохранение, а также расходов, связанных с уголовным правосудием, социальным обеспечением и к другим социальным последствиям. Улучшение услуг здравоохранения влечет за собой обеспечение доступа к всеобъемлющему набору научно-обоснованных мер лечения расстройств (закрепленных в международных стандартах и руководящих принципах), которые должны быть доступны для всех нуждающихся групп населения. Показатель будет информировать о том, в какой степени набор  научно-обоснованных мер лечения расстройств, связанных с употреблением психоактивных веществ, доступен нуждающемуся населению на страновом, региональном и глобальном уровнях.</w:t>
      </w:r>
    </w:p>
    <w:p w:rsidR="002E15F9" w:rsidRPr="00BD29EC" w:rsidRDefault="005B5D94" w:rsidP="005B5D94">
      <w:r w:rsidRPr="005B5D94">
        <w:t>Несмотря на то, что существует эффективное лечение, лишь небольшое количество людей с расстройствами, вызванными употреблением психоактивных веществ, получают его. Например, по оценкам, в мире каждый седьмой человек с расстройствами, вызванными употреблением наркотиков, имеет или им предоставлен доступ к услугам по лечению наркозависимости (Всемирный доклад о наркотиках 2019). Данные ВОЗ АТЛАС по проблеме потребления психоактивных веществ показали, что в 2014 году только 11,9% (из 103 респондентов) стран сообщили о высоком охвате (40% и более) алкогольной зависимости. Показатель ЦУР 3.5.1 имеет решающее значение для измерения прогресса в улучшении лечения зависимости от психоактивных веществ во всем мире, как сформулировано в Задаче 3.5.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A763FF" w:rsidRPr="00E374A8" w:rsidRDefault="00A763FF" w:rsidP="00A763FF">
      <w:pPr>
        <w:rPr>
          <w:lang w:eastAsia="en-GB"/>
        </w:rPr>
      </w:pPr>
      <w:r w:rsidRPr="00E374A8">
        <w:rPr>
          <w:lang w:eastAsia="en-GB"/>
        </w:rPr>
        <w:t>Две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основные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проблемы</w:t>
      </w:r>
      <w:r>
        <w:rPr>
          <w:lang w:eastAsia="en-GB"/>
        </w:rPr>
        <w:t xml:space="preserve"> </w:t>
      </w:r>
      <w:r w:rsidRPr="00E374A8">
        <w:rPr>
          <w:lang w:eastAsia="en-GB"/>
        </w:rPr>
        <w:t>вычисления</w:t>
      </w:r>
      <w:r>
        <w:rPr>
          <w:lang w:eastAsia="en-GB"/>
        </w:rPr>
        <w:t xml:space="preserve"> показателя </w:t>
      </w:r>
      <w:r w:rsidRPr="00E374A8">
        <w:rPr>
          <w:lang w:eastAsia="en-GB"/>
        </w:rPr>
        <w:t>3.5.1</w:t>
      </w:r>
      <w:r>
        <w:rPr>
          <w:lang w:eastAsia="en-GB"/>
        </w:rPr>
        <w:t xml:space="preserve"> </w:t>
      </w:r>
      <w:r w:rsidR="001A3578">
        <w:rPr>
          <w:lang w:eastAsia="en-GB"/>
        </w:rPr>
        <w:t>–</w:t>
      </w:r>
      <w:r>
        <w:rPr>
          <w:lang w:eastAsia="en-GB"/>
        </w:rPr>
        <w:t xml:space="preserve"> </w:t>
      </w:r>
      <w:r w:rsidRPr="00E374A8">
        <w:rPr>
          <w:lang w:eastAsia="en-GB"/>
        </w:rPr>
        <w:t>это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ограниченная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доступность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обследований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домашних</w:t>
      </w:r>
      <w:r>
        <w:rPr>
          <w:lang w:eastAsia="en-GB"/>
        </w:rPr>
        <w:t xml:space="preserve"> </w:t>
      </w:r>
      <w:r w:rsidRPr="00E374A8">
        <w:rPr>
          <w:lang w:eastAsia="en-GB"/>
        </w:rPr>
        <w:t>хозяйств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</w:t>
      </w:r>
      <w:r>
        <w:rPr>
          <w:lang w:eastAsia="en-GB"/>
        </w:rPr>
        <w:t xml:space="preserve"> </w:t>
      </w:r>
      <w:r w:rsidRPr="00E374A8">
        <w:rPr>
          <w:lang w:eastAsia="en-GB"/>
        </w:rPr>
        <w:t>употреблению</w:t>
      </w:r>
      <w:r>
        <w:rPr>
          <w:lang w:eastAsia="en-GB"/>
        </w:rPr>
        <w:t xml:space="preserve"> </w:t>
      </w:r>
      <w:r w:rsidRPr="00E374A8">
        <w:rPr>
          <w:lang w:eastAsia="en-GB"/>
        </w:rPr>
        <w:t>психоактивных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веществ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занижение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данных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об</w:t>
      </w:r>
      <w:r>
        <w:rPr>
          <w:lang w:eastAsia="en-GB"/>
        </w:rPr>
        <w:t xml:space="preserve"> </w:t>
      </w:r>
      <w:r w:rsidRPr="00E374A8">
        <w:rPr>
          <w:lang w:eastAsia="en-GB"/>
        </w:rPr>
        <w:t>употреблении</w:t>
      </w:r>
      <w:r>
        <w:rPr>
          <w:lang w:eastAsia="en-GB"/>
        </w:rPr>
        <w:t xml:space="preserve"> </w:t>
      </w:r>
      <w:r w:rsidRPr="00E374A8">
        <w:rPr>
          <w:lang w:eastAsia="en-GB"/>
        </w:rPr>
        <w:t>среди</w:t>
      </w:r>
      <w:r>
        <w:rPr>
          <w:lang w:eastAsia="en-GB"/>
        </w:rPr>
        <w:t xml:space="preserve"> </w:t>
      </w:r>
      <w:r w:rsidRPr="00E374A8">
        <w:rPr>
          <w:lang w:eastAsia="en-GB"/>
        </w:rPr>
        <w:t>респондентов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обследования.</w:t>
      </w:r>
    </w:p>
    <w:p w:rsidR="00A763FF" w:rsidRPr="00E374A8" w:rsidRDefault="00A763FF" w:rsidP="00A763FF">
      <w:pPr>
        <w:rPr>
          <w:lang w:eastAsia="en-GB"/>
        </w:rPr>
      </w:pPr>
      <w:r w:rsidRPr="00E374A8">
        <w:rPr>
          <w:lang w:eastAsia="en-GB"/>
        </w:rPr>
        <w:t>Данные,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полученные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в</w:t>
      </w:r>
      <w:r>
        <w:rPr>
          <w:lang w:eastAsia="en-GB"/>
        </w:rPr>
        <w:t xml:space="preserve"> </w:t>
      </w:r>
      <w:r w:rsidRPr="00E374A8">
        <w:rPr>
          <w:lang w:eastAsia="en-GB"/>
        </w:rPr>
        <w:t>ходе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обследований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домашних</w:t>
      </w:r>
      <w:r>
        <w:rPr>
          <w:lang w:eastAsia="en-GB"/>
        </w:rPr>
        <w:t xml:space="preserve"> </w:t>
      </w:r>
      <w:r w:rsidRPr="00E374A8">
        <w:rPr>
          <w:lang w:eastAsia="en-GB"/>
        </w:rPr>
        <w:t>хозяйств,</w:t>
      </w:r>
      <w:r>
        <w:rPr>
          <w:lang w:eastAsia="en-GB"/>
        </w:rPr>
        <w:t xml:space="preserve"> </w:t>
      </w:r>
      <w:r w:rsidRPr="00E374A8">
        <w:rPr>
          <w:lang w:eastAsia="en-GB"/>
        </w:rPr>
        <w:t>являются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одним</w:t>
      </w:r>
      <w:r>
        <w:rPr>
          <w:lang w:eastAsia="en-GB"/>
        </w:rPr>
        <w:t xml:space="preserve"> </w:t>
      </w:r>
      <w:r w:rsidRPr="00E374A8">
        <w:rPr>
          <w:lang w:eastAsia="en-GB"/>
        </w:rPr>
        <w:t>из</w:t>
      </w:r>
      <w:r>
        <w:rPr>
          <w:lang w:eastAsia="en-GB"/>
        </w:rPr>
        <w:t xml:space="preserve"> </w:t>
      </w:r>
      <w:r w:rsidRPr="00E374A8">
        <w:rPr>
          <w:lang w:eastAsia="en-GB"/>
        </w:rPr>
        <w:t>источников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информации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о</w:t>
      </w:r>
      <w:r>
        <w:rPr>
          <w:lang w:eastAsia="en-GB"/>
        </w:rPr>
        <w:t xml:space="preserve"> </w:t>
      </w:r>
      <w:r w:rsidRPr="00E374A8">
        <w:rPr>
          <w:lang w:eastAsia="en-GB"/>
        </w:rPr>
        <w:t>количестве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людей</w:t>
      </w:r>
      <w:r>
        <w:rPr>
          <w:lang w:eastAsia="en-GB"/>
        </w:rPr>
        <w:t xml:space="preserve"> </w:t>
      </w:r>
      <w:r w:rsidRPr="00E374A8">
        <w:rPr>
          <w:lang w:eastAsia="en-GB"/>
        </w:rPr>
        <w:t>с</w:t>
      </w:r>
      <w:r>
        <w:rPr>
          <w:lang w:eastAsia="en-GB"/>
        </w:rPr>
        <w:t xml:space="preserve"> </w:t>
      </w:r>
      <w:r w:rsidRPr="00E374A8">
        <w:rPr>
          <w:lang w:eastAsia="en-GB"/>
        </w:rPr>
        <w:t>расстройствами,</w:t>
      </w:r>
      <w:r>
        <w:rPr>
          <w:lang w:eastAsia="en-GB"/>
        </w:rPr>
        <w:t xml:space="preserve"> </w:t>
      </w:r>
      <w:r w:rsidRPr="00E374A8">
        <w:rPr>
          <w:lang w:eastAsia="en-GB"/>
        </w:rPr>
        <w:t>вызванными</w:t>
      </w:r>
      <w:r>
        <w:rPr>
          <w:lang w:eastAsia="en-GB"/>
        </w:rPr>
        <w:t xml:space="preserve"> </w:t>
      </w:r>
      <w:r w:rsidRPr="00E374A8">
        <w:rPr>
          <w:lang w:eastAsia="en-GB"/>
        </w:rPr>
        <w:t>употреблением</w:t>
      </w:r>
      <w:r>
        <w:rPr>
          <w:lang w:eastAsia="en-GB"/>
        </w:rPr>
        <w:t xml:space="preserve"> </w:t>
      </w:r>
      <w:r w:rsidRPr="00E374A8">
        <w:rPr>
          <w:lang w:eastAsia="en-GB"/>
        </w:rPr>
        <w:t>наркотиков.</w:t>
      </w:r>
      <w:r>
        <w:rPr>
          <w:lang w:eastAsia="en-GB"/>
        </w:rPr>
        <w:t xml:space="preserve"> </w:t>
      </w:r>
      <w:r w:rsidRPr="00E374A8">
        <w:rPr>
          <w:lang w:eastAsia="en-GB"/>
        </w:rPr>
        <w:t>Существуют</w:t>
      </w:r>
      <w:r>
        <w:rPr>
          <w:lang w:eastAsia="en-GB"/>
        </w:rPr>
        <w:t xml:space="preserve"> </w:t>
      </w:r>
      <w:r w:rsidRPr="00E374A8">
        <w:rPr>
          <w:lang w:eastAsia="en-GB"/>
        </w:rPr>
        <w:t>проблемы</w:t>
      </w:r>
      <w:r>
        <w:rPr>
          <w:lang w:eastAsia="en-GB"/>
        </w:rPr>
        <w:t xml:space="preserve"> </w:t>
      </w:r>
      <w:r w:rsidRPr="00E374A8">
        <w:rPr>
          <w:lang w:eastAsia="en-GB"/>
        </w:rPr>
        <w:t>занижения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данных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определенным</w:t>
      </w:r>
      <w:r>
        <w:rPr>
          <w:lang w:eastAsia="en-GB"/>
        </w:rPr>
        <w:t xml:space="preserve"> </w:t>
      </w:r>
      <w:proofErr w:type="spellStart"/>
      <w:r w:rsidRPr="00E374A8">
        <w:rPr>
          <w:lang w:eastAsia="en-GB"/>
        </w:rPr>
        <w:t>психоактивным</w:t>
      </w:r>
      <w:proofErr w:type="spellEnd"/>
      <w:r>
        <w:rPr>
          <w:lang w:eastAsia="en-GB"/>
        </w:rPr>
        <w:t xml:space="preserve"> </w:t>
      </w:r>
      <w:r w:rsidRPr="00E374A8">
        <w:rPr>
          <w:lang w:eastAsia="en-GB"/>
        </w:rPr>
        <w:t>веществам</w:t>
      </w:r>
      <w:r>
        <w:rPr>
          <w:lang w:eastAsia="en-GB"/>
        </w:rPr>
        <w:t xml:space="preserve"> </w:t>
      </w:r>
      <w:r w:rsidRPr="00E374A8">
        <w:rPr>
          <w:lang w:eastAsia="en-GB"/>
        </w:rPr>
        <w:t>в</w:t>
      </w:r>
      <w:r>
        <w:rPr>
          <w:lang w:eastAsia="en-GB"/>
        </w:rPr>
        <w:t xml:space="preserve"> </w:t>
      </w:r>
      <w:r w:rsidRPr="00E374A8">
        <w:rPr>
          <w:lang w:eastAsia="en-GB"/>
        </w:rPr>
        <w:t>странах,</w:t>
      </w:r>
      <w:r>
        <w:rPr>
          <w:lang w:eastAsia="en-GB"/>
        </w:rPr>
        <w:t xml:space="preserve"> </w:t>
      </w:r>
      <w:r w:rsidRPr="00E374A8">
        <w:rPr>
          <w:lang w:eastAsia="en-GB"/>
        </w:rPr>
        <w:t>где</w:t>
      </w:r>
      <w:r>
        <w:rPr>
          <w:lang w:eastAsia="en-GB"/>
        </w:rPr>
        <w:t xml:space="preserve"> </w:t>
      </w:r>
      <w:r w:rsidRPr="00E374A8">
        <w:rPr>
          <w:lang w:eastAsia="en-GB"/>
        </w:rPr>
        <w:t>стигма</w:t>
      </w:r>
      <w:r>
        <w:rPr>
          <w:lang w:eastAsia="en-GB"/>
        </w:rPr>
        <w:t xml:space="preserve"> </w:t>
      </w:r>
      <w:r w:rsidRPr="00E374A8">
        <w:rPr>
          <w:lang w:eastAsia="en-GB"/>
        </w:rPr>
        <w:t>ассоциируется</w:t>
      </w:r>
      <w:r>
        <w:rPr>
          <w:lang w:eastAsia="en-GB"/>
        </w:rPr>
        <w:t xml:space="preserve"> </w:t>
      </w:r>
      <w:r w:rsidRPr="00E374A8">
        <w:rPr>
          <w:lang w:eastAsia="en-GB"/>
        </w:rPr>
        <w:t>с</w:t>
      </w:r>
      <w:r>
        <w:rPr>
          <w:lang w:eastAsia="en-GB"/>
        </w:rPr>
        <w:t xml:space="preserve"> </w:t>
      </w:r>
      <w:r w:rsidRPr="00E374A8">
        <w:rPr>
          <w:lang w:eastAsia="en-GB"/>
        </w:rPr>
        <w:t>употреблением</w:t>
      </w:r>
      <w:r>
        <w:rPr>
          <w:lang w:eastAsia="en-GB"/>
        </w:rPr>
        <w:t xml:space="preserve"> </w:t>
      </w:r>
      <w:r w:rsidRPr="00E374A8">
        <w:rPr>
          <w:lang w:eastAsia="en-GB"/>
        </w:rPr>
        <w:t>психоактивных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веществ,</w:t>
      </w:r>
      <w:r>
        <w:rPr>
          <w:lang w:eastAsia="en-GB"/>
        </w:rPr>
        <w:t xml:space="preserve"> </w:t>
      </w:r>
      <w:r w:rsidRPr="00E374A8">
        <w:rPr>
          <w:lang w:eastAsia="en-GB"/>
        </w:rPr>
        <w:t>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когда</w:t>
      </w:r>
      <w:r>
        <w:rPr>
          <w:lang w:eastAsia="en-GB"/>
        </w:rPr>
        <w:t xml:space="preserve"> </w:t>
      </w:r>
      <w:r w:rsidRPr="00E374A8">
        <w:rPr>
          <w:lang w:eastAsia="en-GB"/>
        </w:rPr>
        <w:t>значительная</w:t>
      </w:r>
      <w:r>
        <w:rPr>
          <w:lang w:eastAsia="en-GB"/>
        </w:rPr>
        <w:t xml:space="preserve"> </w:t>
      </w:r>
      <w:r w:rsidRPr="00E374A8">
        <w:rPr>
          <w:lang w:eastAsia="en-GB"/>
        </w:rPr>
        <w:t>часть</w:t>
      </w:r>
      <w:r>
        <w:rPr>
          <w:lang w:eastAsia="en-GB"/>
        </w:rPr>
        <w:t xml:space="preserve"> </w:t>
      </w:r>
      <w:r w:rsidRPr="00E374A8">
        <w:rPr>
          <w:lang w:eastAsia="en-GB"/>
        </w:rPr>
        <w:t>населения,</w:t>
      </w:r>
      <w:r>
        <w:rPr>
          <w:lang w:eastAsia="en-GB"/>
        </w:rPr>
        <w:t xml:space="preserve"> </w:t>
      </w:r>
      <w:r w:rsidRPr="00E374A8">
        <w:rPr>
          <w:lang w:eastAsia="en-GB"/>
        </w:rPr>
        <w:t>употребляющего</w:t>
      </w:r>
      <w:r>
        <w:rPr>
          <w:lang w:eastAsia="en-GB"/>
        </w:rPr>
        <w:t xml:space="preserve"> </w:t>
      </w:r>
      <w:r w:rsidRPr="00E374A8">
        <w:rPr>
          <w:lang w:eastAsia="en-GB"/>
        </w:rPr>
        <w:t>наркотики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или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алкоголь,</w:t>
      </w:r>
      <w:r>
        <w:rPr>
          <w:lang w:eastAsia="en-GB"/>
        </w:rPr>
        <w:t xml:space="preserve"> </w:t>
      </w:r>
      <w:r w:rsidRPr="00E374A8">
        <w:rPr>
          <w:lang w:eastAsia="en-GB"/>
        </w:rPr>
        <w:t>является</w:t>
      </w:r>
      <w:r>
        <w:rPr>
          <w:lang w:eastAsia="en-GB"/>
        </w:rPr>
        <w:t xml:space="preserve"> </w:t>
      </w:r>
      <w:proofErr w:type="spellStart"/>
      <w:r w:rsidRPr="00E374A8">
        <w:rPr>
          <w:lang w:eastAsia="en-GB"/>
        </w:rPr>
        <w:t>институционализированной</w:t>
      </w:r>
      <w:proofErr w:type="spellEnd"/>
      <w:r w:rsidRPr="00E374A8">
        <w:rPr>
          <w:lang w:eastAsia="en-GB"/>
        </w:rPr>
        <w:t>,</w:t>
      </w:r>
      <w:r>
        <w:rPr>
          <w:lang w:eastAsia="en-GB"/>
        </w:rPr>
        <w:t xml:space="preserve"> </w:t>
      </w:r>
      <w:r w:rsidRPr="00E374A8">
        <w:rPr>
          <w:lang w:eastAsia="en-GB"/>
        </w:rPr>
        <w:t>бездомной</w:t>
      </w:r>
      <w:r>
        <w:rPr>
          <w:lang w:eastAsia="en-GB"/>
        </w:rPr>
        <w:t xml:space="preserve"> </w:t>
      </w:r>
      <w:r w:rsidRPr="00E374A8">
        <w:rPr>
          <w:lang w:eastAsia="en-GB"/>
        </w:rPr>
        <w:t>или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неохваченной</w:t>
      </w:r>
      <w:r>
        <w:rPr>
          <w:lang w:eastAsia="en-GB"/>
        </w:rPr>
        <w:t xml:space="preserve"> </w:t>
      </w:r>
      <w:r w:rsidRPr="00E374A8">
        <w:rPr>
          <w:lang w:eastAsia="en-GB"/>
        </w:rPr>
        <w:t>в</w:t>
      </w:r>
      <w:r>
        <w:rPr>
          <w:lang w:eastAsia="en-GB"/>
        </w:rPr>
        <w:t xml:space="preserve"> </w:t>
      </w:r>
      <w:r w:rsidRPr="00E374A8">
        <w:rPr>
          <w:lang w:eastAsia="en-GB"/>
        </w:rPr>
        <w:t>ходе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обследований</w:t>
      </w:r>
      <w:r>
        <w:rPr>
          <w:lang w:eastAsia="en-GB"/>
        </w:rPr>
        <w:t xml:space="preserve"> </w:t>
      </w:r>
      <w:r w:rsidRPr="00E374A8">
        <w:rPr>
          <w:lang w:eastAsia="en-GB"/>
        </w:rPr>
        <w:t>населения.</w:t>
      </w:r>
      <w:r>
        <w:rPr>
          <w:lang w:eastAsia="en-GB"/>
        </w:rPr>
        <w:t xml:space="preserve"> </w:t>
      </w:r>
      <w:r w:rsidRPr="00E374A8">
        <w:rPr>
          <w:lang w:eastAsia="en-GB"/>
        </w:rPr>
        <w:t>Кроме</w:t>
      </w:r>
      <w:r>
        <w:rPr>
          <w:lang w:eastAsia="en-GB"/>
        </w:rPr>
        <w:t xml:space="preserve"> </w:t>
      </w:r>
      <w:r w:rsidRPr="00E374A8">
        <w:rPr>
          <w:lang w:eastAsia="en-GB"/>
        </w:rPr>
        <w:t>того,</w:t>
      </w:r>
      <w:r>
        <w:rPr>
          <w:lang w:eastAsia="en-GB"/>
        </w:rPr>
        <w:t xml:space="preserve"> </w:t>
      </w:r>
      <w:r w:rsidRPr="00E374A8">
        <w:rPr>
          <w:lang w:eastAsia="en-GB"/>
        </w:rPr>
        <w:t>являясь</w:t>
      </w:r>
      <w:r>
        <w:rPr>
          <w:lang w:eastAsia="en-GB"/>
        </w:rPr>
        <w:t xml:space="preserve"> </w:t>
      </w:r>
      <w:r w:rsidRPr="00E374A8">
        <w:rPr>
          <w:lang w:eastAsia="en-GB"/>
        </w:rPr>
        <w:t>относительно</w:t>
      </w:r>
      <w:r>
        <w:rPr>
          <w:lang w:eastAsia="en-GB"/>
        </w:rPr>
        <w:t xml:space="preserve"> </w:t>
      </w:r>
      <w:r w:rsidRPr="00E374A8">
        <w:rPr>
          <w:lang w:eastAsia="en-GB"/>
        </w:rPr>
        <w:t>редким</w:t>
      </w:r>
      <w:r>
        <w:rPr>
          <w:lang w:eastAsia="en-GB"/>
        </w:rPr>
        <w:t xml:space="preserve"> </w:t>
      </w:r>
      <w:r w:rsidRPr="00E374A8">
        <w:rPr>
          <w:lang w:eastAsia="en-GB"/>
        </w:rPr>
        <w:lastRenderedPageBreak/>
        <w:t>событием,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обследования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домашних</w:t>
      </w:r>
      <w:r>
        <w:rPr>
          <w:lang w:eastAsia="en-GB"/>
        </w:rPr>
        <w:t xml:space="preserve"> </w:t>
      </w:r>
      <w:r w:rsidRPr="00E374A8">
        <w:rPr>
          <w:lang w:eastAsia="en-GB"/>
        </w:rPr>
        <w:t>хозяйств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</w:t>
      </w:r>
      <w:r>
        <w:rPr>
          <w:lang w:eastAsia="en-GB"/>
        </w:rPr>
        <w:t xml:space="preserve"> </w:t>
      </w:r>
      <w:r w:rsidRPr="00E374A8">
        <w:rPr>
          <w:lang w:eastAsia="en-GB"/>
        </w:rPr>
        <w:t>расстройствам,</w:t>
      </w:r>
      <w:r>
        <w:rPr>
          <w:lang w:eastAsia="en-GB"/>
        </w:rPr>
        <w:t xml:space="preserve"> </w:t>
      </w:r>
      <w:r w:rsidRPr="00E374A8">
        <w:rPr>
          <w:lang w:eastAsia="en-GB"/>
        </w:rPr>
        <w:t>вызванным</w:t>
      </w:r>
      <w:r>
        <w:rPr>
          <w:lang w:eastAsia="en-GB"/>
        </w:rPr>
        <w:t xml:space="preserve"> </w:t>
      </w:r>
      <w:r w:rsidRPr="00E374A8">
        <w:rPr>
          <w:lang w:eastAsia="en-GB"/>
        </w:rPr>
        <w:t>употреблением</w:t>
      </w:r>
      <w:r>
        <w:rPr>
          <w:lang w:eastAsia="en-GB"/>
        </w:rPr>
        <w:t xml:space="preserve"> </w:t>
      </w:r>
      <w:r w:rsidRPr="00E374A8">
        <w:rPr>
          <w:lang w:eastAsia="en-GB"/>
        </w:rPr>
        <w:t>психоактивных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веществ,</w:t>
      </w:r>
      <w:r>
        <w:rPr>
          <w:lang w:eastAsia="en-GB"/>
        </w:rPr>
        <w:t xml:space="preserve"> </w:t>
      </w:r>
      <w:r w:rsidRPr="00E374A8">
        <w:rPr>
          <w:lang w:eastAsia="en-GB"/>
        </w:rPr>
        <w:t>требуют</w:t>
      </w:r>
      <w:r>
        <w:rPr>
          <w:lang w:eastAsia="en-GB"/>
        </w:rPr>
        <w:t xml:space="preserve"> </w:t>
      </w:r>
      <w:r w:rsidRPr="00E374A8">
        <w:rPr>
          <w:lang w:eastAsia="en-GB"/>
        </w:rPr>
        <w:t>большой</w:t>
      </w:r>
      <w:r>
        <w:rPr>
          <w:lang w:eastAsia="en-GB"/>
        </w:rPr>
        <w:t xml:space="preserve"> </w:t>
      </w:r>
      <w:r w:rsidRPr="00E374A8">
        <w:rPr>
          <w:lang w:eastAsia="en-GB"/>
        </w:rPr>
        <w:t>выборки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могут</w:t>
      </w:r>
      <w:r>
        <w:rPr>
          <w:lang w:eastAsia="en-GB"/>
        </w:rPr>
        <w:t xml:space="preserve"> </w:t>
      </w:r>
      <w:r w:rsidRPr="00E374A8">
        <w:rPr>
          <w:lang w:eastAsia="en-GB"/>
        </w:rPr>
        <w:t>быть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дорогостоящими.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Для</w:t>
      </w:r>
      <w:r>
        <w:rPr>
          <w:lang w:eastAsia="en-GB"/>
        </w:rPr>
        <w:t xml:space="preserve"> </w:t>
      </w:r>
      <w:r w:rsidRPr="00E374A8">
        <w:rPr>
          <w:lang w:eastAsia="en-GB"/>
        </w:rPr>
        <w:t>решения</w:t>
      </w:r>
      <w:r>
        <w:rPr>
          <w:lang w:eastAsia="en-GB"/>
        </w:rPr>
        <w:t xml:space="preserve"> </w:t>
      </w:r>
      <w:r w:rsidRPr="00E374A8">
        <w:rPr>
          <w:lang w:eastAsia="en-GB"/>
        </w:rPr>
        <w:t>этих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проблем</w:t>
      </w:r>
      <w:r>
        <w:rPr>
          <w:lang w:eastAsia="en-GB"/>
        </w:rPr>
        <w:t xml:space="preserve"> </w:t>
      </w:r>
      <w:r w:rsidRPr="00E374A8">
        <w:rPr>
          <w:lang w:eastAsia="en-GB"/>
        </w:rPr>
        <w:t>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обследованиях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домашних</w:t>
      </w:r>
      <w:r>
        <w:rPr>
          <w:lang w:eastAsia="en-GB"/>
        </w:rPr>
        <w:t xml:space="preserve"> </w:t>
      </w:r>
      <w:r w:rsidRPr="00E374A8">
        <w:rPr>
          <w:lang w:eastAsia="en-GB"/>
        </w:rPr>
        <w:t>хозяй</w:t>
      </w:r>
      <w:proofErr w:type="gramStart"/>
      <w:r w:rsidRPr="00E374A8">
        <w:rPr>
          <w:lang w:eastAsia="en-GB"/>
        </w:rPr>
        <w:t>ств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вс</w:t>
      </w:r>
      <w:proofErr w:type="gramEnd"/>
      <w:r w:rsidRPr="00E374A8">
        <w:rPr>
          <w:lang w:eastAsia="en-GB"/>
        </w:rPr>
        <w:t>е</w:t>
      </w:r>
      <w:r>
        <w:rPr>
          <w:lang w:eastAsia="en-GB"/>
        </w:rPr>
        <w:t xml:space="preserve"> </w:t>
      </w:r>
      <w:r w:rsidRPr="00E374A8">
        <w:rPr>
          <w:lang w:eastAsia="en-GB"/>
        </w:rPr>
        <w:t>чаще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используются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дополнительные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подходы</w:t>
      </w:r>
      <w:r>
        <w:rPr>
          <w:lang w:eastAsia="en-GB"/>
        </w:rPr>
        <w:t xml:space="preserve"> </w:t>
      </w:r>
      <w:r w:rsidRPr="00E374A8">
        <w:rPr>
          <w:lang w:eastAsia="en-GB"/>
        </w:rPr>
        <w:t>(например,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методы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масштабирования)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для</w:t>
      </w:r>
      <w:r>
        <w:rPr>
          <w:lang w:eastAsia="en-GB"/>
        </w:rPr>
        <w:t xml:space="preserve"> </w:t>
      </w:r>
      <w:r w:rsidRPr="00E374A8">
        <w:rPr>
          <w:lang w:eastAsia="en-GB"/>
        </w:rPr>
        <w:t>решения</w:t>
      </w:r>
      <w:r>
        <w:rPr>
          <w:lang w:eastAsia="en-GB"/>
        </w:rPr>
        <w:t xml:space="preserve"> </w:t>
      </w:r>
      <w:r w:rsidRPr="00E374A8">
        <w:rPr>
          <w:lang w:eastAsia="en-GB"/>
        </w:rPr>
        <w:t>проблем</w:t>
      </w:r>
      <w:r>
        <w:rPr>
          <w:lang w:eastAsia="en-GB"/>
        </w:rPr>
        <w:t xml:space="preserve"> </w:t>
      </w:r>
      <w:r w:rsidRPr="00E374A8">
        <w:rPr>
          <w:lang w:eastAsia="en-GB"/>
        </w:rPr>
        <w:t>недостаточного</w:t>
      </w:r>
      <w:r>
        <w:rPr>
          <w:lang w:eastAsia="en-GB"/>
        </w:rPr>
        <w:t xml:space="preserve"> </w:t>
      </w:r>
      <w:r w:rsidRPr="00E374A8">
        <w:rPr>
          <w:lang w:eastAsia="en-GB"/>
        </w:rPr>
        <w:t>учета.</w:t>
      </w:r>
      <w:r>
        <w:rPr>
          <w:lang w:eastAsia="en-GB"/>
        </w:rPr>
        <w:t xml:space="preserve"> </w:t>
      </w:r>
      <w:r w:rsidRPr="00E374A8">
        <w:rPr>
          <w:lang w:eastAsia="en-GB"/>
        </w:rPr>
        <w:t>Они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могут</w:t>
      </w:r>
      <w:r>
        <w:rPr>
          <w:lang w:eastAsia="en-GB"/>
        </w:rPr>
        <w:t xml:space="preserve"> </w:t>
      </w:r>
      <w:r w:rsidRPr="00E374A8">
        <w:rPr>
          <w:lang w:eastAsia="en-GB"/>
        </w:rPr>
        <w:t>использоваться</w:t>
      </w:r>
      <w:r>
        <w:rPr>
          <w:lang w:eastAsia="en-GB"/>
        </w:rPr>
        <w:t xml:space="preserve"> </w:t>
      </w:r>
      <w:r w:rsidRPr="00E374A8">
        <w:rPr>
          <w:lang w:eastAsia="en-GB"/>
        </w:rPr>
        <w:t>в</w:t>
      </w:r>
      <w:r>
        <w:rPr>
          <w:lang w:eastAsia="en-GB"/>
        </w:rPr>
        <w:t xml:space="preserve"> </w:t>
      </w:r>
      <w:r w:rsidRPr="00E374A8">
        <w:rPr>
          <w:lang w:eastAsia="en-GB"/>
        </w:rPr>
        <w:t>сочетании</w:t>
      </w:r>
      <w:r>
        <w:rPr>
          <w:lang w:eastAsia="en-GB"/>
        </w:rPr>
        <w:t xml:space="preserve"> </w:t>
      </w:r>
      <w:r w:rsidRPr="00E374A8">
        <w:rPr>
          <w:lang w:eastAsia="en-GB"/>
        </w:rPr>
        <w:t>со</w:t>
      </w:r>
      <w:r>
        <w:rPr>
          <w:lang w:eastAsia="en-GB"/>
        </w:rPr>
        <w:t xml:space="preserve"> </w:t>
      </w:r>
      <w:r w:rsidRPr="00E374A8">
        <w:rPr>
          <w:lang w:eastAsia="en-GB"/>
        </w:rPr>
        <w:t>специальными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исследованиями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и/или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дополнительной</w:t>
      </w:r>
      <w:r>
        <w:rPr>
          <w:lang w:eastAsia="en-GB"/>
        </w:rPr>
        <w:t xml:space="preserve"> </w:t>
      </w:r>
      <w:r w:rsidRPr="00E374A8">
        <w:rPr>
          <w:lang w:eastAsia="en-GB"/>
        </w:rPr>
        <w:t>информацией,</w:t>
      </w:r>
      <w:r>
        <w:rPr>
          <w:lang w:eastAsia="en-GB"/>
        </w:rPr>
        <w:t xml:space="preserve"> </w:t>
      </w:r>
      <w:r w:rsidRPr="00E374A8">
        <w:rPr>
          <w:lang w:eastAsia="en-GB"/>
        </w:rPr>
        <w:t>чтобы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получить</w:t>
      </w:r>
      <w:r>
        <w:rPr>
          <w:lang w:eastAsia="en-GB"/>
        </w:rPr>
        <w:t xml:space="preserve"> </w:t>
      </w:r>
      <w:r w:rsidRPr="00E374A8">
        <w:rPr>
          <w:lang w:eastAsia="en-GB"/>
        </w:rPr>
        <w:t>разумные</w:t>
      </w:r>
      <w:r>
        <w:rPr>
          <w:lang w:eastAsia="en-GB"/>
        </w:rPr>
        <w:t xml:space="preserve"> </w:t>
      </w:r>
      <w:r w:rsidRPr="00E374A8">
        <w:rPr>
          <w:lang w:eastAsia="en-GB"/>
        </w:rPr>
        <w:t>оценки</w:t>
      </w:r>
      <w:r>
        <w:rPr>
          <w:lang w:eastAsia="en-GB"/>
        </w:rPr>
        <w:t xml:space="preserve"> </w:t>
      </w:r>
      <w:r w:rsidRPr="00E374A8">
        <w:rPr>
          <w:lang w:eastAsia="en-GB"/>
        </w:rPr>
        <w:t>с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помощью</w:t>
      </w:r>
      <w:r>
        <w:rPr>
          <w:lang w:eastAsia="en-GB"/>
        </w:rPr>
        <w:t xml:space="preserve"> </w:t>
      </w:r>
      <w:r w:rsidRPr="00E374A8">
        <w:rPr>
          <w:lang w:eastAsia="en-GB"/>
        </w:rPr>
        <w:t>косвенных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методов,</w:t>
      </w:r>
      <w:r>
        <w:rPr>
          <w:lang w:eastAsia="en-GB"/>
        </w:rPr>
        <w:t xml:space="preserve"> </w:t>
      </w:r>
      <w:r w:rsidRPr="00E374A8">
        <w:rPr>
          <w:lang w:eastAsia="en-GB"/>
        </w:rPr>
        <w:t>таких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как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методы</w:t>
      </w:r>
      <w:r>
        <w:rPr>
          <w:lang w:eastAsia="en-GB"/>
        </w:rPr>
        <w:t xml:space="preserve"> </w:t>
      </w:r>
      <w:r w:rsidRPr="00E374A8">
        <w:rPr>
          <w:lang w:eastAsia="en-GB"/>
        </w:rPr>
        <w:t>эталонных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тестов</w:t>
      </w:r>
      <w:r>
        <w:rPr>
          <w:lang w:eastAsia="en-GB"/>
        </w:rPr>
        <w:t xml:space="preserve"> </w:t>
      </w:r>
      <w:r w:rsidRPr="00E374A8">
        <w:rPr>
          <w:lang w:eastAsia="en-GB"/>
        </w:rPr>
        <w:t>/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множительных</w:t>
      </w:r>
      <w:r>
        <w:rPr>
          <w:lang w:eastAsia="en-GB"/>
        </w:rPr>
        <w:t xml:space="preserve"> </w:t>
      </w:r>
      <w:r w:rsidRPr="00E374A8">
        <w:rPr>
          <w:lang w:eastAsia="en-GB"/>
        </w:rPr>
        <w:t>коэффициентов</w:t>
      </w:r>
      <w:r>
        <w:rPr>
          <w:lang w:eastAsia="en-GB"/>
        </w:rPr>
        <w:t xml:space="preserve"> </w:t>
      </w:r>
      <w:r w:rsidRPr="00E374A8">
        <w:rPr>
          <w:lang w:eastAsia="en-GB"/>
        </w:rPr>
        <w:t>и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метод</w:t>
      </w:r>
      <w:r>
        <w:rPr>
          <w:lang w:eastAsia="en-GB"/>
        </w:rPr>
        <w:t xml:space="preserve"> </w:t>
      </w:r>
      <w:r w:rsidRPr="00E374A8">
        <w:rPr>
          <w:lang w:eastAsia="en-GB"/>
        </w:rPr>
        <w:t>повторного</w:t>
      </w:r>
      <w:r>
        <w:rPr>
          <w:lang w:eastAsia="en-GB"/>
        </w:rPr>
        <w:t xml:space="preserve"> </w:t>
      </w:r>
      <w:r w:rsidRPr="00E374A8">
        <w:rPr>
          <w:lang w:eastAsia="en-GB"/>
        </w:rPr>
        <w:t>отбора.</w:t>
      </w:r>
    </w:p>
    <w:p w:rsidR="001874CA" w:rsidRDefault="001874CA" w:rsidP="001874CA">
      <w:pPr>
        <w:rPr>
          <w:lang w:eastAsia="en-GB"/>
        </w:rPr>
      </w:pPr>
      <w:r>
        <w:rPr>
          <w:lang w:eastAsia="en-GB"/>
        </w:rPr>
        <w:t xml:space="preserve">Учитывая эти проблемы, часто национальные официальные оценки числа людей с расстройствами, вызванными употреблением наркотиков, недоступны. В этом контексте рассматриваются дополнительные источники, такие как оценки, подготовленные Институтом показателей и оценки здоровья (IHME) и опубликованные в рамках исследования глобального бремени болезней (GBD). Данные о лечении расстройств, вызванных употреблением наркотиков, более </w:t>
      </w:r>
      <w:proofErr w:type="gramStart"/>
      <w:r>
        <w:rPr>
          <w:lang w:eastAsia="en-GB"/>
        </w:rPr>
        <w:t>широко доступны</w:t>
      </w:r>
      <w:proofErr w:type="gramEnd"/>
      <w:r>
        <w:rPr>
          <w:lang w:eastAsia="en-GB"/>
        </w:rPr>
        <w:t xml:space="preserve"> на национальном уровне, поскольку они основ</w:t>
      </w:r>
      <w:r>
        <w:rPr>
          <w:lang w:eastAsia="en-GB"/>
        </w:rPr>
        <w:t>аны на административных данных.</w:t>
      </w:r>
    </w:p>
    <w:p w:rsidR="001874CA" w:rsidRDefault="001874CA" w:rsidP="001874CA">
      <w:pPr>
        <w:rPr>
          <w:lang w:eastAsia="en-GB"/>
        </w:rPr>
      </w:pPr>
      <w:r>
        <w:rPr>
          <w:lang w:eastAsia="en-GB"/>
        </w:rPr>
        <w:t>Дополнительный шаг в проверке данных и наращивании потенциала стран для мониторинга охвата лечением расстройств, вызванных употреблением психоактивных веществ, будет реализован в течение следующих нескольких лет для получения углубленных данных в выборке стран из разных регионов и представляющих разные уровни развития систем здравоохранения. В настоящее время ВОЗ разрабатывает инструмент быстрой оценки для получения углубленных данных.</w:t>
      </w:r>
    </w:p>
    <w:p w:rsidR="00A763FF" w:rsidRPr="00A763FF" w:rsidRDefault="001874CA" w:rsidP="00A763FF">
      <w:pPr>
        <w:rPr>
          <w:lang w:eastAsia="en-GB"/>
        </w:rPr>
      </w:pPr>
      <w:r w:rsidRPr="001874CA">
        <w:rPr>
          <w:lang w:eastAsia="en-GB"/>
        </w:rPr>
        <w:t>Показатель делает упор на типе, доступности и охвате услуг, но не обязательно предоставляет информацию о фактическом качестве предоставляемых вмешательств/услуг. Для решения этой проблемы предлагаемый показатель лечения сопровождается контекстной информацией об охвате доступности, подготовленной ВОЗ с использованием Индекса возможностей обслуживания при расстройствах, вызванных употреблением психоактивных веществ (SCI-SUD)</w:t>
      </w:r>
      <w:r w:rsidR="003E2F21">
        <w:rPr>
          <w:rStyle w:val="a6"/>
          <w:lang w:eastAsia="en-GB"/>
        </w:rPr>
        <w:footnoteReference w:id="9"/>
      </w:r>
      <w:r w:rsidRPr="001874CA">
        <w:rPr>
          <w:lang w:eastAsia="en-GB"/>
        </w:rPr>
        <w:t>, который отражает способность национальных систем здравоохранения обеспечивать лечение расстройств, вызванных употре</w:t>
      </w:r>
      <w:r>
        <w:rPr>
          <w:lang w:eastAsia="en-GB"/>
        </w:rPr>
        <w:t>блением алкоголя и наркотиков</w:t>
      </w:r>
      <w:r w:rsidRPr="001874CA">
        <w:rPr>
          <w:lang w:eastAsia="en-GB"/>
        </w:rPr>
        <w:t xml:space="preserve"> с точки зрения доли (%) доступных элементов услуг в данной стране от теоретического максимума.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A763FF" w:rsidRPr="00A763FF" w:rsidRDefault="00A763FF" w:rsidP="00A763FF">
      <w:r w:rsidRPr="00A763FF">
        <w:t>Показатель будет рассчитываться путем деления числа людей, получающих лечение, по крайней мере, один раз в год, на общее число людей с расстройствами, вызванными употреблением психоактивных веществ в том же году:</w:t>
      </w:r>
    </w:p>
    <w:p w:rsidR="00A763FF" w:rsidRPr="00A763FF" w:rsidRDefault="00693EB2" w:rsidP="00A763FF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ОХВАТ</m:t>
              </m:r>
            </m:e>
            <m:sub>
              <m:r>
                <w:rPr>
                  <w:rFonts w:ascii="Cambria Math" w:hAnsi="Cambria Math"/>
                  <w:lang w:val="en-US"/>
                </w:rPr>
                <m:t>РВУПВ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число людей с РВУПВ, получающих лечение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общее число людей с РВУПВ </m:t>
              </m:r>
            </m:den>
          </m:f>
          <m:r>
            <w:rPr>
              <w:rFonts w:ascii="Cambria Math" w:hAnsi="Cambria Math"/>
              <w:lang w:val="en-US"/>
            </w:rPr>
            <m:t>X 100</m:t>
          </m:r>
        </m:oMath>
      </m:oMathPara>
    </w:p>
    <w:p w:rsidR="00A763FF" w:rsidRPr="00A763FF" w:rsidRDefault="00A763FF" w:rsidP="00A763FF">
      <w:pPr>
        <w:rPr>
          <w:i/>
        </w:rPr>
      </w:pPr>
      <w:r w:rsidRPr="00A763FF">
        <w:rPr>
          <w:i/>
        </w:rPr>
        <w:t xml:space="preserve">Где  РВУПВ – расстройства, вызванные употреблением психоактивных веществ </w:t>
      </w:r>
    </w:p>
    <w:p w:rsidR="00A763FF" w:rsidRDefault="00A763FF" w:rsidP="00563CF0"/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2E15F9" w:rsidRPr="001A3578" w:rsidRDefault="001A3578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A3578">
        <w:rPr>
          <w:b/>
          <w:color w:val="auto"/>
          <w:sz w:val="24"/>
          <w:szCs w:val="24"/>
          <w:lang w:val="ru-RU"/>
        </w:rPr>
        <w:t>Наркотики</w:t>
      </w:r>
    </w:p>
    <w:p w:rsidR="001A3578" w:rsidRDefault="003E2F21" w:rsidP="0075371E">
      <w:pPr>
        <w:pStyle w:val="MText"/>
        <w:rPr>
          <w:color w:val="auto"/>
          <w:sz w:val="24"/>
          <w:szCs w:val="24"/>
          <w:lang w:val="ru-RU"/>
        </w:rPr>
      </w:pPr>
      <w:r w:rsidRPr="003E2F21">
        <w:rPr>
          <w:color w:val="auto"/>
          <w:sz w:val="24"/>
          <w:szCs w:val="24"/>
          <w:lang w:val="ru-RU"/>
        </w:rPr>
        <w:t xml:space="preserve">Данные о людях, находящихся на лечении от SUD, и о людях с SUD, собранные через ВЕД и другие источники, проходят тщательный процесс проверки, который включает в себя выявление выбросов, согласованность с предыдущими отчетными данными, согласованность с данными, предоставленными другими странами, прямое общение с техническими партнерами, предоставляющими данные через DXP, а также изучение других источников данных. Кроме того, раз в год данные, доступные </w:t>
      </w:r>
      <w:proofErr w:type="gramStart"/>
      <w:r w:rsidRPr="003E2F21">
        <w:rPr>
          <w:color w:val="auto"/>
          <w:sz w:val="24"/>
          <w:szCs w:val="24"/>
          <w:lang w:val="ru-RU"/>
        </w:rPr>
        <w:t>через</w:t>
      </w:r>
      <w:proofErr w:type="gramEnd"/>
      <w:r w:rsidRPr="003E2F21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3E2F21">
        <w:rPr>
          <w:color w:val="auto"/>
          <w:sz w:val="24"/>
          <w:szCs w:val="24"/>
          <w:lang w:val="ru-RU"/>
        </w:rPr>
        <w:t>ВЕД</w:t>
      </w:r>
      <w:proofErr w:type="gramEnd"/>
      <w:r w:rsidRPr="003E2F21">
        <w:rPr>
          <w:color w:val="auto"/>
          <w:sz w:val="24"/>
          <w:szCs w:val="24"/>
          <w:lang w:val="ru-RU"/>
        </w:rPr>
        <w:t xml:space="preserve"> и другие источники, передаются координаторам ВЕД для рассмотрения в рамках процесса предварительной публикации, связанного с ведущей публикацией УНП ООН – Всемирным докладом о наркотиках. Наконец, данные, собранные для показателя 3.5.1 ЦУР, передаются координаторам ЦУР для получения отзывов и анализа в ходе процесса предварительной публикации ЦУР перед представлением в СОООН каждый март. Все отзывы, полученные государствами-членами в отношении этих данных, учтены.</w:t>
      </w:r>
    </w:p>
    <w:p w:rsidR="003E2F21" w:rsidRDefault="003E2F21" w:rsidP="0075371E">
      <w:pPr>
        <w:pStyle w:val="MText"/>
        <w:rPr>
          <w:color w:val="auto"/>
          <w:sz w:val="24"/>
          <w:szCs w:val="24"/>
          <w:lang w:val="ru-RU"/>
        </w:rPr>
      </w:pPr>
    </w:p>
    <w:p w:rsidR="001A3578" w:rsidRPr="003E2F21" w:rsidRDefault="003E2F21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3E2F21">
        <w:rPr>
          <w:b/>
          <w:color w:val="auto"/>
          <w:sz w:val="24"/>
          <w:szCs w:val="24"/>
          <w:lang w:val="ru-RU"/>
        </w:rPr>
        <w:t xml:space="preserve">Алкоголь и другие </w:t>
      </w:r>
      <w:proofErr w:type="spellStart"/>
      <w:r w:rsidRPr="003E2F21">
        <w:rPr>
          <w:b/>
          <w:color w:val="auto"/>
          <w:sz w:val="24"/>
          <w:szCs w:val="24"/>
          <w:lang w:val="ru-RU"/>
        </w:rPr>
        <w:t>психоактивные</w:t>
      </w:r>
      <w:proofErr w:type="spellEnd"/>
      <w:r w:rsidRPr="003E2F21">
        <w:rPr>
          <w:b/>
          <w:color w:val="auto"/>
          <w:sz w:val="24"/>
          <w:szCs w:val="24"/>
          <w:lang w:val="ru-RU"/>
        </w:rPr>
        <w:t xml:space="preserve"> вещества</w:t>
      </w:r>
    </w:p>
    <w:p w:rsidR="003E2F21" w:rsidRDefault="003E2F21" w:rsidP="0075371E">
      <w:pPr>
        <w:pStyle w:val="MText"/>
        <w:rPr>
          <w:color w:val="auto"/>
          <w:sz w:val="24"/>
          <w:szCs w:val="24"/>
          <w:lang w:val="ru-RU"/>
        </w:rPr>
      </w:pPr>
      <w:r w:rsidRPr="003E2F21">
        <w:rPr>
          <w:color w:val="auto"/>
          <w:sz w:val="24"/>
          <w:szCs w:val="24"/>
          <w:lang w:val="ru-RU"/>
        </w:rPr>
        <w:t xml:space="preserve">Глобальное исследование ВОЗ о ходе выполнения задачи 3.5 ЦУР в области здравоохранения собирает данные от координаторов ВОЗ в министерствах здравоохранения, назначенных своими правительствами для участия в опросе. Для сбора информации используется платформа ВОЗ </w:t>
      </w:r>
      <w:proofErr w:type="spellStart"/>
      <w:r w:rsidRPr="003E2F21">
        <w:rPr>
          <w:color w:val="auto"/>
          <w:sz w:val="24"/>
          <w:szCs w:val="24"/>
          <w:lang w:val="ru-RU"/>
        </w:rPr>
        <w:t>LimeSurvey</w:t>
      </w:r>
      <w:proofErr w:type="spellEnd"/>
      <w:r w:rsidRPr="003E2F21">
        <w:rPr>
          <w:color w:val="auto"/>
          <w:sz w:val="24"/>
          <w:szCs w:val="24"/>
          <w:lang w:val="ru-RU"/>
        </w:rPr>
        <w:t>. Респондентам рекомендуется связаться и проконсультироваться с дополнительными экспертами в следующих областях: (1) лица, отвечающие за контроль над алкоголем/наркотиками или участвующие в нем в Министерстве здравоохранения, Министерстве юстиции или другом министерстве, или самый высокопоставленный государственный чиновник, отвечающий за контроль над алкоголем или состояниями, связанными с алкоголем, или программы снижения спроса на наркотики; (2) глава известной неправительственной организации, занимающейся контролем над алкоголем и наркотиками; (3) медицинский работник (например, врач, медсестра, фармацевт, социальный работник, психолог), специализирующийся на состояниях, связанных с алкоголем, и состояниях, вызванных другими СН; (4) преподаватель кафедры общественного здравоохранения или другого соответствующего факультета университета; (5) сотрудник полиции или другого правоохранительного органа; (6) лицо из Министерства финансов, налогового органа или статистического управления; (7) исследователь, государственный служащий или преподаватель, обладающий опытом в области систем лечения SUD и покрытия лечения/услуг. С поправкой на сопоставимость сводные данные по странам с указанием данных проверяются через созданную сеть координаторов ВОЗ для обеспечения точности данных до их публикации. Процессы проверки данных включают проверку внутренней согласованности, выявление отклонений и проверку соответствия ранее сообщенным данным, а расхождения в данных передаются координаторам для разъяснения.</w:t>
      </w:r>
    </w:p>
    <w:p w:rsidR="001A3578" w:rsidRDefault="001A3578" w:rsidP="0075371E">
      <w:pPr>
        <w:pStyle w:val="MText"/>
        <w:rPr>
          <w:color w:val="auto"/>
          <w:sz w:val="24"/>
          <w:szCs w:val="24"/>
          <w:lang w:val="ru-RU"/>
        </w:rPr>
      </w:pPr>
    </w:p>
    <w:p w:rsidR="00155973" w:rsidRDefault="00155973" w:rsidP="0075371E">
      <w:pPr>
        <w:pStyle w:val="MText"/>
        <w:rPr>
          <w:color w:val="auto"/>
          <w:sz w:val="24"/>
          <w:szCs w:val="24"/>
          <w:lang w:val="ru-RU"/>
        </w:rPr>
      </w:pPr>
    </w:p>
    <w:p w:rsidR="00155973" w:rsidRDefault="00155973" w:rsidP="0075371E">
      <w:pPr>
        <w:pStyle w:val="MText"/>
        <w:rPr>
          <w:color w:val="auto"/>
          <w:sz w:val="24"/>
          <w:szCs w:val="24"/>
          <w:lang w:val="ru-RU"/>
        </w:rPr>
      </w:pPr>
    </w:p>
    <w:p w:rsidR="00155973" w:rsidRPr="00BD29EC" w:rsidRDefault="00155973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Default="00155973" w:rsidP="0075371E">
      <w:pPr>
        <w:pStyle w:val="MText"/>
        <w:rPr>
          <w:color w:val="auto"/>
          <w:sz w:val="24"/>
          <w:szCs w:val="24"/>
          <w:lang w:val="ru-RU"/>
        </w:rPr>
      </w:pPr>
      <w:r w:rsidRPr="00155973">
        <w:rPr>
          <w:color w:val="auto"/>
          <w:sz w:val="24"/>
          <w:szCs w:val="24"/>
          <w:lang w:val="ru-RU"/>
        </w:rPr>
        <w:t>В зависимости от имеющихся национальных данных могут быть произведены корректировки для соответствия требованиям показателя к возрастным группам (люди в возрасте 15 лет и старше).</w:t>
      </w:r>
    </w:p>
    <w:p w:rsidR="00155973" w:rsidRPr="00BD29EC" w:rsidRDefault="00155973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A479E0" w:rsidRDefault="00A479E0" w:rsidP="00610C4F">
      <w:pPr>
        <w:pStyle w:val="MText"/>
        <w:numPr>
          <w:ilvl w:val="0"/>
          <w:numId w:val="11"/>
        </w:numPr>
        <w:rPr>
          <w:b/>
          <w:color w:val="auto"/>
          <w:sz w:val="24"/>
          <w:szCs w:val="24"/>
          <w:lang w:val="ru-RU"/>
        </w:rPr>
      </w:pPr>
      <w:r w:rsidRPr="00A479E0">
        <w:rPr>
          <w:b/>
          <w:color w:val="auto"/>
          <w:sz w:val="24"/>
          <w:szCs w:val="24"/>
          <w:lang w:val="ru-RU"/>
        </w:rPr>
        <w:t>На страновом уровне:</w:t>
      </w:r>
    </w:p>
    <w:p w:rsidR="0029032F" w:rsidRPr="00E374A8" w:rsidRDefault="0029032F" w:rsidP="0029032F">
      <w:p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В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случае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расстройства,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вызванного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употреблением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наркотиков,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будут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предоставлены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странам,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которых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имеется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информация,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как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для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числителя,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так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для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знаменателя.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Оценки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будут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проводиться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национальном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уровне.</w:t>
      </w:r>
    </w:p>
    <w:p w:rsidR="002E15F9" w:rsidRPr="00610C4F" w:rsidRDefault="0029032F" w:rsidP="00610C4F">
      <w:pPr>
        <w:rPr>
          <w:rFonts w:cs="Times New Roman"/>
          <w:color w:val="000000" w:themeColor="text1"/>
          <w:szCs w:val="24"/>
          <w:lang w:eastAsia="en-GB"/>
        </w:rPr>
      </w:pPr>
      <w:r w:rsidRPr="00E374A8">
        <w:rPr>
          <w:rFonts w:cs="Times New Roman"/>
          <w:color w:val="000000" w:themeColor="text1"/>
          <w:szCs w:val="24"/>
          <w:lang w:eastAsia="en-GB"/>
        </w:rPr>
        <w:t>В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случае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алкоголя,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когда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в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стране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отсутствует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информация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об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использовании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услуг,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будет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использоваться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несколько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подходов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для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получения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оценок,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основанных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на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всех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доступных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фрагментах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контекстных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данных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возможностях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обслуживания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в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стране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на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региональном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уровне.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Необходимо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установить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связь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между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доступностью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услуг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использованием,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чтобы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получить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точное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представление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количестве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людей,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которые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могут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воспользоваться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услугами,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в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тех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странах,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где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не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имеется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никакой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прямой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информации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о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количестве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людей,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пользующихся</w:t>
      </w:r>
      <w:r>
        <w:rPr>
          <w:rFonts w:cs="Times New Roman"/>
          <w:color w:val="000000" w:themeColor="text1"/>
          <w:szCs w:val="24"/>
          <w:lang w:eastAsia="en-GB"/>
        </w:rPr>
        <w:t xml:space="preserve"> </w:t>
      </w:r>
      <w:r w:rsidRPr="00E374A8">
        <w:rPr>
          <w:rFonts w:cs="Times New Roman"/>
          <w:color w:val="000000" w:themeColor="text1"/>
          <w:szCs w:val="24"/>
          <w:lang w:eastAsia="en-GB"/>
        </w:rPr>
        <w:t>услугами.</w:t>
      </w:r>
    </w:p>
    <w:p w:rsidR="002E15F9" w:rsidRPr="00A479E0" w:rsidRDefault="00694160" w:rsidP="00610C4F">
      <w:pPr>
        <w:pStyle w:val="MText"/>
        <w:numPr>
          <w:ilvl w:val="0"/>
          <w:numId w:val="11"/>
        </w:numPr>
        <w:rPr>
          <w:b/>
          <w:color w:val="auto"/>
          <w:sz w:val="24"/>
          <w:szCs w:val="24"/>
          <w:lang w:val="ru-RU"/>
        </w:rPr>
      </w:pPr>
      <w:r w:rsidRPr="00A479E0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A479E0">
        <w:rPr>
          <w:b/>
          <w:color w:val="auto"/>
          <w:sz w:val="24"/>
          <w:szCs w:val="24"/>
          <w:lang w:val="ru-RU"/>
        </w:rPr>
        <w:t>:</w:t>
      </w:r>
    </w:p>
    <w:p w:rsidR="00694160" w:rsidRDefault="0029032F" w:rsidP="0029032F">
      <w:p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Субрегиональные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региональные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агрегаты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создаются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наличии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достаточного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количества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уровне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страны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(минимальное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количество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стран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минимальный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процент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охвата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населения).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Когда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доступны,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сначала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создаются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субрегиональные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оценки,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затем</w:t>
      </w:r>
      <w:r>
        <w:rPr>
          <w:rFonts w:cs="Times New Roman"/>
          <w:szCs w:val="24"/>
          <w:lang w:eastAsia="en-GB"/>
        </w:rPr>
        <w:t xml:space="preserve"> </w:t>
      </w:r>
      <w:proofErr w:type="spellStart"/>
      <w:r w:rsidRPr="00E374A8">
        <w:rPr>
          <w:rFonts w:cs="Times New Roman"/>
          <w:szCs w:val="24"/>
          <w:lang w:eastAsia="en-GB"/>
        </w:rPr>
        <w:t>агрегируются</w:t>
      </w:r>
      <w:proofErr w:type="spellEnd"/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региональном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уровне.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Глобальный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уровень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рассчитывается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как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совокупность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региональных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оценок</w:t>
      </w:r>
      <w:r w:rsidRPr="00FB28C0">
        <w:rPr>
          <w:rFonts w:cs="Times New Roman"/>
          <w:szCs w:val="24"/>
          <w:lang w:eastAsia="en-GB"/>
        </w:rPr>
        <w:t>.</w:t>
      </w:r>
    </w:p>
    <w:p w:rsidR="00A479E0" w:rsidRDefault="00A479E0" w:rsidP="0029032F">
      <w:pPr>
        <w:rPr>
          <w:rFonts w:cs="Times New Roman"/>
          <w:b/>
          <w:szCs w:val="24"/>
          <w:lang w:eastAsia="en-GB"/>
        </w:rPr>
      </w:pPr>
      <w:r w:rsidRPr="00A479E0">
        <w:rPr>
          <w:rFonts w:cs="Times New Roman"/>
          <w:b/>
          <w:szCs w:val="24"/>
          <w:lang w:eastAsia="en-GB"/>
        </w:rPr>
        <w:t xml:space="preserve">Что касается контекстной информации, связанной с </w:t>
      </w:r>
      <w:r>
        <w:rPr>
          <w:rFonts w:cs="Times New Roman"/>
          <w:b/>
          <w:szCs w:val="24"/>
          <w:lang w:eastAsia="en-GB"/>
        </w:rPr>
        <w:t>и</w:t>
      </w:r>
      <w:r w:rsidRPr="00A479E0">
        <w:rPr>
          <w:rFonts w:cs="Times New Roman"/>
          <w:b/>
          <w:szCs w:val="24"/>
          <w:lang w:eastAsia="en-GB"/>
        </w:rPr>
        <w:t>ндексом мощности обслуживания.</w:t>
      </w:r>
    </w:p>
    <w:p w:rsidR="00A479E0" w:rsidRPr="0029032F" w:rsidRDefault="00A479E0" w:rsidP="0029032F">
      <w:pPr>
        <w:rPr>
          <w:rFonts w:cs="Times New Roman"/>
          <w:szCs w:val="24"/>
          <w:lang w:eastAsia="en-GB"/>
        </w:rPr>
      </w:pPr>
      <w:r w:rsidRPr="00A479E0">
        <w:rPr>
          <w:rFonts w:cs="Times New Roman"/>
          <w:szCs w:val="24"/>
          <w:lang w:eastAsia="en-GB"/>
        </w:rPr>
        <w:t>Для стран, которые не предоставляют никаких данных или уровень пропусков которых считается очень высоким в соответствии с Глобальным исследованием ВОЗ по прогрессу в выполнении задачи 3.5 ЦУР в области здравоохранения, ВОЗ использует многомерное вменение методом цепных уравнений (</w:t>
      </w:r>
      <w:proofErr w:type="spellStart"/>
      <w:r w:rsidRPr="00A479E0">
        <w:rPr>
          <w:rFonts w:cs="Times New Roman"/>
          <w:szCs w:val="24"/>
          <w:lang w:eastAsia="en-GB"/>
        </w:rPr>
        <w:t>van</w:t>
      </w:r>
      <w:proofErr w:type="spellEnd"/>
      <w:r w:rsidRPr="00A479E0">
        <w:rPr>
          <w:rFonts w:cs="Times New Roman"/>
          <w:szCs w:val="24"/>
          <w:lang w:eastAsia="en-GB"/>
        </w:rPr>
        <w:t xml:space="preserve"> </w:t>
      </w:r>
      <w:proofErr w:type="spellStart"/>
      <w:r w:rsidRPr="00A479E0">
        <w:rPr>
          <w:rFonts w:cs="Times New Roman"/>
          <w:szCs w:val="24"/>
          <w:lang w:eastAsia="en-GB"/>
        </w:rPr>
        <w:t>Buuren</w:t>
      </w:r>
      <w:proofErr w:type="spellEnd"/>
      <w:r w:rsidRPr="00A479E0">
        <w:rPr>
          <w:rFonts w:cs="Times New Roman"/>
          <w:szCs w:val="24"/>
          <w:lang w:eastAsia="en-GB"/>
        </w:rPr>
        <w:t>, 2018) для вменения SCI-SUD, предполагая, что данные отсутствуют случайным образом (MAR) и с использованием метода сопоставления прогнозируемых средних значений (</w:t>
      </w:r>
      <w:proofErr w:type="spellStart"/>
      <w:r w:rsidRPr="00A479E0">
        <w:rPr>
          <w:rFonts w:cs="Times New Roman"/>
          <w:szCs w:val="24"/>
          <w:lang w:eastAsia="en-GB"/>
        </w:rPr>
        <w:t>Krupchanka</w:t>
      </w:r>
      <w:proofErr w:type="spellEnd"/>
      <w:r w:rsidRPr="00A479E0">
        <w:rPr>
          <w:rFonts w:cs="Times New Roman"/>
          <w:szCs w:val="24"/>
          <w:lang w:eastAsia="en-GB"/>
        </w:rPr>
        <w:t xml:space="preserve"> </w:t>
      </w:r>
      <w:proofErr w:type="spellStart"/>
      <w:r w:rsidRPr="00A479E0">
        <w:rPr>
          <w:rFonts w:cs="Times New Roman"/>
          <w:szCs w:val="24"/>
          <w:lang w:eastAsia="en-GB"/>
        </w:rPr>
        <w:t>et</w:t>
      </w:r>
      <w:proofErr w:type="spellEnd"/>
      <w:r w:rsidRPr="00A479E0">
        <w:rPr>
          <w:rFonts w:cs="Times New Roman"/>
          <w:szCs w:val="24"/>
          <w:lang w:eastAsia="en-GB"/>
        </w:rPr>
        <w:t xml:space="preserve"> </w:t>
      </w:r>
      <w:proofErr w:type="spellStart"/>
      <w:proofErr w:type="gramStart"/>
      <w:r w:rsidRPr="00A479E0">
        <w:rPr>
          <w:rFonts w:cs="Times New Roman"/>
          <w:szCs w:val="24"/>
          <w:lang w:eastAsia="en-GB"/>
        </w:rPr>
        <w:t>al</w:t>
      </w:r>
      <w:proofErr w:type="spellEnd"/>
      <w:r w:rsidRPr="00A479E0">
        <w:rPr>
          <w:rFonts w:cs="Times New Roman"/>
          <w:szCs w:val="24"/>
          <w:lang w:eastAsia="en-GB"/>
        </w:rPr>
        <w:t>., 2022).</w:t>
      </w:r>
      <w:proofErr w:type="gramEnd"/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763313" w:rsidRPr="00763313" w:rsidRDefault="00763313" w:rsidP="00763313">
      <w:pPr>
        <w:pStyle w:val="MText"/>
        <w:rPr>
          <w:color w:val="auto"/>
          <w:sz w:val="24"/>
          <w:szCs w:val="24"/>
          <w:lang w:val="ru-RU"/>
        </w:rPr>
      </w:pPr>
      <w:r w:rsidRPr="00763313">
        <w:rPr>
          <w:color w:val="auto"/>
          <w:sz w:val="24"/>
          <w:szCs w:val="24"/>
          <w:lang w:val="ru-RU"/>
        </w:rPr>
        <w:t xml:space="preserve">Для показателя расстройств, вызванных употреблением психоактивных веществ, относящихся к «любому наркотику», составляются региональные и глобальные агрегированные данные. После того как данные проверяются государством-членом, составляются оценки по годам и </w:t>
      </w:r>
      <w:proofErr w:type="spellStart"/>
      <w:r w:rsidRPr="00763313">
        <w:rPr>
          <w:color w:val="auto"/>
          <w:sz w:val="24"/>
          <w:szCs w:val="24"/>
          <w:lang w:val="ru-RU"/>
        </w:rPr>
        <w:t>субрегионам</w:t>
      </w:r>
      <w:proofErr w:type="spellEnd"/>
      <w:r w:rsidRPr="00763313">
        <w:rPr>
          <w:color w:val="auto"/>
          <w:sz w:val="24"/>
          <w:szCs w:val="24"/>
          <w:lang w:val="ru-RU"/>
        </w:rPr>
        <w:t xml:space="preserve">. Позже они </w:t>
      </w:r>
      <w:proofErr w:type="spellStart"/>
      <w:r w:rsidRPr="00763313">
        <w:rPr>
          <w:color w:val="auto"/>
          <w:sz w:val="24"/>
          <w:szCs w:val="24"/>
          <w:lang w:val="ru-RU"/>
        </w:rPr>
        <w:t>агрегируются</w:t>
      </w:r>
      <w:proofErr w:type="spellEnd"/>
      <w:r w:rsidRPr="00763313">
        <w:rPr>
          <w:color w:val="auto"/>
          <w:sz w:val="24"/>
          <w:szCs w:val="24"/>
          <w:lang w:val="ru-RU"/>
        </w:rPr>
        <w:t xml:space="preserve"> на региональном и глобальном уровнях.</w:t>
      </w:r>
    </w:p>
    <w:p w:rsidR="00763313" w:rsidRPr="00763313" w:rsidRDefault="00763313" w:rsidP="00763313">
      <w:pPr>
        <w:pStyle w:val="MText"/>
        <w:rPr>
          <w:color w:val="auto"/>
          <w:sz w:val="24"/>
          <w:szCs w:val="24"/>
          <w:lang w:val="ru-RU"/>
        </w:rPr>
      </w:pPr>
    </w:p>
    <w:p w:rsidR="002E15F9" w:rsidRDefault="00763313" w:rsidP="00763313">
      <w:pPr>
        <w:pStyle w:val="MText"/>
        <w:rPr>
          <w:color w:val="auto"/>
          <w:sz w:val="24"/>
          <w:szCs w:val="24"/>
          <w:lang w:val="ru-RU"/>
        </w:rPr>
      </w:pPr>
      <w:r w:rsidRPr="00763313">
        <w:rPr>
          <w:color w:val="auto"/>
          <w:sz w:val="24"/>
          <w:szCs w:val="24"/>
          <w:lang w:val="ru-RU"/>
        </w:rPr>
        <w:lastRenderedPageBreak/>
        <w:t>Агрегирование данных также возможно для контекстн</w:t>
      </w:r>
      <w:r>
        <w:rPr>
          <w:color w:val="auto"/>
          <w:sz w:val="24"/>
          <w:szCs w:val="24"/>
          <w:lang w:val="ru-RU"/>
        </w:rPr>
        <w:t>ой информации по показателю (т.</w:t>
      </w:r>
      <w:r w:rsidRPr="00763313">
        <w:rPr>
          <w:color w:val="auto"/>
          <w:sz w:val="24"/>
          <w:szCs w:val="24"/>
          <w:lang w:val="ru-RU"/>
        </w:rPr>
        <w:t xml:space="preserve">е. индексу возможностей обслуживания) как на </w:t>
      </w:r>
      <w:proofErr w:type="gramStart"/>
      <w:r w:rsidRPr="00763313">
        <w:rPr>
          <w:color w:val="auto"/>
          <w:sz w:val="24"/>
          <w:szCs w:val="24"/>
          <w:lang w:val="ru-RU"/>
        </w:rPr>
        <w:t>глобальном</w:t>
      </w:r>
      <w:proofErr w:type="gramEnd"/>
      <w:r w:rsidRPr="00763313">
        <w:rPr>
          <w:color w:val="auto"/>
          <w:sz w:val="24"/>
          <w:szCs w:val="24"/>
          <w:lang w:val="ru-RU"/>
        </w:rPr>
        <w:t>, так и на региональном уровнях.</w:t>
      </w:r>
    </w:p>
    <w:p w:rsidR="00763313" w:rsidRPr="00BD29EC" w:rsidRDefault="00763313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563CF0" w:rsidRPr="00E374A8" w:rsidRDefault="00563CF0" w:rsidP="00563CF0">
      <w:r w:rsidRPr="00E374A8">
        <w:t>УНП</w:t>
      </w:r>
      <w:r>
        <w:t xml:space="preserve"> </w:t>
      </w:r>
      <w:r w:rsidRPr="00E374A8">
        <w:t>ООН</w:t>
      </w:r>
      <w:r>
        <w:t xml:space="preserve"> </w:t>
      </w:r>
      <w:r w:rsidRPr="00E374A8">
        <w:t>опубликовало</w:t>
      </w:r>
      <w:r>
        <w:t xml:space="preserve"> </w:t>
      </w:r>
      <w:r w:rsidRPr="00E374A8">
        <w:t>серию</w:t>
      </w:r>
      <w:r>
        <w:t xml:space="preserve"> </w:t>
      </w:r>
      <w:r w:rsidRPr="00E374A8">
        <w:t>методологических</w:t>
      </w:r>
      <w:r>
        <w:t xml:space="preserve"> </w:t>
      </w:r>
      <w:r w:rsidRPr="00E374A8">
        <w:t>руководств</w:t>
      </w:r>
      <w:r>
        <w:t xml:space="preserve"> </w:t>
      </w:r>
      <w:r w:rsidRPr="00E374A8">
        <w:t>по</w:t>
      </w:r>
      <w:r>
        <w:t xml:space="preserve"> </w:t>
      </w:r>
      <w:r w:rsidRPr="00E374A8">
        <w:t>ряду</w:t>
      </w:r>
      <w:r>
        <w:t xml:space="preserve"> </w:t>
      </w:r>
      <w:r w:rsidRPr="00E374A8">
        <w:t>вопросов,</w:t>
      </w:r>
      <w:r>
        <w:t xml:space="preserve"> </w:t>
      </w:r>
      <w:r w:rsidRPr="00E374A8">
        <w:t>связанных</w:t>
      </w:r>
      <w:r>
        <w:t xml:space="preserve"> </w:t>
      </w:r>
      <w:r w:rsidRPr="00E374A8">
        <w:t>с</w:t>
      </w:r>
      <w:r>
        <w:t xml:space="preserve"> </w:t>
      </w:r>
      <w:r w:rsidRPr="00E374A8">
        <w:t>проблемой</w:t>
      </w:r>
      <w:r>
        <w:t xml:space="preserve"> </w:t>
      </w:r>
      <w:r w:rsidRPr="00E374A8">
        <w:t>наркотиков,</w:t>
      </w:r>
      <w:r>
        <w:t xml:space="preserve"> </w:t>
      </w:r>
      <w:r w:rsidRPr="00E374A8">
        <w:t>под</w:t>
      </w:r>
      <w:r>
        <w:t xml:space="preserve"> </w:t>
      </w:r>
      <w:r w:rsidRPr="00E374A8">
        <w:t>названием</w:t>
      </w:r>
      <w:r>
        <w:t xml:space="preserve"> </w:t>
      </w:r>
      <w:r w:rsidRPr="00E374A8">
        <w:t>«Глобальная</w:t>
      </w:r>
      <w:r>
        <w:t xml:space="preserve"> </w:t>
      </w:r>
      <w:r w:rsidRPr="00E374A8">
        <w:t>программа</w:t>
      </w:r>
      <w:r>
        <w:t xml:space="preserve"> </w:t>
      </w:r>
      <w:r w:rsidRPr="00E374A8">
        <w:t>оценки</w:t>
      </w:r>
      <w:r>
        <w:t xml:space="preserve"> </w:t>
      </w:r>
      <w:r w:rsidRPr="00E374A8">
        <w:t>злоупотребления</w:t>
      </w:r>
      <w:r>
        <w:t xml:space="preserve"> </w:t>
      </w:r>
      <w:r w:rsidRPr="00E374A8">
        <w:t>наркотиками</w:t>
      </w:r>
      <w:r>
        <w:t xml:space="preserve"> </w:t>
      </w:r>
      <w:r w:rsidRPr="00E374A8">
        <w:t>(ГПО)».</w:t>
      </w:r>
      <w:r>
        <w:t xml:space="preserve"> </w:t>
      </w:r>
      <w:r w:rsidRPr="00E374A8">
        <w:t>Эти</w:t>
      </w:r>
      <w:r>
        <w:t xml:space="preserve"> </w:t>
      </w:r>
      <w:r w:rsidRPr="00E374A8">
        <w:t>руководства</w:t>
      </w:r>
      <w:r>
        <w:t xml:space="preserve"> </w:t>
      </w:r>
      <w:r w:rsidRPr="00E374A8">
        <w:t>состоят</w:t>
      </w:r>
      <w:r>
        <w:t xml:space="preserve"> </w:t>
      </w:r>
      <w:r w:rsidRPr="00E374A8">
        <w:t>из</w:t>
      </w:r>
      <w:r>
        <w:t xml:space="preserve"> </w:t>
      </w:r>
      <w:r w:rsidRPr="00E374A8">
        <w:t>8</w:t>
      </w:r>
      <w:r>
        <w:t xml:space="preserve"> </w:t>
      </w:r>
      <w:r w:rsidRPr="00E374A8">
        <w:t>модулей,</w:t>
      </w:r>
      <w:r>
        <w:t xml:space="preserve"> </w:t>
      </w:r>
      <w:r w:rsidRPr="00E374A8">
        <w:t>охватывающих</w:t>
      </w:r>
      <w:r>
        <w:t xml:space="preserve"> </w:t>
      </w:r>
      <w:r w:rsidRPr="00E374A8">
        <w:t>различные</w:t>
      </w:r>
      <w:r>
        <w:t xml:space="preserve"> </w:t>
      </w:r>
      <w:r w:rsidRPr="00E374A8">
        <w:t>аспекты</w:t>
      </w:r>
      <w:r>
        <w:t xml:space="preserve"> </w:t>
      </w:r>
      <w:r w:rsidRPr="00E374A8">
        <w:t>мониторинга</w:t>
      </w:r>
      <w:r>
        <w:t xml:space="preserve"> </w:t>
      </w:r>
      <w:r w:rsidRPr="00E374A8">
        <w:t>ситуации</w:t>
      </w:r>
      <w:r>
        <w:t xml:space="preserve"> </w:t>
      </w:r>
      <w:r w:rsidRPr="00E374A8">
        <w:t>с</w:t>
      </w:r>
      <w:r>
        <w:t xml:space="preserve"> </w:t>
      </w:r>
      <w:r w:rsidRPr="00E374A8">
        <w:t>наркотиками,</w:t>
      </w:r>
      <w:r>
        <w:t xml:space="preserve"> </w:t>
      </w:r>
      <w:r w:rsidRPr="00E374A8">
        <w:t>включая</w:t>
      </w:r>
      <w:r>
        <w:t xml:space="preserve"> </w:t>
      </w:r>
      <w:r w:rsidRPr="00E374A8">
        <w:t>настройку</w:t>
      </w:r>
      <w:r>
        <w:t xml:space="preserve"> </w:t>
      </w:r>
      <w:r w:rsidRPr="00E374A8">
        <w:t>информационных</w:t>
      </w:r>
      <w:r>
        <w:t xml:space="preserve"> </w:t>
      </w:r>
      <w:r w:rsidRPr="00E374A8">
        <w:t>систем</w:t>
      </w:r>
      <w:r>
        <w:t xml:space="preserve"> </w:t>
      </w:r>
      <w:r w:rsidRPr="00E374A8">
        <w:t>по</w:t>
      </w:r>
      <w:r>
        <w:t xml:space="preserve"> </w:t>
      </w:r>
      <w:r w:rsidRPr="00E374A8">
        <w:t>наркотикам,</w:t>
      </w:r>
      <w:r>
        <w:t xml:space="preserve"> </w:t>
      </w:r>
      <w:r w:rsidRPr="00E374A8">
        <w:t>оценку</w:t>
      </w:r>
      <w:r>
        <w:t xml:space="preserve"> </w:t>
      </w:r>
      <w:r w:rsidRPr="00E374A8">
        <w:t>распространенности</w:t>
      </w:r>
      <w:r>
        <w:t xml:space="preserve"> </w:t>
      </w:r>
      <w:r w:rsidRPr="00E374A8">
        <w:t>наркотиков</w:t>
      </w:r>
      <w:r>
        <w:t xml:space="preserve"> </w:t>
      </w:r>
      <w:r w:rsidRPr="00E374A8">
        <w:t>с</w:t>
      </w:r>
      <w:r>
        <w:t xml:space="preserve"> </w:t>
      </w:r>
      <w:r w:rsidRPr="00E374A8">
        <w:t>использованием</w:t>
      </w:r>
      <w:r>
        <w:t xml:space="preserve"> </w:t>
      </w:r>
      <w:r w:rsidRPr="00E374A8">
        <w:t>косвенных</w:t>
      </w:r>
      <w:r>
        <w:t xml:space="preserve"> </w:t>
      </w:r>
      <w:r w:rsidRPr="00E374A8">
        <w:t>методов,</w:t>
      </w:r>
      <w:r>
        <w:t xml:space="preserve"> </w:t>
      </w:r>
      <w:r w:rsidRPr="00E374A8">
        <w:t>настройку</w:t>
      </w:r>
      <w:r>
        <w:t xml:space="preserve"> </w:t>
      </w:r>
      <w:r w:rsidRPr="00E374A8">
        <w:t>систем</w:t>
      </w:r>
      <w:r>
        <w:t xml:space="preserve"> </w:t>
      </w:r>
      <w:r w:rsidRPr="00E374A8">
        <w:t>мониторинга</w:t>
      </w:r>
      <w:r>
        <w:t xml:space="preserve"> </w:t>
      </w:r>
      <w:r w:rsidRPr="00E374A8">
        <w:t>лечения</w:t>
      </w:r>
      <w:r>
        <w:t xml:space="preserve"> </w:t>
      </w:r>
      <w:r w:rsidRPr="00E374A8">
        <w:t>и</w:t>
      </w:r>
      <w:r>
        <w:t xml:space="preserve"> </w:t>
      </w:r>
      <w:r w:rsidRPr="00E374A8">
        <w:t>отчетности</w:t>
      </w:r>
      <w:r>
        <w:t xml:space="preserve"> </w:t>
      </w:r>
      <w:r w:rsidRPr="00E374A8">
        <w:t>и</w:t>
      </w:r>
      <w:r>
        <w:t xml:space="preserve"> </w:t>
      </w:r>
      <w:r w:rsidRPr="00E374A8">
        <w:t>т.</w:t>
      </w:r>
      <w:r>
        <w:t xml:space="preserve"> </w:t>
      </w:r>
      <w:r w:rsidRPr="00E374A8">
        <w:t>д.</w:t>
      </w:r>
      <w:r>
        <w:t xml:space="preserve"> </w:t>
      </w:r>
    </w:p>
    <w:p w:rsidR="00563CF0" w:rsidRPr="00FB28C0" w:rsidRDefault="00563CF0" w:rsidP="00563CF0">
      <w:r w:rsidRPr="00E374A8">
        <w:t>Модули</w:t>
      </w:r>
      <w:r>
        <w:t xml:space="preserve"> </w:t>
      </w:r>
      <w:r w:rsidRPr="00E374A8">
        <w:t>можно</w:t>
      </w:r>
      <w:r>
        <w:t xml:space="preserve"> </w:t>
      </w:r>
      <w:r w:rsidRPr="00E374A8">
        <w:t>найти</w:t>
      </w:r>
      <w:r>
        <w:t xml:space="preserve"> </w:t>
      </w:r>
      <w:r w:rsidRPr="00E374A8">
        <w:t>по</w:t>
      </w:r>
      <w:r>
        <w:t xml:space="preserve"> </w:t>
      </w:r>
      <w:r w:rsidRPr="00E374A8">
        <w:t>адресу:</w:t>
      </w:r>
      <w:r>
        <w:t xml:space="preserve"> </w:t>
      </w:r>
      <w:r w:rsidRPr="00E374A8">
        <w:t>https:</w:t>
      </w:r>
      <w:r>
        <w:t xml:space="preserve"> </w:t>
      </w:r>
      <w:r w:rsidRPr="00E374A8">
        <w:t>//</w:t>
      </w:r>
      <w:r>
        <w:t xml:space="preserve"> </w:t>
      </w:r>
      <w:hyperlink r:id="rId10" w:history="1">
        <w:r w:rsidR="00F85A5E" w:rsidRPr="00703019">
          <w:rPr>
            <w:rStyle w:val="ad"/>
          </w:rPr>
          <w:t>www.unodc.org/unodc/en/GAP/</w:t>
        </w:r>
      </w:hyperlink>
      <w:r w:rsidRPr="00E374A8">
        <w:t>.</w:t>
      </w:r>
      <w:r>
        <w:t xml:space="preserve"> </w:t>
      </w:r>
      <w:r w:rsidRPr="00E374A8">
        <w:t>В</w:t>
      </w:r>
      <w:r>
        <w:t xml:space="preserve"> </w:t>
      </w:r>
      <w:r w:rsidRPr="00E374A8">
        <w:t>ближайшее</w:t>
      </w:r>
      <w:r>
        <w:t xml:space="preserve"> </w:t>
      </w:r>
      <w:r w:rsidRPr="00E374A8">
        <w:t>время</w:t>
      </w:r>
      <w:r>
        <w:t xml:space="preserve"> </w:t>
      </w:r>
      <w:r w:rsidRPr="00E374A8">
        <w:t>планируется</w:t>
      </w:r>
      <w:r>
        <w:t xml:space="preserve"> </w:t>
      </w:r>
      <w:r w:rsidRPr="00E374A8">
        <w:t>обновить</w:t>
      </w:r>
      <w:r>
        <w:t xml:space="preserve"> </w:t>
      </w:r>
      <w:r w:rsidRPr="00E374A8">
        <w:t>эти</w:t>
      </w:r>
      <w:r>
        <w:t xml:space="preserve"> </w:t>
      </w:r>
      <w:r w:rsidRPr="00E374A8">
        <w:t>рекомендации</w:t>
      </w:r>
      <w:r w:rsidRPr="00FB28C0">
        <w:t>.</w:t>
      </w:r>
    </w:p>
    <w:p w:rsidR="00563CF0" w:rsidRPr="00E374A8" w:rsidRDefault="00563CF0" w:rsidP="00563CF0">
      <w:pPr>
        <w:rPr>
          <w:rFonts w:eastAsia="Times New Roman"/>
          <w:lang w:eastAsia="en-GB"/>
        </w:rPr>
      </w:pPr>
      <w:r w:rsidRPr="00E374A8">
        <w:rPr>
          <w:rFonts w:eastAsia="Times New Roman"/>
          <w:lang w:eastAsia="en-GB"/>
        </w:rPr>
        <w:t>В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рамках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процесса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обзора</w:t>
      </w:r>
      <w:r>
        <w:rPr>
          <w:rFonts w:eastAsia="Times New Roman"/>
          <w:lang w:eastAsia="en-GB"/>
        </w:rPr>
        <w:t xml:space="preserve"> </w:t>
      </w:r>
      <w:r w:rsidRPr="00094D2E">
        <w:rPr>
          <w:rFonts w:eastAsia="Times New Roman"/>
          <w:lang w:eastAsia="en-GB"/>
        </w:rPr>
        <w:t>ARQ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УНП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ООН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планирует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расширить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свой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инструментарий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для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наращивания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потенциала,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дополнив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региональные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и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национальные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мероприятия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по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наращиванию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потенциала</w:t>
      </w:r>
      <w:r>
        <w:rPr>
          <w:rFonts w:eastAsia="Times New Roman"/>
          <w:lang w:eastAsia="en-GB"/>
        </w:rPr>
        <w:t xml:space="preserve"> </w:t>
      </w:r>
      <w:r w:rsidRPr="00E374A8">
        <w:rPr>
          <w:rFonts w:eastAsia="Times New Roman"/>
          <w:lang w:eastAsia="en-GB"/>
        </w:rPr>
        <w:t>следующим:</w:t>
      </w:r>
    </w:p>
    <w:p w:rsidR="00563CF0" w:rsidRPr="00F85A5E" w:rsidRDefault="00563CF0" w:rsidP="00F85A5E">
      <w:pPr>
        <w:pStyle w:val="ab"/>
        <w:numPr>
          <w:ilvl w:val="0"/>
          <w:numId w:val="14"/>
        </w:numPr>
        <w:rPr>
          <w:rFonts w:eastAsia="Times New Roman"/>
          <w:lang w:eastAsia="en-GB"/>
        </w:rPr>
      </w:pPr>
      <w:r w:rsidRPr="00F85A5E">
        <w:rPr>
          <w:rFonts w:eastAsia="Times New Roman"/>
          <w:lang w:eastAsia="en-GB"/>
        </w:rPr>
        <w:t>Электронные учебные модули со встроенными учебными программами</w:t>
      </w:r>
    </w:p>
    <w:p w:rsidR="00563CF0" w:rsidRPr="00F85A5E" w:rsidRDefault="00563CF0" w:rsidP="00F85A5E">
      <w:pPr>
        <w:pStyle w:val="ab"/>
        <w:numPr>
          <w:ilvl w:val="0"/>
          <w:numId w:val="14"/>
        </w:numPr>
        <w:rPr>
          <w:rFonts w:eastAsia="Times New Roman"/>
          <w:lang w:eastAsia="en-GB"/>
        </w:rPr>
      </w:pPr>
      <w:r w:rsidRPr="00F85A5E">
        <w:rPr>
          <w:rFonts w:eastAsia="Times New Roman"/>
          <w:lang w:eastAsia="en-GB"/>
        </w:rPr>
        <w:t>Создание методических руководств и инструментов по вопросам, связанным с наркотиками, включая расстройства, вызванные употреблением наркотиков, и лечение.</w:t>
      </w:r>
    </w:p>
    <w:p w:rsidR="00563CF0" w:rsidRPr="00E374A8" w:rsidRDefault="00563CF0" w:rsidP="00F85A5E">
      <w:pPr>
        <w:pStyle w:val="ab"/>
        <w:numPr>
          <w:ilvl w:val="0"/>
          <w:numId w:val="14"/>
        </w:numPr>
        <w:rPr>
          <w:lang w:eastAsia="en-GB"/>
        </w:rPr>
      </w:pPr>
      <w:r w:rsidRPr="00F85A5E">
        <w:rPr>
          <w:rFonts w:eastAsia="Times New Roman"/>
          <w:lang w:eastAsia="en-GB"/>
        </w:rPr>
        <w:t xml:space="preserve">Содействие национальным координационным механизмам по данным о наркотиках, включая национальные </w:t>
      </w:r>
      <w:r w:rsidRPr="00E374A8">
        <w:rPr>
          <w:lang w:eastAsia="en-GB"/>
        </w:rPr>
        <w:t>центры</w:t>
      </w:r>
      <w:r>
        <w:rPr>
          <w:lang w:eastAsia="en-GB"/>
        </w:rPr>
        <w:t xml:space="preserve"> </w:t>
      </w:r>
      <w:r w:rsidRPr="00E374A8">
        <w:rPr>
          <w:lang w:eastAsia="en-GB"/>
        </w:rPr>
        <w:t>мониторинга</w:t>
      </w:r>
      <w:r>
        <w:rPr>
          <w:lang w:eastAsia="en-GB"/>
        </w:rPr>
        <w:t xml:space="preserve"> </w:t>
      </w:r>
      <w:r w:rsidRPr="00E374A8">
        <w:rPr>
          <w:lang w:eastAsia="en-GB"/>
        </w:rPr>
        <w:t>наркотиков</w:t>
      </w:r>
    </w:p>
    <w:p w:rsidR="00563CF0" w:rsidRPr="00563CF0" w:rsidRDefault="00563CF0" w:rsidP="00563CF0">
      <w:pPr>
        <w:rPr>
          <w:rFonts w:eastAsia="Calibri"/>
        </w:rPr>
      </w:pPr>
      <w:r w:rsidRPr="00E374A8">
        <w:rPr>
          <w:rFonts w:eastAsia="Calibri"/>
        </w:rPr>
        <w:t>ВОЗ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опубликовала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серию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документов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мониторингу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алкоголя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среди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населения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(например,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Международное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руководство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мониторингу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потребления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алкоголя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связанного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ним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вреда)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создала</w:t>
      </w:r>
      <w:r>
        <w:rPr>
          <w:rFonts w:eastAsia="Calibri"/>
        </w:rPr>
        <w:t xml:space="preserve"> </w:t>
      </w:r>
      <w:hyperlink r:id="rId11" w:history="1">
        <w:r w:rsidRPr="00FC3AC1">
          <w:rPr>
            <w:rFonts w:eastAsia="Calibri"/>
          </w:rPr>
          <w:t>Глобальную информационную систему по алкоголю и здоровью (GISAH)</w:t>
        </w:r>
      </w:hyperlink>
      <w:r>
        <w:rPr>
          <w:rFonts w:eastAsia="Calibri"/>
        </w:rPr>
        <w:t xml:space="preserve">, которая </w:t>
      </w:r>
      <w:r w:rsidRPr="00E374A8">
        <w:rPr>
          <w:rFonts w:eastAsia="Calibri"/>
        </w:rPr>
        <w:t>обеспечивает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легкий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быстрый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доступ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к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широкому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спектру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показателей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здоровья,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связанных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употреблением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алкоголя.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Это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важный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инструмент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для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оценки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мониторинга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состояния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здоровья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тенденций,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связанных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употреблением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алкоголя,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вредом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от</w:t>
      </w:r>
      <w:r>
        <w:rPr>
          <w:rFonts w:eastAsia="Calibri"/>
        </w:rPr>
        <w:t xml:space="preserve">  </w:t>
      </w:r>
      <w:r w:rsidRPr="00E374A8">
        <w:rPr>
          <w:rFonts w:eastAsia="Calibri"/>
        </w:rPr>
        <w:t>алкоголя,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ответными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мерами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политики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странах.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GISAH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является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дальнейшим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развитием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Глобальной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базы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данных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алкоголю,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которая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была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создана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1997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года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Департаментом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психического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здоровья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proofErr w:type="spellStart"/>
      <w:proofErr w:type="gramStart"/>
      <w:r w:rsidRPr="00E374A8">
        <w:rPr>
          <w:rFonts w:eastAsia="Calibri"/>
        </w:rPr>
        <w:t>и</w:t>
      </w:r>
      <w:proofErr w:type="spellEnd"/>
      <w:proofErr w:type="gramEnd"/>
      <w:r>
        <w:rPr>
          <w:rFonts w:eastAsia="Calibri"/>
        </w:rPr>
        <w:t xml:space="preserve"> </w:t>
      </w:r>
      <w:r w:rsidRPr="00E374A8">
        <w:rPr>
          <w:rFonts w:eastAsia="Calibri"/>
        </w:rPr>
        <w:t>профилактики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наркомании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ВОЗ.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Основная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цель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GISAH</w:t>
      </w:r>
      <w:r>
        <w:rPr>
          <w:rFonts w:eastAsia="Calibri"/>
        </w:rPr>
        <w:t xml:space="preserve"> </w:t>
      </w:r>
      <w:r w:rsidR="00A16CB1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государствам-членам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ВОЗ,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также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правительственным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неправительственным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организациям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предоставлять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данные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области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здравоохранения,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связанные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употреблением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алкоголя.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Эти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данные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могут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помочь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проанализировать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положение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области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здравоохранения,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связанное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употреблением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алкоголя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стране,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регионе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или</w:t>
      </w:r>
      <w:r>
        <w:rPr>
          <w:rFonts w:eastAsia="Calibri"/>
        </w:rPr>
        <w:t xml:space="preserve"> </w:t>
      </w:r>
      <w:proofErr w:type="spellStart"/>
      <w:r w:rsidRPr="00E374A8">
        <w:rPr>
          <w:rFonts w:eastAsia="Calibri"/>
        </w:rPr>
        <w:t>субрегионе</w:t>
      </w:r>
      <w:proofErr w:type="spellEnd"/>
      <w:r>
        <w:rPr>
          <w:rFonts w:eastAsia="Calibri"/>
        </w:rPr>
        <w:t xml:space="preserve"> </w:t>
      </w:r>
      <w:r w:rsidRPr="00E374A8">
        <w:rPr>
          <w:rFonts w:eastAsia="Calibri"/>
        </w:rPr>
        <w:t>ВОЗ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или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мире.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Книга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обозначений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индикаторов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(</w:t>
      </w:r>
      <w:proofErr w:type="spellStart"/>
      <w:r w:rsidRPr="00E374A8"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 w:rsidRPr="00E374A8">
        <w:rPr>
          <w:rFonts w:eastAsia="Calibri"/>
        </w:rPr>
        <w:t>Indicator</w:t>
      </w:r>
      <w:proofErr w:type="spellEnd"/>
      <w:r>
        <w:rPr>
          <w:rFonts w:eastAsia="Calibri"/>
        </w:rPr>
        <w:t xml:space="preserve"> </w:t>
      </w:r>
      <w:proofErr w:type="spellStart"/>
      <w:r w:rsidRPr="00E374A8">
        <w:rPr>
          <w:rFonts w:eastAsia="Calibri"/>
        </w:rPr>
        <w:t>Code</w:t>
      </w:r>
      <w:proofErr w:type="spellEnd"/>
      <w:r>
        <w:rPr>
          <w:rFonts w:eastAsia="Calibri"/>
        </w:rPr>
        <w:t xml:space="preserve"> </w:t>
      </w:r>
      <w:proofErr w:type="spellStart"/>
      <w:r w:rsidRPr="00E374A8">
        <w:rPr>
          <w:rFonts w:eastAsia="Calibri"/>
        </w:rPr>
        <w:t>Book</w:t>
      </w:r>
      <w:proofErr w:type="spellEnd"/>
      <w:r w:rsidRPr="00E374A8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была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подготовлена,</w:t>
      </w:r>
      <w:r>
        <w:rPr>
          <w:rFonts w:eastAsia="Calibri"/>
        </w:rPr>
        <w:t xml:space="preserve"> </w:t>
      </w:r>
      <w:r w:rsidRPr="00E374A8">
        <w:rPr>
          <w:rFonts w:eastAsia="Calibri"/>
        </w:rPr>
        <w:t>чтобы</w:t>
      </w:r>
      <w:r>
        <w:rPr>
          <w:rFonts w:eastAsia="Calibri"/>
        </w:rPr>
        <w:t xml:space="preserve"> помочь странам в сборе данных</w:t>
      </w:r>
      <w:r w:rsidRPr="00E374A8">
        <w:rPr>
          <w:rFonts w:eastAsia="Calibri"/>
        </w:rPr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A16CB1" w:rsidRPr="00BD29EC" w:rsidRDefault="00A16CB1" w:rsidP="0075371E">
      <w:pPr>
        <w:pStyle w:val="MHeader2"/>
        <w:rPr>
          <w:color w:val="auto"/>
          <w:sz w:val="24"/>
          <w:szCs w:val="24"/>
          <w:lang w:val="ru-RU"/>
        </w:rPr>
      </w:pPr>
      <w:r w:rsidRPr="00A16CB1">
        <w:rPr>
          <w:color w:val="auto"/>
          <w:sz w:val="24"/>
          <w:szCs w:val="24"/>
          <w:lang w:val="ru-RU"/>
        </w:rPr>
        <w:t xml:space="preserve">Процессы предварительной публикации, проводимые для большинства коллекций данных УНП ООН и ВОЗ, как описано в разделе «Проверка» выше, позволяют должным образом управлять качеством представляемых данных. В частности, поскольку данные по </w:t>
      </w:r>
      <w:r w:rsidRPr="00A16CB1">
        <w:rPr>
          <w:color w:val="auto"/>
          <w:sz w:val="24"/>
          <w:szCs w:val="24"/>
          <w:lang w:val="ru-RU"/>
        </w:rPr>
        <w:lastRenderedPageBreak/>
        <w:t>показателю 3.5.1 ЦУР передаются различным координаторам (со стороны по наркотикам и со стороны ЦУР), часто представляющим разные учреждения в национальной системе, это позволяет консолидировать национальные данные по показателю и другим ключевым показатели спроса на наркотики, такие как люди, находящиеся на лечении, и люди с расстройствами, связанными с употреблением алкоголя</w:t>
      </w:r>
      <w:r>
        <w:rPr>
          <w:color w:val="auto"/>
          <w:sz w:val="24"/>
          <w:szCs w:val="24"/>
          <w:lang w:val="ru-RU"/>
        </w:rPr>
        <w:t xml:space="preserve"> </w:t>
      </w:r>
      <w:r w:rsidRPr="00A16CB1">
        <w:rPr>
          <w:color w:val="auto"/>
          <w:sz w:val="24"/>
          <w:szCs w:val="24"/>
          <w:lang w:val="ru-RU"/>
        </w:rPr>
        <w:t>/</w:t>
      </w:r>
      <w:r>
        <w:rPr>
          <w:color w:val="auto"/>
          <w:sz w:val="24"/>
          <w:szCs w:val="24"/>
          <w:lang w:val="ru-RU"/>
        </w:rPr>
        <w:t xml:space="preserve"> </w:t>
      </w:r>
      <w:r w:rsidRPr="00A16CB1">
        <w:rPr>
          <w:color w:val="auto"/>
          <w:sz w:val="24"/>
          <w:szCs w:val="24"/>
          <w:lang w:val="ru-RU"/>
        </w:rPr>
        <w:t>наркотиков.</w:t>
      </w:r>
      <w:r>
        <w:rPr>
          <w:color w:val="auto"/>
          <w:sz w:val="24"/>
          <w:szCs w:val="24"/>
          <w:lang w:val="ru-RU"/>
        </w:rPr>
        <w:br/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563CF0" w:rsidRPr="00E374A8" w:rsidRDefault="00563CF0" w:rsidP="00563CF0">
      <w:pPr>
        <w:rPr>
          <w:rFonts w:eastAsia="Calibri" w:cs="Times New Roman"/>
          <w:szCs w:val="24"/>
        </w:rPr>
      </w:pPr>
      <w:r w:rsidRPr="00E374A8">
        <w:rPr>
          <w:rFonts w:eastAsia="Calibri" w:cs="Times New Roman"/>
          <w:szCs w:val="24"/>
        </w:rPr>
        <w:t>В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УНП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ООН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приняты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меры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обеспечению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качества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сбора,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обработки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распространения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статистических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данных.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Они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основаны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на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«Принципах,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регулирующих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международную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статистическую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деятельность»,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регулируют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сбор,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обработку,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публикацию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распространение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данных.</w:t>
      </w:r>
    </w:p>
    <w:p w:rsidR="00563CF0" w:rsidRPr="00E374A8" w:rsidRDefault="00563CF0" w:rsidP="00563CF0">
      <w:pPr>
        <w:rPr>
          <w:rFonts w:eastAsia="Calibri" w:cs="Times New Roman"/>
          <w:szCs w:val="24"/>
        </w:rPr>
      </w:pPr>
      <w:r w:rsidRPr="00E374A8">
        <w:rPr>
          <w:rFonts w:eastAsia="Calibri" w:cs="Times New Roman"/>
          <w:szCs w:val="24"/>
        </w:rPr>
        <w:t>Все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данные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для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показателей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ЦУР,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составленные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Управлением,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направляются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странам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(через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соответствующие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национальные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координационные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центры)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для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анализа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официального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опубликования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статистических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данных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УНП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ООН.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Когда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страны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предоставляют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отзывы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/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комментарии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данным,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проводится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техническое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обсуждение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для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определения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общей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позиции.</w:t>
      </w:r>
    </w:p>
    <w:p w:rsidR="00563CF0" w:rsidRPr="00E374A8" w:rsidRDefault="00563CF0" w:rsidP="00563CF0">
      <w:pPr>
        <w:rPr>
          <w:rFonts w:eastAsia="Calibri" w:cs="Times New Roman"/>
          <w:szCs w:val="24"/>
        </w:rPr>
      </w:pPr>
      <w:r w:rsidRPr="00E374A8">
        <w:rPr>
          <w:rFonts w:eastAsia="Calibri" w:cs="Times New Roman"/>
          <w:szCs w:val="24"/>
        </w:rPr>
        <w:t>В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ВОЗ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приняты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меры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обеспечению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качества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разработки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статистики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здравоохранения,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которая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включает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основные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показатели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потребления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алкоголя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его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последствий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для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здоровья.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Техническая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консультативная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группа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ВОЗ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эпидемиологии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алкоголя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наркотиков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предоставляет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технические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консультации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вносит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вклад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деятельность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ВОЗ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мониторингу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потребления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алкоголя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возможностей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лечения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расстройств,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вызванных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употреблением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наркотиков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ее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государствах-членах.</w:t>
      </w:r>
    </w:p>
    <w:p w:rsidR="00563CF0" w:rsidRPr="00563CF0" w:rsidRDefault="00563CF0" w:rsidP="00563CF0">
      <w:pPr>
        <w:rPr>
          <w:rFonts w:eastAsia="Calibri" w:cs="Times New Roman"/>
          <w:szCs w:val="24"/>
        </w:rPr>
      </w:pPr>
      <w:r w:rsidRPr="00E374A8">
        <w:rPr>
          <w:rFonts w:eastAsia="Calibri" w:cs="Times New Roman"/>
          <w:szCs w:val="24"/>
        </w:rPr>
        <w:t>Компиляция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данных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должна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осуществляться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централизованно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ВОЗ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УНП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ООН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на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основе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данных,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поступающих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от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стран,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которые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впоследствии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будут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проверены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официальными</w:t>
      </w:r>
      <w:r>
        <w:rPr>
          <w:rFonts w:eastAsia="Calibri" w:cs="Times New Roman"/>
          <w:szCs w:val="24"/>
        </w:rPr>
        <w:t xml:space="preserve"> </w:t>
      </w:r>
      <w:r w:rsidRPr="00E374A8">
        <w:rPr>
          <w:rFonts w:eastAsia="Calibri" w:cs="Times New Roman"/>
          <w:szCs w:val="24"/>
        </w:rPr>
        <w:t>координационными</w:t>
      </w:r>
      <w:r>
        <w:rPr>
          <w:rFonts w:eastAsia="Calibri" w:cs="Times New Roman"/>
          <w:szCs w:val="24"/>
        </w:rPr>
        <w:t xml:space="preserve">  </w:t>
      </w:r>
      <w:r w:rsidRPr="00E374A8">
        <w:rPr>
          <w:rFonts w:eastAsia="Calibri" w:cs="Times New Roman"/>
          <w:szCs w:val="24"/>
        </w:rPr>
        <w:t>центрами.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</w:p>
    <w:p w:rsidR="00A16CB1" w:rsidRPr="00A16CB1" w:rsidRDefault="00A16CB1" w:rsidP="00A16CB1">
      <w:r w:rsidRPr="00A16CB1">
        <w:t xml:space="preserve">Поскольку для некоторых регионов на международном уровне могут быть опубликованы разные данные по показателям, используемым для расчета показателя, т. е. люди, находящиеся на лечении от расстройств, вызванных употреблением алкоголя/наркоманов, и люди с расстройствами, вызванными употреблением алкоголя/наркотиков, существует практика обмен данными происходит с ключевыми участниками, включая региональные офисы ВОЗ и другие региональные организации, такие как Европейский центр мониторинга наркотиков и наркозависимости (EMCDDA). Это </w:t>
      </w:r>
      <w:r>
        <w:t>мероприятие</w:t>
      </w:r>
      <w:r w:rsidRPr="00A16CB1">
        <w:t xml:space="preserve"> в сочетании с описанными ранее процессами проверки и предварительной публикации позволяет получить максимально точные данные. Важно отметить, что в некоторых случаях определение этих показателей на национальном уровне, особенно для оценки людей с расстройствами, связанными с употреблением алкоголя/наркоманов, может различаться в зависимости от страны в зависимости от используемой методологии. Хотя УНП ООН и ВОЗ стремятся публиковать как можно более сопоставимые данные, случаи, отличающиеся от стандартных определений, четко указаны в соответствующих сносках. В идеале это потребует дополнительных мероприятий, которые позволят провести </w:t>
      </w:r>
      <w:r w:rsidRPr="00A16CB1">
        <w:lastRenderedPageBreak/>
        <w:t>углубленный сбор данных в отдельных странах: будущее направление для укрепления показателя.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A16CB1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4D0871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D0871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8213C3" w:rsidRPr="008213C3" w:rsidRDefault="008213C3" w:rsidP="008213C3">
      <w:pPr>
        <w:rPr>
          <w:rFonts w:cs="Times New Roman"/>
          <w:bCs/>
          <w:szCs w:val="24"/>
        </w:rPr>
      </w:pPr>
      <w:r w:rsidRPr="008213C3">
        <w:rPr>
          <w:rFonts w:cs="Times New Roman"/>
          <w:bCs/>
          <w:szCs w:val="24"/>
        </w:rPr>
        <w:t xml:space="preserve">Данные о лечении людей с расстройствами, вызванными употреблением алкоголя/наркотиков, </w:t>
      </w:r>
      <w:proofErr w:type="gramStart"/>
      <w:r w:rsidRPr="008213C3">
        <w:rPr>
          <w:rFonts w:cs="Times New Roman"/>
          <w:bCs/>
          <w:szCs w:val="24"/>
        </w:rPr>
        <w:t>широко доступны</w:t>
      </w:r>
      <w:proofErr w:type="gramEnd"/>
      <w:r w:rsidRPr="008213C3">
        <w:rPr>
          <w:rFonts w:cs="Times New Roman"/>
          <w:bCs/>
          <w:szCs w:val="24"/>
        </w:rPr>
        <w:t xml:space="preserve"> в странах, поскольку они основаны на административных данных. Хотя данные об оценочном числе людей с расстройствами, вызванными употреблением наркотиков, могут быть скудными в некоторых регионах, поскольку они основаны на данных опросов или косвенных методов, внешние источники, такие как те, которые упомянуты в этом документе, могут обеспечить охват п</w:t>
      </w:r>
      <w:r>
        <w:rPr>
          <w:rFonts w:cs="Times New Roman"/>
          <w:bCs/>
          <w:szCs w:val="24"/>
        </w:rPr>
        <w:t>очти всех стран мира.</w:t>
      </w:r>
      <w:r w:rsidRPr="008213C3">
        <w:rPr>
          <w:rFonts w:cs="Times New Roman"/>
          <w:bCs/>
          <w:szCs w:val="24"/>
        </w:rPr>
        <w:t xml:space="preserve"> Как следствие, данные по этому показателю доступны для более чем 100 стран мира. На основе имеющихся данных показатель также можно дезагр</w:t>
      </w:r>
      <w:r>
        <w:rPr>
          <w:rFonts w:cs="Times New Roman"/>
          <w:bCs/>
          <w:szCs w:val="24"/>
        </w:rPr>
        <w:t>егировать по полу и содержанию.</w:t>
      </w:r>
    </w:p>
    <w:p w:rsidR="008213C3" w:rsidRPr="008213C3" w:rsidRDefault="008213C3" w:rsidP="008213C3">
      <w:pPr>
        <w:rPr>
          <w:rFonts w:cs="Times New Roman"/>
          <w:bCs/>
          <w:szCs w:val="24"/>
        </w:rPr>
      </w:pPr>
      <w:r w:rsidRPr="008213C3">
        <w:rPr>
          <w:rFonts w:cs="Times New Roman"/>
          <w:bCs/>
          <w:szCs w:val="24"/>
        </w:rPr>
        <w:t>Данные о распространенности расстройств, связанных с употреблением алкоголя, в настоящее время доступны по 188 государствам-членам (за 2012, 2016, 2019 годы) и подтверждены в процессе консультаций со странами. Данные регулярно обновляются и представляются через Глобальную обсерваторию здравоохранения ВОЗ. Данные по использованию лечения людьми с расстройствами, вызванными употреблением алкоголя, в настоящее время доступны как минимум по 30 странам, и дальнейший сбор данных продолжается.</w:t>
      </w:r>
    </w:p>
    <w:p w:rsidR="00563CF0" w:rsidRPr="00563CF0" w:rsidRDefault="008213C3" w:rsidP="008213C3">
      <w:pPr>
        <w:rPr>
          <w:rFonts w:cs="Times New Roman"/>
          <w:bCs/>
          <w:szCs w:val="24"/>
        </w:rPr>
      </w:pPr>
      <w:r w:rsidRPr="008213C3">
        <w:rPr>
          <w:rFonts w:cs="Times New Roman"/>
          <w:bCs/>
          <w:szCs w:val="24"/>
        </w:rPr>
        <w:t>Для получения контекстной информации о лечебных услугах ВОЗ собрала данные из 145 стран за 2019 год и распространила их на все страны, используя множественное вменение (описанное выше). Новый раунд сбора данных состоится в 2023-2024 годах.</w:t>
      </w:r>
    </w:p>
    <w:p w:rsidR="0075371E" w:rsidRPr="004D0871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D0871">
        <w:rPr>
          <w:b/>
          <w:color w:val="auto"/>
          <w:sz w:val="24"/>
          <w:szCs w:val="24"/>
          <w:lang w:val="ru-RU"/>
        </w:rPr>
        <w:t>Временные ряды:</w:t>
      </w:r>
    </w:p>
    <w:p w:rsidR="00563CF0" w:rsidRPr="00563CF0" w:rsidRDefault="008213C3" w:rsidP="00563CF0">
      <w:pPr>
        <w:rPr>
          <w:rFonts w:cs="Times New Roman"/>
          <w:szCs w:val="24"/>
        </w:rPr>
      </w:pPr>
      <w:r w:rsidRPr="008213C3">
        <w:rPr>
          <w:rFonts w:cs="Times New Roman"/>
          <w:szCs w:val="24"/>
        </w:rPr>
        <w:t xml:space="preserve">В течение 2015–2021 годов доступны данные по более чем ХХ странам как минимум за два </w:t>
      </w:r>
      <w:proofErr w:type="gramStart"/>
      <w:r w:rsidRPr="008213C3">
        <w:rPr>
          <w:rFonts w:cs="Times New Roman"/>
          <w:szCs w:val="24"/>
        </w:rPr>
        <w:t>года</w:t>
      </w:r>
      <w:proofErr w:type="gramEnd"/>
      <w:r w:rsidRPr="008213C3">
        <w:rPr>
          <w:rFonts w:cs="Times New Roman"/>
          <w:szCs w:val="24"/>
        </w:rPr>
        <w:t xml:space="preserve"> как для числителя, так и для знаменателя, необходимые для расчета показателя ЦУР по расстройствам, связанным с употреблением наркотиков. По алкоголю данные о знаменателе доступны за длительный период с момента создания GISAH в 1997 году, а показатель был предварительно рассчитан как минимум для 30 стран в 2019 году, при этом контекстно-сравнительная информация доступна для 188 стран.</w:t>
      </w:r>
    </w:p>
    <w:p w:rsidR="00563CF0" w:rsidRPr="008213C3" w:rsidRDefault="008213C3" w:rsidP="00563CF0">
      <w:pPr>
        <w:rPr>
          <w:rFonts w:cs="Times New Roman"/>
          <w:b/>
          <w:szCs w:val="24"/>
          <w:lang w:eastAsia="en-GB"/>
        </w:rPr>
      </w:pPr>
      <w:r w:rsidRPr="008213C3">
        <w:rPr>
          <w:b/>
          <w:szCs w:val="24"/>
        </w:rPr>
        <w:t>Дезагрегация</w:t>
      </w:r>
      <w:r w:rsidR="0075371E" w:rsidRPr="008213C3">
        <w:rPr>
          <w:b/>
          <w:szCs w:val="24"/>
        </w:rPr>
        <w:t>:</w:t>
      </w:r>
      <w:r w:rsidR="00563CF0" w:rsidRPr="008213C3">
        <w:rPr>
          <w:rFonts w:cs="Times New Roman"/>
          <w:b/>
          <w:szCs w:val="24"/>
          <w:lang w:eastAsia="en-GB"/>
        </w:rPr>
        <w:t xml:space="preserve"> </w:t>
      </w:r>
    </w:p>
    <w:p w:rsidR="00563CF0" w:rsidRPr="00E374A8" w:rsidRDefault="00563CF0" w:rsidP="00563CF0">
      <w:p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Учитывая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важность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политики,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показатель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будет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дезагрегирован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для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предоставления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наркотикам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алкоголю.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зависимости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доступности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они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будут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дополнительно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разбиты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следующим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параметрам:</w:t>
      </w:r>
    </w:p>
    <w:p w:rsidR="00563CF0" w:rsidRPr="00E374A8" w:rsidRDefault="00563CF0" w:rsidP="00563CF0">
      <w:pPr>
        <w:pStyle w:val="ab"/>
        <w:numPr>
          <w:ilvl w:val="0"/>
          <w:numId w:val="5"/>
        </w:num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по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лечебным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мероприятиям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(фармакологическим,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психосоциальным,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реабилитационным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последующему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уходу)</w:t>
      </w:r>
    </w:p>
    <w:p w:rsidR="00563CF0" w:rsidRPr="00E374A8" w:rsidRDefault="00563CF0" w:rsidP="00563CF0">
      <w:pPr>
        <w:pStyle w:val="ab"/>
        <w:numPr>
          <w:ilvl w:val="0"/>
          <w:numId w:val="5"/>
        </w:num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по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полу</w:t>
      </w:r>
    </w:p>
    <w:p w:rsidR="00563CF0" w:rsidRPr="00E374A8" w:rsidRDefault="00563CF0" w:rsidP="00563CF0">
      <w:pPr>
        <w:pStyle w:val="ab"/>
        <w:numPr>
          <w:ilvl w:val="0"/>
          <w:numId w:val="5"/>
        </w:num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по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возрастным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группам</w:t>
      </w:r>
    </w:p>
    <w:p w:rsidR="00563CF0" w:rsidRPr="00E374A8" w:rsidRDefault="00563CF0" w:rsidP="00563CF0">
      <w:p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lastRenderedPageBreak/>
        <w:t>В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отношении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расстройств,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вызванных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употреблением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наркотиков,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следует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учитывать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следующие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виды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наркотиков: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proofErr w:type="spellStart"/>
      <w:r w:rsidRPr="00E374A8">
        <w:rPr>
          <w:rFonts w:cs="Times New Roman"/>
          <w:szCs w:val="24"/>
        </w:rPr>
        <w:t>каннабис</w:t>
      </w:r>
      <w:proofErr w:type="spellEnd"/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(в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травы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смолы)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proofErr w:type="spellStart"/>
      <w:proofErr w:type="gramStart"/>
      <w:r w:rsidRPr="00E374A8">
        <w:rPr>
          <w:rFonts w:cs="Times New Roman"/>
          <w:szCs w:val="24"/>
        </w:rPr>
        <w:t>опиоиды</w:t>
      </w:r>
      <w:proofErr w:type="spellEnd"/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(опиум,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героин,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лекарственные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препараты,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содержащие</w:t>
      </w:r>
      <w:r>
        <w:rPr>
          <w:rFonts w:cs="Times New Roman"/>
          <w:szCs w:val="24"/>
        </w:rPr>
        <w:t xml:space="preserve"> </w:t>
      </w:r>
      <w:proofErr w:type="spellStart"/>
      <w:r w:rsidRPr="00E374A8">
        <w:rPr>
          <w:rFonts w:cs="Times New Roman"/>
          <w:szCs w:val="24"/>
        </w:rPr>
        <w:t>опиоиды</w:t>
      </w:r>
      <w:proofErr w:type="spellEnd"/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proofErr w:type="spellStart"/>
      <w:r w:rsidRPr="00E374A8">
        <w:rPr>
          <w:rFonts w:cs="Times New Roman"/>
          <w:szCs w:val="24"/>
        </w:rPr>
        <w:t>опиоиды</w:t>
      </w:r>
      <w:proofErr w:type="spellEnd"/>
      <w:r w:rsidRPr="00E374A8">
        <w:rPr>
          <w:rFonts w:cs="Times New Roman"/>
          <w:szCs w:val="24"/>
        </w:rPr>
        <w:t>)),</w:t>
      </w:r>
      <w:proofErr w:type="gramEnd"/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E374A8">
        <w:rPr>
          <w:rFonts w:cs="Times New Roman"/>
          <w:szCs w:val="24"/>
        </w:rPr>
        <w:t>тип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кокаина,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proofErr w:type="spellStart"/>
      <w:r w:rsidRPr="00E374A8">
        <w:rPr>
          <w:rFonts w:cs="Times New Roman"/>
          <w:szCs w:val="24"/>
        </w:rPr>
        <w:t>амфетамины</w:t>
      </w:r>
      <w:proofErr w:type="spellEnd"/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(</w:t>
      </w:r>
      <w:proofErr w:type="spellStart"/>
      <w:r w:rsidRPr="00E374A8">
        <w:rPr>
          <w:rFonts w:cs="Times New Roman"/>
          <w:szCs w:val="24"/>
        </w:rPr>
        <w:t>амфетамин</w:t>
      </w:r>
      <w:proofErr w:type="spellEnd"/>
      <w:r w:rsidRPr="00E374A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E374A8">
        <w:rPr>
          <w:rFonts w:cs="Times New Roman"/>
          <w:szCs w:val="24"/>
        </w:rPr>
        <w:t>метамфетамин</w:t>
      </w:r>
      <w:proofErr w:type="spellEnd"/>
      <w:r w:rsidRPr="00E374A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лекарственные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средства,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содержащие</w:t>
      </w:r>
      <w:r>
        <w:rPr>
          <w:rFonts w:cs="Times New Roman"/>
          <w:szCs w:val="24"/>
        </w:rPr>
        <w:t xml:space="preserve"> </w:t>
      </w:r>
      <w:r w:rsidRPr="00927D21">
        <w:rPr>
          <w:rFonts w:cs="Times New Roman"/>
          <w:szCs w:val="24"/>
        </w:rPr>
        <w:t>ATS</w:t>
      </w:r>
      <w:r w:rsidRPr="00E374A8">
        <w:rPr>
          <w:rFonts w:cs="Times New Roman"/>
          <w:szCs w:val="24"/>
        </w:rPr>
        <w:t>),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E374A8">
        <w:rPr>
          <w:rFonts w:cs="Times New Roman"/>
          <w:szCs w:val="24"/>
        </w:rPr>
        <w:t>вещества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типа</w:t>
      </w:r>
      <w:r>
        <w:rPr>
          <w:rFonts w:cs="Times New Roman"/>
          <w:szCs w:val="24"/>
        </w:rPr>
        <w:t xml:space="preserve"> </w:t>
      </w:r>
      <w:proofErr w:type="spellStart"/>
      <w:r w:rsidRPr="00E374A8">
        <w:rPr>
          <w:rFonts w:cs="Times New Roman"/>
          <w:szCs w:val="24"/>
        </w:rPr>
        <w:t>экстази</w:t>
      </w:r>
      <w:proofErr w:type="spellEnd"/>
      <w:r w:rsidRPr="00E374A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E374A8">
        <w:rPr>
          <w:rFonts w:cs="Times New Roman"/>
          <w:szCs w:val="24"/>
        </w:rPr>
        <w:t>седативные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транквилизаторы,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E374A8">
        <w:rPr>
          <w:rFonts w:cs="Times New Roman"/>
          <w:szCs w:val="24"/>
        </w:rPr>
        <w:t>галлюциногены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E374A8">
        <w:rPr>
          <w:rFonts w:cs="Times New Roman"/>
          <w:szCs w:val="24"/>
        </w:rPr>
        <w:t>растворители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ингаляторы</w:t>
      </w:r>
    </w:p>
    <w:p w:rsidR="00563CF0" w:rsidRPr="00E374A8" w:rsidRDefault="00563CF0" w:rsidP="00563CF0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E374A8">
        <w:rPr>
          <w:rFonts w:cs="Times New Roman"/>
          <w:szCs w:val="24"/>
        </w:rPr>
        <w:t>новые</w:t>
      </w:r>
      <w:r>
        <w:rPr>
          <w:rFonts w:cs="Times New Roman"/>
          <w:szCs w:val="24"/>
        </w:rPr>
        <w:t xml:space="preserve"> </w:t>
      </w:r>
      <w:proofErr w:type="spellStart"/>
      <w:r w:rsidRPr="00E374A8">
        <w:rPr>
          <w:rFonts w:cs="Times New Roman"/>
          <w:szCs w:val="24"/>
        </w:rPr>
        <w:t>психоактивные</w:t>
      </w:r>
      <w:proofErr w:type="spellEnd"/>
      <w:r>
        <w:rPr>
          <w:rFonts w:cs="Times New Roman"/>
          <w:szCs w:val="24"/>
        </w:rPr>
        <w:t xml:space="preserve"> </w:t>
      </w:r>
      <w:r w:rsidRPr="00E374A8">
        <w:rPr>
          <w:rFonts w:cs="Times New Roman"/>
          <w:szCs w:val="24"/>
        </w:rPr>
        <w:t>вещества</w:t>
      </w:r>
    </w:p>
    <w:p w:rsidR="0075371E" w:rsidRPr="00BD29EC" w:rsidRDefault="0075371E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3109CC">
      <w:pPr>
        <w:pStyle w:val="MHeader"/>
        <w:spacing w:after="12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563CF0" w:rsidRPr="00FB28C0" w:rsidRDefault="00563CF0" w:rsidP="003109CC">
      <w:pPr>
        <w:spacing w:after="120" w:line="240" w:lineRule="atLeast"/>
        <w:rPr>
          <w:rFonts w:eastAsia="Calibri" w:cs="Times New Roman"/>
          <w:b/>
          <w:szCs w:val="24"/>
        </w:rPr>
      </w:pPr>
      <w:r w:rsidRPr="00E374A8">
        <w:rPr>
          <w:rFonts w:eastAsia="Calibri" w:cs="Times New Roman"/>
          <w:b/>
          <w:szCs w:val="24"/>
        </w:rPr>
        <w:t>Источники</w:t>
      </w:r>
      <w:r>
        <w:rPr>
          <w:rFonts w:eastAsia="Calibri" w:cs="Times New Roman"/>
          <w:b/>
          <w:szCs w:val="24"/>
        </w:rPr>
        <w:t xml:space="preserve"> </w:t>
      </w:r>
      <w:r w:rsidRPr="00E374A8">
        <w:rPr>
          <w:rFonts w:eastAsia="Calibri" w:cs="Times New Roman"/>
          <w:b/>
          <w:szCs w:val="24"/>
        </w:rPr>
        <w:t>расхождений</w:t>
      </w:r>
      <w:r w:rsidRPr="00FB28C0">
        <w:rPr>
          <w:rFonts w:eastAsia="Calibri" w:cs="Times New Roman"/>
          <w:b/>
          <w:szCs w:val="24"/>
        </w:rPr>
        <w:t>:</w:t>
      </w:r>
    </w:p>
    <w:p w:rsidR="00563CF0" w:rsidRPr="00E374A8" w:rsidRDefault="00563CF0" w:rsidP="00563CF0">
      <w:p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Учитывая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неоднородность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национальных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систем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сбора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существует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вероятность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расхождений,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связанных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как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различиями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количестве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людей,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проходящих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лечение,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так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людьми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расстройствами,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связанными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употреблением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психоактивных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веществ.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этой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целью</w:t>
      </w:r>
      <w:r>
        <w:rPr>
          <w:rFonts w:cs="Times New Roman"/>
          <w:szCs w:val="24"/>
          <w:lang w:eastAsia="en-GB"/>
        </w:rPr>
        <w:t xml:space="preserve"> в</w:t>
      </w:r>
      <w:r w:rsidRPr="00094D2E">
        <w:rPr>
          <w:rFonts w:cs="Times New Roman"/>
          <w:szCs w:val="24"/>
          <w:lang w:eastAsia="en-GB"/>
        </w:rPr>
        <w:t>опросника к ежегодному докладу</w:t>
      </w:r>
      <w:r>
        <w:rPr>
          <w:rFonts w:cs="Times New Roman"/>
          <w:szCs w:val="24"/>
          <w:lang w:eastAsia="en-GB"/>
        </w:rPr>
        <w:t xml:space="preserve"> УНП </w:t>
      </w:r>
      <w:r w:rsidRPr="009102E7">
        <w:rPr>
          <w:rFonts w:cs="Times New Roman"/>
          <w:szCs w:val="24"/>
          <w:lang w:eastAsia="en-GB"/>
        </w:rPr>
        <w:t>ООН (</w:t>
      </w:r>
      <w:r w:rsidRPr="00094D2E">
        <w:rPr>
          <w:rFonts w:cs="Times New Roman"/>
          <w:szCs w:val="24"/>
          <w:lang w:eastAsia="en-GB"/>
        </w:rPr>
        <w:t>ARQ)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был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недавно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улучшен,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чтобы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позволить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странам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уточнять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характер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представляемых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позволять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УНП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ООН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оценивать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точность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сопоставимость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данных.</w:t>
      </w:r>
    </w:p>
    <w:p w:rsidR="00563CF0" w:rsidRPr="00E374A8" w:rsidRDefault="00563CF0" w:rsidP="00563CF0">
      <w:pPr>
        <w:rPr>
          <w:rFonts w:cs="Times New Roman"/>
          <w:szCs w:val="24"/>
          <w:lang w:eastAsia="en-GB"/>
        </w:rPr>
      </w:pPr>
      <w:r w:rsidRPr="00E374A8">
        <w:rPr>
          <w:rFonts w:cs="Times New Roman"/>
          <w:szCs w:val="24"/>
          <w:lang w:eastAsia="en-GB"/>
        </w:rPr>
        <w:t>Помимо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оценки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непротиворечивости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устранения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несоответствий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использованием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дополнительных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источников,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УНП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ООН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постоянно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поддерживает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связь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обсуждает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технические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вопросы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со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странами,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представляющими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информацию,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</w:t>
      </w:r>
      <w:r>
        <w:rPr>
          <w:rFonts w:cs="Times New Roman"/>
          <w:szCs w:val="24"/>
          <w:lang w:eastAsia="en-GB"/>
        </w:rPr>
        <w:t xml:space="preserve"> </w:t>
      </w:r>
      <w:proofErr w:type="gramStart"/>
      <w:r w:rsidRPr="00E374A8">
        <w:rPr>
          <w:rFonts w:cs="Times New Roman"/>
          <w:szCs w:val="24"/>
          <w:lang w:eastAsia="en-GB"/>
        </w:rPr>
        <w:t>тем</w:t>
      </w:r>
      <w:proofErr w:type="gramEnd"/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чтобы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свести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к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минимуму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расхождения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и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несоответствия</w:t>
      </w:r>
      <w:r>
        <w:rPr>
          <w:rFonts w:cs="Times New Roman"/>
          <w:szCs w:val="24"/>
          <w:lang w:eastAsia="en-GB"/>
        </w:rPr>
        <w:t xml:space="preserve"> </w:t>
      </w:r>
      <w:r w:rsidRPr="00E374A8">
        <w:rPr>
          <w:rFonts w:cs="Times New Roman"/>
          <w:szCs w:val="24"/>
          <w:lang w:eastAsia="en-GB"/>
        </w:rPr>
        <w:t>данных.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955652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955652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955652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563CF0" w:rsidRDefault="00693EB2" w:rsidP="00563CF0">
      <w:pPr>
        <w:rPr>
          <w:b/>
        </w:rPr>
      </w:pPr>
      <w:r w:rsidRPr="00693EB2">
        <w:rPr>
          <w:b/>
          <w:lang w:val="en-US"/>
        </w:rPr>
        <w:t>URL</w:t>
      </w:r>
      <w:r>
        <w:rPr>
          <w:b/>
        </w:rPr>
        <w:t>:</w:t>
      </w:r>
    </w:p>
    <w:p w:rsidR="00693EB2" w:rsidRPr="00693EB2" w:rsidRDefault="00693EB2" w:rsidP="00693EB2">
      <w:hyperlink r:id="rId12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www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who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int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data</w:t>
        </w:r>
        <w:r w:rsidRPr="00693EB2">
          <w:rPr>
            <w:rStyle w:val="ad"/>
          </w:rPr>
          <w:t>/</w:t>
        </w:r>
        <w:proofErr w:type="spellStart"/>
        <w:r w:rsidRPr="00693EB2">
          <w:rPr>
            <w:rStyle w:val="ad"/>
            <w:lang w:val="en-GB"/>
          </w:rPr>
          <w:t>gho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data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themes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resources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for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substance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use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disorders</w:t>
        </w:r>
      </w:hyperlink>
      <w:r w:rsidRPr="00693EB2">
        <w:t xml:space="preserve"> </w:t>
      </w:r>
      <w:r w:rsidRPr="00693EB2">
        <w:rPr>
          <w:lang w:val="en-US"/>
        </w:rPr>
        <w:t> </w:t>
      </w:r>
    </w:p>
    <w:p w:rsidR="00693EB2" w:rsidRPr="00693EB2" w:rsidRDefault="00693EB2" w:rsidP="00693EB2">
      <w:hyperlink r:id="rId13" w:tgtFrame="_blank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proofErr w:type="spellStart"/>
        <w:r w:rsidRPr="00693EB2">
          <w:rPr>
            <w:rStyle w:val="ad"/>
            <w:lang w:val="en-GB"/>
          </w:rPr>
          <w:t>wdr</w:t>
        </w:r>
        <w:proofErr w:type="spellEnd"/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unodc</w:t>
        </w:r>
        <w:proofErr w:type="spellEnd"/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org</w:t>
        </w:r>
        <w:r w:rsidRPr="00693EB2">
          <w:rPr>
            <w:rStyle w:val="ad"/>
          </w:rPr>
          <w:t>/</w:t>
        </w:r>
        <w:proofErr w:type="spellStart"/>
        <w:r w:rsidRPr="00693EB2">
          <w:rPr>
            <w:rStyle w:val="ad"/>
            <w:lang w:val="en-GB"/>
          </w:rPr>
          <w:t>wdr</w:t>
        </w:r>
        <w:proofErr w:type="spellEnd"/>
        <w:r w:rsidRPr="00693EB2">
          <w:rPr>
            <w:rStyle w:val="ad"/>
          </w:rPr>
          <w:t>2019/</w:t>
        </w:r>
      </w:hyperlink>
      <w:r w:rsidRPr="00693EB2">
        <w:rPr>
          <w:lang w:val="en-US"/>
        </w:rPr>
        <w:t> </w:t>
      </w:r>
    </w:p>
    <w:p w:rsidR="00693EB2" w:rsidRPr="00693EB2" w:rsidRDefault="00693EB2" w:rsidP="00693EB2">
      <w:hyperlink r:id="rId14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www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who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int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data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global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health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estimates</w:t>
        </w:r>
      </w:hyperlink>
      <w:r w:rsidRPr="00693EB2">
        <w:t xml:space="preserve">   </w:t>
      </w:r>
      <w:hyperlink w:history="1"/>
      <w:hyperlink r:id="rId15" w:tgtFrame="_blank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www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ncbi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nlm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nih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gov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pmc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articles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PMC</w:t>
        </w:r>
        <w:r w:rsidRPr="00693EB2">
          <w:rPr>
            <w:rStyle w:val="ad"/>
          </w:rPr>
          <w:t>5608813/</w:t>
        </w:r>
      </w:hyperlink>
      <w:r w:rsidRPr="00693EB2">
        <w:rPr>
          <w:lang w:val="en-US"/>
        </w:rPr>
        <w:t> </w:t>
      </w:r>
    </w:p>
    <w:p w:rsidR="00693EB2" w:rsidRPr="00693EB2" w:rsidRDefault="00693EB2" w:rsidP="00693EB2">
      <w:hyperlink r:id="rId16" w:tgtFrame="_blank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proofErr w:type="spellStart"/>
        <w:r w:rsidRPr="00693EB2">
          <w:rPr>
            <w:rStyle w:val="ad"/>
            <w:lang w:val="en-GB"/>
          </w:rPr>
          <w:t>icd</w:t>
        </w:r>
        <w:proofErr w:type="spellEnd"/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who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int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browse</w:t>
        </w:r>
        <w:r w:rsidRPr="00693EB2">
          <w:rPr>
            <w:rStyle w:val="ad"/>
          </w:rPr>
          <w:t>10/2016/</w:t>
        </w:r>
        <w:proofErr w:type="spellStart"/>
        <w:r w:rsidRPr="00693EB2">
          <w:rPr>
            <w:rStyle w:val="ad"/>
            <w:lang w:val="en-GB"/>
          </w:rPr>
          <w:t>en</w:t>
        </w:r>
        <w:proofErr w:type="spellEnd"/>
      </w:hyperlink>
      <w:r w:rsidRPr="00693EB2">
        <w:rPr>
          <w:lang w:val="en-US"/>
        </w:rPr>
        <w:t> </w:t>
      </w:r>
    </w:p>
    <w:p w:rsidR="00693EB2" w:rsidRPr="00693EB2" w:rsidRDefault="00693EB2" w:rsidP="00693EB2">
      <w:pPr>
        <w:rPr>
          <w:u w:val="single"/>
        </w:rPr>
      </w:pPr>
      <w:hyperlink r:id="rId17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proofErr w:type="spellStart"/>
        <w:r w:rsidRPr="00693EB2">
          <w:rPr>
            <w:rStyle w:val="ad"/>
            <w:lang w:val="en-GB"/>
          </w:rPr>
          <w:t>icd</w:t>
        </w:r>
        <w:proofErr w:type="spellEnd"/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who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int</w:t>
        </w:r>
        <w:proofErr w:type="spellEnd"/>
        <w:r w:rsidRPr="00693EB2">
          <w:rPr>
            <w:rStyle w:val="ad"/>
          </w:rPr>
          <w:t>/</w:t>
        </w:r>
        <w:proofErr w:type="spellStart"/>
        <w:r w:rsidRPr="00693EB2">
          <w:rPr>
            <w:rStyle w:val="ad"/>
            <w:lang w:val="en-GB"/>
          </w:rPr>
          <w:t>en</w:t>
        </w:r>
        <w:proofErr w:type="spellEnd"/>
      </w:hyperlink>
      <w:r w:rsidRPr="00693EB2">
        <w:rPr>
          <w:u w:val="single"/>
        </w:rPr>
        <w:t xml:space="preserve">  </w:t>
      </w:r>
    </w:p>
    <w:p w:rsidR="00693EB2" w:rsidRPr="00693EB2" w:rsidRDefault="00693EB2" w:rsidP="00693EB2">
      <w:pPr>
        <w:rPr>
          <w:lang w:val="en-GB"/>
        </w:rPr>
      </w:pPr>
      <w:hyperlink r:id="rId18" w:history="1">
        <w:r w:rsidRPr="00703019">
          <w:rPr>
            <w:rStyle w:val="ad"/>
            <w:lang w:val="en-GB"/>
          </w:rPr>
          <w:t>https</w:t>
        </w:r>
        <w:r w:rsidRPr="00703019">
          <w:rPr>
            <w:rStyle w:val="ad"/>
          </w:rPr>
          <w:t>://</w:t>
        </w:r>
        <w:r w:rsidRPr="00703019">
          <w:rPr>
            <w:rStyle w:val="ad"/>
            <w:lang w:val="en-GB"/>
          </w:rPr>
          <w:t>www</w:t>
        </w:r>
        <w:r w:rsidRPr="00703019">
          <w:rPr>
            <w:rStyle w:val="ad"/>
          </w:rPr>
          <w:t>.</w:t>
        </w:r>
        <w:proofErr w:type="spellStart"/>
        <w:r w:rsidRPr="00703019">
          <w:rPr>
            <w:rStyle w:val="ad"/>
            <w:lang w:val="en-GB"/>
          </w:rPr>
          <w:t>unodc</w:t>
        </w:r>
        <w:proofErr w:type="spellEnd"/>
        <w:r w:rsidRPr="00703019">
          <w:rPr>
            <w:rStyle w:val="ad"/>
          </w:rPr>
          <w:t>.</w:t>
        </w:r>
        <w:r w:rsidRPr="00703019">
          <w:rPr>
            <w:rStyle w:val="ad"/>
            <w:lang w:val="en-GB"/>
          </w:rPr>
          <w:t>org</w:t>
        </w:r>
        <w:r w:rsidRPr="00703019">
          <w:rPr>
            <w:rStyle w:val="ad"/>
          </w:rPr>
          <w:t>/</w:t>
        </w:r>
        <w:proofErr w:type="spellStart"/>
        <w:r w:rsidRPr="00703019">
          <w:rPr>
            <w:rStyle w:val="ad"/>
            <w:lang w:val="en-GB"/>
          </w:rPr>
          <w:t>unodc</w:t>
        </w:r>
        <w:proofErr w:type="spellEnd"/>
        <w:r w:rsidRPr="00703019">
          <w:rPr>
            <w:rStyle w:val="ad"/>
          </w:rPr>
          <w:t>/</w:t>
        </w:r>
        <w:proofErr w:type="spellStart"/>
        <w:r w:rsidRPr="00703019">
          <w:rPr>
            <w:rStyle w:val="ad"/>
            <w:lang w:val="en-GB"/>
          </w:rPr>
          <w:t>en</w:t>
        </w:r>
        <w:proofErr w:type="spellEnd"/>
        <w:r w:rsidRPr="00703019">
          <w:rPr>
            <w:rStyle w:val="ad"/>
          </w:rPr>
          <w:t>/</w:t>
        </w:r>
        <w:r w:rsidRPr="00703019">
          <w:rPr>
            <w:rStyle w:val="ad"/>
            <w:lang w:val="en-GB"/>
          </w:rPr>
          <w:t>commissions</w:t>
        </w:r>
        <w:r w:rsidRPr="00703019">
          <w:rPr>
            <w:rStyle w:val="ad"/>
          </w:rPr>
          <w:t>/</w:t>
        </w:r>
        <w:r w:rsidRPr="00703019">
          <w:rPr>
            <w:rStyle w:val="ad"/>
            <w:lang w:val="en-GB"/>
          </w:rPr>
          <w:t>CND</w:t>
        </w:r>
        <w:r w:rsidRPr="00703019">
          <w:rPr>
            <w:rStyle w:val="ad"/>
          </w:rPr>
          <w:t>/</w:t>
        </w:r>
        <w:r w:rsidRPr="00703019">
          <w:rPr>
            <w:rStyle w:val="ad"/>
            <w:lang w:val="en-GB"/>
          </w:rPr>
          <w:t>conventions</w:t>
        </w:r>
        <w:r w:rsidRPr="00703019">
          <w:rPr>
            <w:rStyle w:val="ad"/>
          </w:rPr>
          <w:t>.</w:t>
        </w:r>
        <w:r w:rsidRPr="00703019">
          <w:rPr>
            <w:rStyle w:val="ad"/>
            <w:lang w:val="en-GB"/>
          </w:rPr>
          <w:t>html</w:t>
        </w:r>
      </w:hyperlink>
    </w:p>
    <w:p w:rsidR="00693EB2" w:rsidRPr="00693EB2" w:rsidRDefault="00693EB2" w:rsidP="00693EB2">
      <w:pPr>
        <w:rPr>
          <w:lang w:val="en-GB"/>
        </w:rPr>
      </w:pPr>
      <w:hyperlink r:id="rId19" w:tgtFrame="_blank" w:history="1">
        <w:r w:rsidRPr="00693EB2">
          <w:rPr>
            <w:rStyle w:val="ad"/>
            <w:lang w:val="en-GB"/>
          </w:rPr>
          <w:t>https://www.ncbi.nlm.nih.gov/pmc/articles/PMC2395571/</w:t>
        </w:r>
      </w:hyperlink>
      <w:r w:rsidRPr="00693EB2">
        <w:rPr>
          <w:lang w:val="en-US"/>
        </w:rPr>
        <w:t> </w:t>
      </w:r>
    </w:p>
    <w:p w:rsidR="00693EB2" w:rsidRPr="00693EB2" w:rsidRDefault="00693EB2" w:rsidP="00693EB2">
      <w:hyperlink r:id="rId20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apps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who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int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iris</w:t>
        </w:r>
        <w:r w:rsidRPr="00693EB2">
          <w:rPr>
            <w:rStyle w:val="ad"/>
          </w:rPr>
          <w:t>/</w:t>
        </w:r>
        <w:proofErr w:type="spellStart"/>
        <w:r w:rsidRPr="00693EB2">
          <w:rPr>
            <w:rStyle w:val="ad"/>
            <w:lang w:val="en-GB"/>
          </w:rPr>
          <w:t>bitstream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handle</w:t>
        </w:r>
        <w:r w:rsidRPr="00693EB2">
          <w:rPr>
            <w:rStyle w:val="ad"/>
          </w:rPr>
          <w:t>/10665/258734/9789241564052-</w:t>
        </w:r>
        <w:proofErr w:type="spellStart"/>
        <w:r w:rsidRPr="00693EB2">
          <w:rPr>
            <w:rStyle w:val="ad"/>
            <w:lang w:val="en-GB"/>
          </w:rPr>
          <w:t>eng</w:t>
        </w:r>
        <w:proofErr w:type="spellEnd"/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pdf</w:t>
        </w:r>
      </w:hyperlink>
      <w:r w:rsidRPr="00693EB2">
        <w:t xml:space="preserve">  </w:t>
      </w:r>
      <w:r w:rsidRPr="00693EB2">
        <w:rPr>
          <w:lang w:val="en-US"/>
        </w:rPr>
        <w:t> </w:t>
      </w:r>
    </w:p>
    <w:p w:rsidR="00693EB2" w:rsidRPr="00693EB2" w:rsidRDefault="00693EB2" w:rsidP="00693EB2">
      <w:hyperlink r:id="rId21" w:history="1">
        <w:r w:rsidRPr="00703019">
          <w:rPr>
            <w:rStyle w:val="ad"/>
            <w:lang w:val="en-GB"/>
          </w:rPr>
          <w:t>https</w:t>
        </w:r>
        <w:r w:rsidRPr="00703019">
          <w:rPr>
            <w:rStyle w:val="ad"/>
          </w:rPr>
          <w:t>://</w:t>
        </w:r>
        <w:r w:rsidRPr="00703019">
          <w:rPr>
            <w:rStyle w:val="ad"/>
            <w:lang w:val="en-GB"/>
          </w:rPr>
          <w:t>www</w:t>
        </w:r>
        <w:r w:rsidRPr="00703019">
          <w:rPr>
            <w:rStyle w:val="ad"/>
          </w:rPr>
          <w:t>.</w:t>
        </w:r>
        <w:proofErr w:type="spellStart"/>
        <w:r w:rsidRPr="00703019">
          <w:rPr>
            <w:rStyle w:val="ad"/>
            <w:lang w:val="en-GB"/>
          </w:rPr>
          <w:t>unodc</w:t>
        </w:r>
        <w:proofErr w:type="spellEnd"/>
        <w:r w:rsidRPr="00703019">
          <w:rPr>
            <w:rStyle w:val="ad"/>
          </w:rPr>
          <w:t>.</w:t>
        </w:r>
        <w:r w:rsidRPr="00703019">
          <w:rPr>
            <w:rStyle w:val="ad"/>
            <w:lang w:val="en-GB"/>
          </w:rPr>
          <w:t>org</w:t>
        </w:r>
        <w:r w:rsidRPr="00703019">
          <w:rPr>
            <w:rStyle w:val="ad"/>
          </w:rPr>
          <w:t>/</w:t>
        </w:r>
        <w:proofErr w:type="spellStart"/>
        <w:r w:rsidRPr="00703019">
          <w:rPr>
            <w:rStyle w:val="ad"/>
            <w:lang w:val="en-GB"/>
          </w:rPr>
          <w:t>unodc</w:t>
        </w:r>
        <w:proofErr w:type="spellEnd"/>
        <w:r w:rsidRPr="00703019">
          <w:rPr>
            <w:rStyle w:val="ad"/>
          </w:rPr>
          <w:t>/</w:t>
        </w:r>
        <w:proofErr w:type="spellStart"/>
        <w:r w:rsidRPr="00703019">
          <w:rPr>
            <w:rStyle w:val="ad"/>
            <w:lang w:val="en-GB"/>
          </w:rPr>
          <w:t>en</w:t>
        </w:r>
        <w:proofErr w:type="spellEnd"/>
        <w:r w:rsidRPr="00703019">
          <w:rPr>
            <w:rStyle w:val="ad"/>
          </w:rPr>
          <w:t>/</w:t>
        </w:r>
        <w:r w:rsidRPr="00703019">
          <w:rPr>
            <w:rStyle w:val="ad"/>
            <w:lang w:val="en-GB"/>
          </w:rPr>
          <w:t>GAP</w:t>
        </w:r>
        <w:r w:rsidRPr="00703019">
          <w:rPr>
            <w:rStyle w:val="ad"/>
          </w:rPr>
          <w:t>/</w:t>
        </w:r>
      </w:hyperlink>
    </w:p>
    <w:p w:rsidR="00693EB2" w:rsidRPr="00693EB2" w:rsidRDefault="00693EB2" w:rsidP="00693EB2">
      <w:hyperlink r:id="rId22" w:tgtFrame="_blank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www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unodc</w:t>
        </w:r>
        <w:proofErr w:type="spellEnd"/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org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documents</w:t>
        </w:r>
        <w:r w:rsidRPr="00693EB2">
          <w:rPr>
            <w:rStyle w:val="ad"/>
          </w:rPr>
          <w:t>/</w:t>
        </w:r>
        <w:proofErr w:type="spellStart"/>
        <w:r w:rsidRPr="00693EB2">
          <w:rPr>
            <w:rStyle w:val="ad"/>
            <w:lang w:val="en-GB"/>
          </w:rPr>
          <w:t>pakistan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Survey</w:t>
        </w:r>
        <w:r w:rsidRPr="00693EB2">
          <w:rPr>
            <w:rStyle w:val="ad"/>
          </w:rPr>
          <w:t>_</w:t>
        </w:r>
        <w:r w:rsidRPr="00693EB2">
          <w:rPr>
            <w:rStyle w:val="ad"/>
            <w:lang w:val="en-GB"/>
          </w:rPr>
          <w:t>Report</w:t>
        </w:r>
        <w:r w:rsidRPr="00693EB2">
          <w:rPr>
            <w:rStyle w:val="ad"/>
          </w:rPr>
          <w:t>_</w:t>
        </w:r>
        <w:r w:rsidRPr="00693EB2">
          <w:rPr>
            <w:rStyle w:val="ad"/>
            <w:lang w:val="en-GB"/>
          </w:rPr>
          <w:t>Final</w:t>
        </w:r>
        <w:r w:rsidRPr="00693EB2">
          <w:rPr>
            <w:rStyle w:val="ad"/>
          </w:rPr>
          <w:t>_2013.</w:t>
        </w:r>
        <w:r w:rsidRPr="00693EB2">
          <w:rPr>
            <w:rStyle w:val="ad"/>
            <w:lang w:val="en-GB"/>
          </w:rPr>
          <w:t>pdf</w:t>
        </w:r>
      </w:hyperlink>
      <w:r w:rsidRPr="00693EB2">
        <w:rPr>
          <w:lang w:val="en-US"/>
        </w:rPr>
        <w:t> </w:t>
      </w:r>
    </w:p>
    <w:p w:rsidR="00693EB2" w:rsidRPr="00693EB2" w:rsidRDefault="00693EB2" w:rsidP="00693EB2">
      <w:hyperlink r:id="rId23" w:tgtFrame="_blank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www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unodc</w:t>
        </w:r>
        <w:proofErr w:type="spellEnd"/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org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documents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data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and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analysis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statistics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Drugs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Drug</w:t>
        </w:r>
        <w:r w:rsidRPr="00693EB2">
          <w:rPr>
            <w:rStyle w:val="ad"/>
          </w:rPr>
          <w:t>_</w:t>
        </w:r>
        <w:r w:rsidRPr="00693EB2">
          <w:rPr>
            <w:rStyle w:val="ad"/>
            <w:lang w:val="en-GB"/>
          </w:rPr>
          <w:t>Use</w:t>
        </w:r>
        <w:r w:rsidRPr="00693EB2">
          <w:rPr>
            <w:rStyle w:val="ad"/>
          </w:rPr>
          <w:t>_</w:t>
        </w:r>
        <w:r w:rsidRPr="00693EB2">
          <w:rPr>
            <w:rStyle w:val="ad"/>
            <w:lang w:val="en-GB"/>
          </w:rPr>
          <w:t>Survey</w:t>
        </w:r>
        <w:r w:rsidRPr="00693EB2">
          <w:rPr>
            <w:rStyle w:val="ad"/>
          </w:rPr>
          <w:t>_</w:t>
        </w:r>
        <w:r w:rsidRPr="00693EB2">
          <w:rPr>
            <w:rStyle w:val="ad"/>
            <w:lang w:val="en-GB"/>
          </w:rPr>
          <w:t>Nigeria</w:t>
        </w:r>
        <w:r w:rsidRPr="00693EB2">
          <w:rPr>
            <w:rStyle w:val="ad"/>
          </w:rPr>
          <w:t>_2019_</w:t>
        </w:r>
        <w:r w:rsidRPr="00693EB2">
          <w:rPr>
            <w:rStyle w:val="ad"/>
            <w:lang w:val="en-GB"/>
          </w:rPr>
          <w:t>BOOK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pdf</w:t>
        </w:r>
      </w:hyperlink>
      <w:r w:rsidRPr="00693EB2">
        <w:rPr>
          <w:lang w:val="en-US"/>
        </w:rPr>
        <w:t> </w:t>
      </w:r>
    </w:p>
    <w:p w:rsidR="00693EB2" w:rsidRPr="00693EB2" w:rsidRDefault="00693EB2" w:rsidP="00693EB2">
      <w:hyperlink r:id="rId24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www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who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int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data</w:t>
        </w:r>
        <w:r w:rsidRPr="00693EB2">
          <w:rPr>
            <w:rStyle w:val="ad"/>
          </w:rPr>
          <w:t>/</w:t>
        </w:r>
        <w:proofErr w:type="spellStart"/>
        <w:r w:rsidRPr="00693EB2">
          <w:rPr>
            <w:rStyle w:val="ad"/>
            <w:lang w:val="en-GB"/>
          </w:rPr>
          <w:t>gho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data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themes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global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information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system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on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alcohol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and</w:t>
        </w:r>
        <w:r w:rsidRPr="00693EB2">
          <w:rPr>
            <w:rStyle w:val="ad"/>
          </w:rPr>
          <w:t>-</w:t>
        </w:r>
        <w:r w:rsidRPr="00693EB2">
          <w:rPr>
            <w:rStyle w:val="ad"/>
            <w:lang w:val="en-GB"/>
          </w:rPr>
          <w:t>health</w:t>
        </w:r>
      </w:hyperlink>
      <w:r w:rsidRPr="00693EB2">
        <w:t xml:space="preserve">   </w:t>
      </w:r>
      <w:r w:rsidRPr="00693EB2">
        <w:rPr>
          <w:lang w:val="en-US"/>
        </w:rPr>
        <w:t> </w:t>
      </w:r>
    </w:p>
    <w:p w:rsidR="00693EB2" w:rsidRPr="00693EB2" w:rsidRDefault="00693EB2" w:rsidP="00693EB2">
      <w:hyperlink r:id="rId25" w:history="1">
        <w:r w:rsidRPr="00693EB2">
          <w:rPr>
            <w:rStyle w:val="ad"/>
            <w:lang w:val="en-GB"/>
          </w:rPr>
          <w:t>https</w:t>
        </w:r>
        <w:r w:rsidRPr="00693EB2">
          <w:rPr>
            <w:rStyle w:val="ad"/>
          </w:rPr>
          <w:t>://</w:t>
        </w:r>
        <w:r w:rsidRPr="00693EB2">
          <w:rPr>
            <w:rStyle w:val="ad"/>
            <w:lang w:val="en-GB"/>
          </w:rPr>
          <w:t>apps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who</w:t>
        </w:r>
        <w:r w:rsidRPr="00693EB2">
          <w:rPr>
            <w:rStyle w:val="ad"/>
          </w:rPr>
          <w:t>.</w:t>
        </w:r>
        <w:proofErr w:type="spellStart"/>
        <w:r w:rsidRPr="00693EB2">
          <w:rPr>
            <w:rStyle w:val="ad"/>
            <w:lang w:val="en-GB"/>
          </w:rPr>
          <w:t>int</w:t>
        </w:r>
        <w:proofErr w:type="spellEnd"/>
        <w:r w:rsidRPr="00693EB2">
          <w:rPr>
            <w:rStyle w:val="ad"/>
          </w:rPr>
          <w:t>/</w:t>
        </w:r>
        <w:proofErr w:type="spellStart"/>
        <w:r w:rsidRPr="00693EB2">
          <w:rPr>
            <w:rStyle w:val="ad"/>
            <w:lang w:val="en-GB"/>
          </w:rPr>
          <w:t>gho</w:t>
        </w:r>
        <w:proofErr w:type="spellEnd"/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data</w:t>
        </w:r>
        <w:r w:rsidRPr="00693EB2">
          <w:rPr>
            <w:rStyle w:val="ad"/>
          </w:rPr>
          <w:t>/</w:t>
        </w:r>
        <w:r w:rsidRPr="00693EB2">
          <w:rPr>
            <w:rStyle w:val="ad"/>
            <w:lang w:val="en-GB"/>
          </w:rPr>
          <w:t>node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main</w:t>
        </w:r>
        <w:r w:rsidRPr="00693EB2">
          <w:rPr>
            <w:rStyle w:val="ad"/>
          </w:rPr>
          <w:t>.</w:t>
        </w:r>
        <w:r w:rsidRPr="00693EB2">
          <w:rPr>
            <w:rStyle w:val="ad"/>
            <w:lang w:val="en-GB"/>
          </w:rPr>
          <w:t>GISAH</w:t>
        </w:r>
      </w:hyperlink>
      <w:r w:rsidRPr="00693EB2">
        <w:t xml:space="preserve">  </w:t>
      </w:r>
      <w:r w:rsidRPr="00693EB2">
        <w:rPr>
          <w:lang w:val="en-US"/>
        </w:rPr>
        <w:t> </w:t>
      </w:r>
    </w:p>
    <w:p w:rsidR="00693EB2" w:rsidRPr="00693EB2" w:rsidRDefault="00693EB2" w:rsidP="00693EB2">
      <w:pPr>
        <w:rPr>
          <w:lang w:val="en-US"/>
        </w:rPr>
      </w:pPr>
      <w:hyperlink r:id="rId26" w:history="1">
        <w:r w:rsidRPr="00693EB2">
          <w:rPr>
            <w:rStyle w:val="ad"/>
            <w:lang w:val="en-GB"/>
          </w:rPr>
          <w:t>https://onlinelibrary.wiley.com/doi/10.1002/mpr.1950</w:t>
        </w:r>
      </w:hyperlink>
    </w:p>
    <w:sectPr w:rsidR="00693EB2" w:rsidRPr="00693EB2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F5" w:rsidRDefault="000C5EF5" w:rsidP="00F73DBC">
      <w:pPr>
        <w:spacing w:after="0" w:line="240" w:lineRule="auto"/>
      </w:pPr>
      <w:r>
        <w:separator/>
      </w:r>
    </w:p>
  </w:endnote>
  <w:endnote w:type="continuationSeparator" w:id="0">
    <w:p w:rsidR="000C5EF5" w:rsidRDefault="000C5EF5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F5" w:rsidRDefault="000C5EF5" w:rsidP="00F73DBC">
      <w:pPr>
        <w:spacing w:after="0" w:line="240" w:lineRule="auto"/>
      </w:pPr>
      <w:r>
        <w:separator/>
      </w:r>
    </w:p>
  </w:footnote>
  <w:footnote w:type="continuationSeparator" w:id="0">
    <w:p w:rsidR="000C5EF5" w:rsidRDefault="000C5EF5" w:rsidP="00F73DBC">
      <w:pPr>
        <w:spacing w:after="0" w:line="240" w:lineRule="auto"/>
      </w:pPr>
      <w:r>
        <w:continuationSeparator/>
      </w:r>
    </w:p>
  </w:footnote>
  <w:footnote w:id="1">
    <w:p w:rsidR="00D3601C" w:rsidRDefault="00D3601C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703019">
          <w:rPr>
            <w:rStyle w:val="ad"/>
          </w:rPr>
          <w:t>https://onlinelibrary.wiley.com/doi/10.1002/mpr.1950</w:t>
        </w:r>
      </w:hyperlink>
    </w:p>
  </w:footnote>
  <w:footnote w:id="2">
    <w:p w:rsidR="00340B0C" w:rsidRDefault="00340B0C">
      <w:pPr>
        <w:pStyle w:val="a4"/>
      </w:pPr>
      <w:r>
        <w:rPr>
          <w:rStyle w:val="a6"/>
        </w:rPr>
        <w:footnoteRef/>
      </w:r>
      <w:r>
        <w:t xml:space="preserve"> </w:t>
      </w:r>
      <w:hyperlink r:id="rId2" w:anchor="1676588433" w:history="1">
        <w:r w:rsidRPr="00340B0C">
          <w:rPr>
            <w:rStyle w:val="ad"/>
          </w:rPr>
          <w:t>https://icd.who.int/browse/2024-01/mms/en#1676588433</w:t>
        </w:r>
      </w:hyperlink>
    </w:p>
  </w:footnote>
  <w:footnote w:id="3">
    <w:p w:rsidR="004D0529" w:rsidRDefault="004D0529">
      <w:pPr>
        <w:pStyle w:val="a4"/>
      </w:pPr>
      <w:r>
        <w:rPr>
          <w:rStyle w:val="a6"/>
        </w:rPr>
        <w:footnoteRef/>
      </w:r>
      <w:r>
        <w:t xml:space="preserve"> </w:t>
      </w:r>
      <w:hyperlink r:id="rId3" w:history="1">
        <w:r w:rsidRPr="00703019">
          <w:rPr>
            <w:rStyle w:val="ad"/>
          </w:rPr>
          <w:t>https://iris.who.int/handle/10665/331635</w:t>
        </w:r>
      </w:hyperlink>
    </w:p>
  </w:footnote>
  <w:footnote w:id="4">
    <w:p w:rsidR="004D0529" w:rsidRDefault="004D0529">
      <w:pPr>
        <w:pStyle w:val="a4"/>
      </w:pPr>
      <w:r>
        <w:rPr>
          <w:rStyle w:val="a6"/>
        </w:rPr>
        <w:footnoteRef/>
      </w:r>
      <w:r>
        <w:t xml:space="preserve"> </w:t>
      </w:r>
      <w:hyperlink r:id="rId4" w:history="1">
        <w:r w:rsidRPr="00703019">
          <w:rPr>
            <w:rStyle w:val="ad"/>
          </w:rPr>
          <w:t>https://iris.who.int/handle/10665/374250</w:t>
        </w:r>
      </w:hyperlink>
    </w:p>
  </w:footnote>
  <w:footnote w:id="5">
    <w:p w:rsidR="00236A91" w:rsidRDefault="00236A91">
      <w:pPr>
        <w:pStyle w:val="a4"/>
      </w:pPr>
      <w:r>
        <w:rPr>
          <w:rStyle w:val="a6"/>
        </w:rPr>
        <w:footnoteRef/>
      </w:r>
      <w:r>
        <w:t xml:space="preserve"> См. </w:t>
      </w:r>
      <w:hyperlink r:id="rId5" w:history="1">
        <w:r w:rsidRPr="00703019">
          <w:rPr>
            <w:rStyle w:val="ad"/>
          </w:rPr>
          <w:t>https://www.who.int/standards/classifications/classification-of-diseases</w:t>
        </w:r>
      </w:hyperlink>
    </w:p>
  </w:footnote>
  <w:footnote w:id="6">
    <w:p w:rsidR="00560A09" w:rsidRDefault="00560A09">
      <w:pPr>
        <w:pStyle w:val="a4"/>
      </w:pPr>
      <w:r>
        <w:rPr>
          <w:rStyle w:val="a6"/>
        </w:rPr>
        <w:footnoteRef/>
      </w:r>
      <w:r>
        <w:t xml:space="preserve"> </w:t>
      </w:r>
      <w:hyperlink r:id="rId6" w:history="1">
        <w:r w:rsidRPr="00703019">
          <w:rPr>
            <w:rStyle w:val="ad"/>
          </w:rPr>
          <w:t>https://www.healthdata.org/research-analysis/gbd</w:t>
        </w:r>
      </w:hyperlink>
    </w:p>
  </w:footnote>
  <w:footnote w:id="7">
    <w:p w:rsidR="00476FE4" w:rsidRDefault="00476FE4">
      <w:pPr>
        <w:pStyle w:val="a4"/>
      </w:pPr>
      <w:r>
        <w:rPr>
          <w:rStyle w:val="a6"/>
        </w:rPr>
        <w:footnoteRef/>
      </w:r>
      <w:r>
        <w:t xml:space="preserve"> См. </w:t>
      </w:r>
      <w:hyperlink r:id="rId7" w:history="1">
        <w:r w:rsidRPr="00703019">
          <w:rPr>
            <w:rStyle w:val="ad"/>
          </w:rPr>
          <w:t>https://www.unodc.org/unodc/en/data-and-analysis/arq.html</w:t>
        </w:r>
      </w:hyperlink>
    </w:p>
  </w:footnote>
  <w:footnote w:id="8">
    <w:p w:rsidR="00476FE4" w:rsidRPr="00476FE4" w:rsidRDefault="00476FE4">
      <w:pPr>
        <w:pStyle w:val="a4"/>
        <w:rPr>
          <w:lang w:val="en-US"/>
        </w:rPr>
      </w:pPr>
      <w:r>
        <w:rPr>
          <w:rStyle w:val="a6"/>
        </w:rPr>
        <w:footnoteRef/>
      </w:r>
      <w:r w:rsidRPr="00476FE4">
        <w:rPr>
          <w:lang w:val="en-US"/>
        </w:rPr>
        <w:t xml:space="preserve"> </w:t>
      </w:r>
      <w:r>
        <w:t xml:space="preserve">См. </w:t>
      </w:r>
      <w:hyperlink r:id="rId8" w:history="1">
        <w:r w:rsidRPr="00703019">
          <w:rPr>
            <w:rStyle w:val="ad"/>
            <w:lang w:val="en-US"/>
          </w:rPr>
          <w:t>https://www.unodc.org/unodc/en/data-and-analysis/arq.html</w:t>
        </w:r>
      </w:hyperlink>
    </w:p>
  </w:footnote>
  <w:footnote w:id="9">
    <w:p w:rsidR="003E2F21" w:rsidRPr="003E2F21" w:rsidRDefault="003E2F21">
      <w:pPr>
        <w:pStyle w:val="a4"/>
        <w:rPr>
          <w:lang w:val="en-US"/>
        </w:rPr>
      </w:pPr>
      <w:r>
        <w:rPr>
          <w:rStyle w:val="a6"/>
        </w:rPr>
        <w:footnoteRef/>
      </w:r>
      <w:r w:rsidRPr="003E2F21">
        <w:rPr>
          <w:lang w:val="en-US"/>
        </w:rPr>
        <w:t xml:space="preserve"> </w:t>
      </w:r>
      <w:hyperlink r:id="rId9" w:history="1">
        <w:r w:rsidRPr="00703019">
          <w:rPr>
            <w:rStyle w:val="ad"/>
            <w:lang w:val="en-US"/>
          </w:rPr>
          <w:t>https://onlinelibrary.wiley.com/doi/10.1002/mpr.1950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f"/>
      <w:jc w:val="right"/>
    </w:pPr>
    <w:r>
      <w:t xml:space="preserve">Последнее обновление: </w:t>
    </w:r>
    <w:r w:rsidR="00955652">
      <w:t>июнь</w:t>
    </w:r>
    <w:r w:rsidR="00781DE7">
      <w:t xml:space="preserve"> 202</w:t>
    </w:r>
    <w:r w:rsidR="00955652">
      <w:t>4</w:t>
    </w:r>
  </w:p>
  <w:p w:rsidR="009508D1" w:rsidRDefault="009508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223"/>
    <w:multiLevelType w:val="hybridMultilevel"/>
    <w:tmpl w:val="FC00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3A8"/>
    <w:multiLevelType w:val="hybridMultilevel"/>
    <w:tmpl w:val="0B18FBA4"/>
    <w:lvl w:ilvl="0" w:tplc="9248593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5127A"/>
    <w:multiLevelType w:val="hybridMultilevel"/>
    <w:tmpl w:val="E758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84637"/>
    <w:multiLevelType w:val="hybridMultilevel"/>
    <w:tmpl w:val="0054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65A7C"/>
    <w:multiLevelType w:val="hybridMultilevel"/>
    <w:tmpl w:val="33A4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35746"/>
    <w:multiLevelType w:val="hybridMultilevel"/>
    <w:tmpl w:val="CCD49D50"/>
    <w:lvl w:ilvl="0" w:tplc="31E81B8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D7DF6"/>
    <w:multiLevelType w:val="hybridMultilevel"/>
    <w:tmpl w:val="4570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013BA"/>
    <w:multiLevelType w:val="hybridMultilevel"/>
    <w:tmpl w:val="F934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069F9"/>
    <w:multiLevelType w:val="hybridMultilevel"/>
    <w:tmpl w:val="04407FA4"/>
    <w:lvl w:ilvl="0" w:tplc="8278B08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3E23"/>
    <w:multiLevelType w:val="hybridMultilevel"/>
    <w:tmpl w:val="47B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43404"/>
    <w:multiLevelType w:val="hybridMultilevel"/>
    <w:tmpl w:val="04941AD2"/>
    <w:lvl w:ilvl="0" w:tplc="ABC407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A210D"/>
    <w:rsid w:val="000A229E"/>
    <w:rsid w:val="000C5EF5"/>
    <w:rsid w:val="00116248"/>
    <w:rsid w:val="001470A2"/>
    <w:rsid w:val="00155973"/>
    <w:rsid w:val="00165896"/>
    <w:rsid w:val="001874CA"/>
    <w:rsid w:val="001A163A"/>
    <w:rsid w:val="001A3578"/>
    <w:rsid w:val="001E2FC9"/>
    <w:rsid w:val="00236A91"/>
    <w:rsid w:val="002472F3"/>
    <w:rsid w:val="0029032F"/>
    <w:rsid w:val="00291FA0"/>
    <w:rsid w:val="002E122C"/>
    <w:rsid w:val="002E15F9"/>
    <w:rsid w:val="002F63E5"/>
    <w:rsid w:val="00303D71"/>
    <w:rsid w:val="00306A08"/>
    <w:rsid w:val="003109CC"/>
    <w:rsid w:val="003143BC"/>
    <w:rsid w:val="00340B0C"/>
    <w:rsid w:val="003746BC"/>
    <w:rsid w:val="003859BD"/>
    <w:rsid w:val="003D58DC"/>
    <w:rsid w:val="003E2F21"/>
    <w:rsid w:val="00407E4E"/>
    <w:rsid w:val="004143B4"/>
    <w:rsid w:val="00421928"/>
    <w:rsid w:val="00476FE4"/>
    <w:rsid w:val="004A4176"/>
    <w:rsid w:val="004D0529"/>
    <w:rsid w:val="004D0871"/>
    <w:rsid w:val="004E087E"/>
    <w:rsid w:val="00560A09"/>
    <w:rsid w:val="00563CF0"/>
    <w:rsid w:val="005B5D94"/>
    <w:rsid w:val="005E47BD"/>
    <w:rsid w:val="005F2C0B"/>
    <w:rsid w:val="00610C4F"/>
    <w:rsid w:val="006704C2"/>
    <w:rsid w:val="00693EB2"/>
    <w:rsid w:val="00694160"/>
    <w:rsid w:val="006B260E"/>
    <w:rsid w:val="006B3939"/>
    <w:rsid w:val="006D7049"/>
    <w:rsid w:val="00702333"/>
    <w:rsid w:val="00705161"/>
    <w:rsid w:val="0075371E"/>
    <w:rsid w:val="00763313"/>
    <w:rsid w:val="00780F08"/>
    <w:rsid w:val="00781DE7"/>
    <w:rsid w:val="007B0CFD"/>
    <w:rsid w:val="007C27E0"/>
    <w:rsid w:val="007D1185"/>
    <w:rsid w:val="007F06DF"/>
    <w:rsid w:val="008213C3"/>
    <w:rsid w:val="00836F3E"/>
    <w:rsid w:val="00853C09"/>
    <w:rsid w:val="008D171E"/>
    <w:rsid w:val="009102E7"/>
    <w:rsid w:val="009508D1"/>
    <w:rsid w:val="00955652"/>
    <w:rsid w:val="00957A62"/>
    <w:rsid w:val="00980F79"/>
    <w:rsid w:val="00982FE8"/>
    <w:rsid w:val="009A344A"/>
    <w:rsid w:val="009C064B"/>
    <w:rsid w:val="00A16CB1"/>
    <w:rsid w:val="00A479E0"/>
    <w:rsid w:val="00A53D4B"/>
    <w:rsid w:val="00A618FC"/>
    <w:rsid w:val="00A71EC6"/>
    <w:rsid w:val="00A763FF"/>
    <w:rsid w:val="00A82CD3"/>
    <w:rsid w:val="00A91FDE"/>
    <w:rsid w:val="00AC1A97"/>
    <w:rsid w:val="00B0378B"/>
    <w:rsid w:val="00B04E4E"/>
    <w:rsid w:val="00B72F77"/>
    <w:rsid w:val="00BD29EC"/>
    <w:rsid w:val="00BE2C5D"/>
    <w:rsid w:val="00BE415C"/>
    <w:rsid w:val="00C03ED3"/>
    <w:rsid w:val="00C17EF1"/>
    <w:rsid w:val="00C47A4A"/>
    <w:rsid w:val="00C8596F"/>
    <w:rsid w:val="00CA1CB1"/>
    <w:rsid w:val="00D05466"/>
    <w:rsid w:val="00D127E7"/>
    <w:rsid w:val="00D2619D"/>
    <w:rsid w:val="00D3601C"/>
    <w:rsid w:val="00D82EE9"/>
    <w:rsid w:val="00DA19D7"/>
    <w:rsid w:val="00E123F7"/>
    <w:rsid w:val="00E21B43"/>
    <w:rsid w:val="00E27922"/>
    <w:rsid w:val="00E33CA8"/>
    <w:rsid w:val="00E90BD4"/>
    <w:rsid w:val="00E942F1"/>
    <w:rsid w:val="00EB362A"/>
    <w:rsid w:val="00EB389E"/>
    <w:rsid w:val="00EE0900"/>
    <w:rsid w:val="00F6371F"/>
    <w:rsid w:val="00F73DBC"/>
    <w:rsid w:val="00F84FF1"/>
    <w:rsid w:val="00F85A5E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E9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Dot pt,F5 List Paragraph,List Paragraph1,No Spacing1,List Paragraph Char Char Char,Indicator Text,Colorful List - Accent 11,Numbered Para 1,Bullet 1,Bullet Points,List Paragraph2,MAIN CONTENT,Normal numbered,3,Issue Action POC,Bullet List"/>
    <w:basedOn w:val="a"/>
    <w:link w:val="ac"/>
    <w:uiPriority w:val="34"/>
    <w:qFormat/>
    <w:rsid w:val="007B0CF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0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customStyle="1" w:styleId="ac">
    <w:name w:val="Абзац списка Знак"/>
    <w:aliases w:val="Dot pt Знак,F5 List Paragraph Знак,List Paragraph1 Знак,No Spacing1 Знак,List Paragraph Char Char Char Знак,Indicator Text Знак,Colorful List - Accent 11 Знак,Numbered Para 1 Знак,Bullet 1 Знак,Bullet Points Знак,List Paragraph2 Знак"/>
    <w:basedOn w:val="a0"/>
    <w:link w:val="ab"/>
    <w:uiPriority w:val="34"/>
    <w:locked/>
    <w:rsid w:val="00563CF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E9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Dot pt,F5 List Paragraph,List Paragraph1,No Spacing1,List Paragraph Char Char Char,Indicator Text,Colorful List - Accent 11,Numbered Para 1,Bullet 1,Bullet Points,List Paragraph2,MAIN CONTENT,Normal numbered,3,Issue Action POC,Bullet List"/>
    <w:basedOn w:val="a"/>
    <w:link w:val="ac"/>
    <w:uiPriority w:val="34"/>
    <w:qFormat/>
    <w:rsid w:val="007B0CF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0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customStyle="1" w:styleId="ac">
    <w:name w:val="Абзац списка Знак"/>
    <w:aliases w:val="Dot pt Знак,F5 List Paragraph Знак,List Paragraph1 Знак,No Spacing1 Знак,List Paragraph Char Char Char Знак,Indicator Text Знак,Colorful List - Accent 11 Знак,Numbered Para 1 Знак,Bullet 1 Знак,Bullet Points Знак,List Paragraph2 Знак"/>
    <w:basedOn w:val="a0"/>
    <w:link w:val="ab"/>
    <w:uiPriority w:val="34"/>
    <w:locked/>
    <w:rsid w:val="00563C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dr.unodc.org/wdr2019/" TargetMode="External"/><Relationship Id="rId18" Type="http://schemas.openxmlformats.org/officeDocument/2006/relationships/hyperlink" Target="https://www.unodc.org/unodc/en/commissions/CND/conventions.html" TargetMode="External"/><Relationship Id="rId26" Type="http://schemas.openxmlformats.org/officeDocument/2006/relationships/hyperlink" Target="https://onlinelibrary.wiley.com/doi/10.1002/mpr.19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odc.org/unodc/en/GAP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who.int/data/gho/data/themes/resources-for-substance-use-disorders" TargetMode="External"/><Relationship Id="rId17" Type="http://schemas.openxmlformats.org/officeDocument/2006/relationships/hyperlink" Target="https://icd.who.int/en" TargetMode="External"/><Relationship Id="rId25" Type="http://schemas.openxmlformats.org/officeDocument/2006/relationships/hyperlink" Target="https://apps.who.int/gho/data/node.main.GISA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d.who.int/browse10/2016/en" TargetMode="External"/><Relationship Id="rId20" Type="http://schemas.openxmlformats.org/officeDocument/2006/relationships/hyperlink" Target="https://apps.who.int/iris/bitstream/handle/10665/258734/9789241564052-eng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nslate.google.com/translate?hl=ru&amp;prev=_t&amp;sl=en&amp;tl=ru&amp;u=https://www.who.int/substance_abuse/activities/gisah/en/" TargetMode="External"/><Relationship Id="rId24" Type="http://schemas.openxmlformats.org/officeDocument/2006/relationships/hyperlink" Target="https://www.who.int/data/gho/data/themes/global-information-system-on-alcohol-and-heal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cbi.nlm.nih.gov/pmc/articles/PMC5608813/" TargetMode="External"/><Relationship Id="rId23" Type="http://schemas.openxmlformats.org/officeDocument/2006/relationships/hyperlink" Target="https://www.unodc.org/documents/data-and-analysis/statistics/Drugs/Drug_Use_Survey_Nigeria_2019_BOOK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odc.org/unodc/en/GAP/" TargetMode="External"/><Relationship Id="rId19" Type="http://schemas.openxmlformats.org/officeDocument/2006/relationships/hyperlink" Target="https://www.ncbi.nlm.nih.gov/pmc/articles/PMC23955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nodc.org/documents/commissions/CND/Int_Drug_Control_Conventions/Ebook/The_International_Drug_Control_Conventions_E.pdf" TargetMode="External"/><Relationship Id="rId14" Type="http://schemas.openxmlformats.org/officeDocument/2006/relationships/hyperlink" Target="https://www.who.int/data/global-health-estimates" TargetMode="External"/><Relationship Id="rId22" Type="http://schemas.openxmlformats.org/officeDocument/2006/relationships/hyperlink" Target="https://www.unodc.org/documents/pakistan/Survey_Report_Final_2013.pdf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unodc/en/data-and-analysis/arq.html" TargetMode="External"/><Relationship Id="rId3" Type="http://schemas.openxmlformats.org/officeDocument/2006/relationships/hyperlink" Target="https://iris.who.int/handle/10665/331635" TargetMode="External"/><Relationship Id="rId7" Type="http://schemas.openxmlformats.org/officeDocument/2006/relationships/hyperlink" Target="https://www.unodc.org/unodc/en/data-and-analysis/arq.html" TargetMode="External"/><Relationship Id="rId2" Type="http://schemas.openxmlformats.org/officeDocument/2006/relationships/hyperlink" Target="https://icd.who.int/browse/2024-01/mms/en" TargetMode="External"/><Relationship Id="rId1" Type="http://schemas.openxmlformats.org/officeDocument/2006/relationships/hyperlink" Target="https://onlinelibrary.wiley.com/doi/10.1002/mpr.1950" TargetMode="External"/><Relationship Id="rId6" Type="http://schemas.openxmlformats.org/officeDocument/2006/relationships/hyperlink" Target="https://www.healthdata.org/research-analysis/gbd" TargetMode="External"/><Relationship Id="rId5" Type="http://schemas.openxmlformats.org/officeDocument/2006/relationships/hyperlink" Target="https://www.who.int/standards/classifications/classification-of-diseases" TargetMode="External"/><Relationship Id="rId4" Type="http://schemas.openxmlformats.org/officeDocument/2006/relationships/hyperlink" Target="https://iris.who.int/handle/10665/374250" TargetMode="External"/><Relationship Id="rId9" Type="http://schemas.openxmlformats.org/officeDocument/2006/relationships/hyperlink" Target="https://onlinelibrary.wiley.com/doi/10.1002/mpr.1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786B-A5F5-4CD6-9A2E-322D76C4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27</cp:revision>
  <dcterms:created xsi:type="dcterms:W3CDTF">2022-02-03T14:18:00Z</dcterms:created>
  <dcterms:modified xsi:type="dcterms:W3CDTF">2024-06-20T11:09:00Z</dcterms:modified>
</cp:coreProperties>
</file>