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 метаданных - версия формата 1.</w:t>
      </w:r>
      <w:r w:rsidR="007777D0">
        <w:rPr>
          <w:rFonts w:eastAsia="Arial Unicode MS" w:cs="Times New Roman"/>
          <w:b/>
          <w:szCs w:val="24"/>
          <w:bdr w:val="nil"/>
          <w:lang w:eastAsia="ru-RU"/>
        </w:rPr>
        <w:t>1</w:t>
      </w:r>
      <w:r w:rsidRPr="00BD29EC">
        <w:rPr>
          <w:rFonts w:eastAsia="Arial Unicode MS" w:cs="Times New Roman"/>
          <w:b/>
          <w:szCs w:val="24"/>
          <w:bdr w:val="nil"/>
          <w:lang w:eastAsia="ru-RU"/>
        </w:rPr>
        <w:t>)</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BD29EC">
        <w:rPr>
          <w:rFonts w:eastAsia="Arial Unicode MS" w:cs="Times New Roman"/>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780F08" w:rsidRPr="00BD29EC" w:rsidRDefault="003859BD" w:rsidP="00853C09">
      <w:pPr>
        <w:pBdr>
          <w:top w:val="nil"/>
          <w:left w:val="nil"/>
          <w:bottom w:val="nil"/>
          <w:right w:val="nil"/>
          <w:between w:val="nil"/>
          <w:bar w:val="nil"/>
        </w:pBdr>
        <w:spacing w:after="0"/>
        <w:rPr>
          <w:rFonts w:eastAsia="Arial Unicode MS" w:cs="Times New Roman"/>
          <w:szCs w:val="24"/>
          <w:bdr w:val="nil"/>
          <w:lang w:eastAsia="ru-RU"/>
        </w:rPr>
      </w:pPr>
      <w:r>
        <w:rPr>
          <w:rFonts w:eastAsia="Arial Unicode MS" w:cs="Times New Roman"/>
          <w:szCs w:val="24"/>
          <w:bdr w:val="nil"/>
          <w:lang w:eastAsia="ru-RU"/>
        </w:rPr>
        <w:t xml:space="preserve">Цель </w:t>
      </w:r>
      <w:r w:rsidR="00BE415C">
        <w:rPr>
          <w:rFonts w:eastAsia="Arial Unicode MS" w:cs="Times New Roman"/>
          <w:szCs w:val="24"/>
          <w:bdr w:val="nil"/>
          <w:lang w:eastAsia="ru-RU"/>
        </w:rPr>
        <w:t>3</w:t>
      </w:r>
      <w:r w:rsidR="00780F08" w:rsidRPr="00BD29EC">
        <w:rPr>
          <w:rFonts w:eastAsia="Arial Unicode MS" w:cs="Times New Roman"/>
          <w:szCs w:val="24"/>
          <w:bdr w:val="nil"/>
          <w:lang w:eastAsia="ru-RU"/>
        </w:rPr>
        <w:t xml:space="preserve">: </w:t>
      </w:r>
      <w:r w:rsidR="00BE415C" w:rsidRPr="00BE415C">
        <w:rPr>
          <w:rFonts w:eastAsia="Arial Unicode MS" w:cs="Times New Roman"/>
          <w:szCs w:val="24"/>
          <w:bdr w:val="nil"/>
          <w:lang w:eastAsia="ru-RU"/>
        </w:rPr>
        <w:t>Обеспечение здорового образа жизни и содействие благополучию для всех в любом возрасте</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5712CD" w:rsidRDefault="00BE415C" w:rsidP="00781DE7">
      <w:pPr>
        <w:pBdr>
          <w:top w:val="nil"/>
          <w:left w:val="nil"/>
          <w:bottom w:val="nil"/>
          <w:right w:val="nil"/>
          <w:between w:val="nil"/>
          <w:bar w:val="nil"/>
        </w:pBdr>
        <w:spacing w:after="0"/>
        <w:rPr>
          <w:rFonts w:cs="Times New Roman"/>
          <w:b/>
          <w:szCs w:val="24"/>
        </w:rPr>
      </w:pPr>
      <w:r>
        <w:rPr>
          <w:rFonts w:cs="Times New Roman"/>
          <w:szCs w:val="24"/>
        </w:rPr>
        <w:t>3</w:t>
      </w:r>
      <w:r w:rsidR="00780F08" w:rsidRPr="00BD29EC">
        <w:rPr>
          <w:rFonts w:cs="Times New Roman"/>
          <w:szCs w:val="24"/>
        </w:rPr>
        <w:t>.</w:t>
      </w:r>
      <w:r w:rsidR="005712CD">
        <w:rPr>
          <w:rFonts w:cs="Times New Roman"/>
          <w:szCs w:val="24"/>
        </w:rPr>
        <w:t>8</w:t>
      </w:r>
      <w:r w:rsidR="00780F08" w:rsidRPr="00BD29EC">
        <w:rPr>
          <w:rFonts w:cs="Times New Roman"/>
          <w:szCs w:val="24"/>
        </w:rPr>
        <w:t xml:space="preserve">.  </w:t>
      </w:r>
      <w:r w:rsidR="005712CD" w:rsidRPr="005712CD">
        <w:t>Обеспечить всеобщий охват услугами здравоохранения, в том числе защиту от финансовых рисков, доступ к качественным основным медико-санитарным услугам и доступ к безопасным, эффективным, качественным и недорогим основным лекарственным средствам и вакцинам для всех</w:t>
      </w:r>
    </w:p>
    <w:p w:rsidR="003143BC" w:rsidRPr="00BD29EC" w:rsidRDefault="003143BC" w:rsidP="00781DE7">
      <w:pPr>
        <w:pBdr>
          <w:top w:val="nil"/>
          <w:left w:val="nil"/>
          <w:bottom w:val="nil"/>
          <w:right w:val="nil"/>
          <w:between w:val="nil"/>
          <w:bar w:val="nil"/>
        </w:pBdr>
        <w:spacing w:after="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780F08" w:rsidRPr="00BD29EC" w:rsidRDefault="003143BC" w:rsidP="00853C09">
      <w:pPr>
        <w:pBdr>
          <w:top w:val="nil"/>
          <w:left w:val="nil"/>
          <w:bottom w:val="nil"/>
          <w:right w:val="nil"/>
          <w:between w:val="nil"/>
          <w:bar w:val="nil"/>
        </w:pBdr>
        <w:spacing w:after="0"/>
        <w:rPr>
          <w:rFonts w:cs="Times New Roman"/>
          <w:szCs w:val="24"/>
        </w:rPr>
      </w:pPr>
      <w:r w:rsidRPr="00BD29EC">
        <w:rPr>
          <w:rFonts w:cs="Times New Roman"/>
          <w:szCs w:val="24"/>
        </w:rPr>
        <w:t xml:space="preserve">Показатель </w:t>
      </w:r>
      <w:r w:rsidR="00BE415C">
        <w:rPr>
          <w:rFonts w:cs="Times New Roman"/>
          <w:szCs w:val="24"/>
        </w:rPr>
        <w:t>3</w:t>
      </w:r>
      <w:r w:rsidR="00780F08" w:rsidRPr="00BD29EC">
        <w:rPr>
          <w:rFonts w:cs="Times New Roman"/>
          <w:szCs w:val="24"/>
        </w:rPr>
        <w:t>.</w:t>
      </w:r>
      <w:r w:rsidR="005712CD">
        <w:rPr>
          <w:rFonts w:cs="Times New Roman"/>
          <w:szCs w:val="24"/>
        </w:rPr>
        <w:t>8</w:t>
      </w:r>
      <w:r w:rsidR="00780F08" w:rsidRPr="00BD29EC">
        <w:rPr>
          <w:rFonts w:cs="Times New Roman"/>
          <w:szCs w:val="24"/>
        </w:rPr>
        <w:t xml:space="preserve">.1 </w:t>
      </w:r>
      <w:r w:rsidR="005712CD" w:rsidRPr="005712CD">
        <w:t>Охват основн</w:t>
      </w:r>
      <w:r w:rsidR="00A56225">
        <w:t>ыми медико-санитарными услугами</w:t>
      </w:r>
    </w:p>
    <w:p w:rsidR="003143B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sidR="00291FA0">
        <w:rPr>
          <w:rFonts w:eastAsia="Arial Unicode MS" w:cs="Times New Roman"/>
          <w:b/>
          <w:szCs w:val="24"/>
          <w:bdr w:val="nil"/>
          <w:lang w:eastAsia="ru-RU"/>
        </w:rPr>
        <w:t>Ряд</w:t>
      </w:r>
    </w:p>
    <w:p w:rsidR="00C34C83" w:rsidRDefault="00C34C83" w:rsidP="00853C09">
      <w:pPr>
        <w:pBdr>
          <w:top w:val="nil"/>
          <w:left w:val="nil"/>
          <w:bottom w:val="nil"/>
          <w:right w:val="nil"/>
          <w:between w:val="nil"/>
          <w:bar w:val="nil"/>
        </w:pBdr>
        <w:tabs>
          <w:tab w:val="left" w:pos="284"/>
        </w:tabs>
        <w:spacing w:after="0"/>
        <w:rPr>
          <w:rFonts w:eastAsia="Arial Unicode MS" w:cs="Times New Roman"/>
          <w:szCs w:val="24"/>
          <w:bdr w:val="nil"/>
          <w:lang w:eastAsia="ru-RU"/>
        </w:rPr>
      </w:pPr>
      <w:r w:rsidRPr="00C34C83">
        <w:rPr>
          <w:rFonts w:eastAsia="Arial Unicode MS" w:cs="Times New Roman"/>
          <w:szCs w:val="24"/>
          <w:bdr w:val="nil"/>
          <w:lang w:val="en-US" w:eastAsia="ru-RU"/>
        </w:rPr>
        <w:t>SH</w:t>
      </w:r>
      <w:r w:rsidRPr="00C34C83">
        <w:rPr>
          <w:rFonts w:eastAsia="Arial Unicode MS" w:cs="Times New Roman"/>
          <w:szCs w:val="24"/>
          <w:bdr w:val="nil"/>
          <w:lang w:eastAsia="ru-RU"/>
        </w:rPr>
        <w:t>_</w:t>
      </w:r>
      <w:r w:rsidRPr="00C34C83">
        <w:rPr>
          <w:rFonts w:eastAsia="Arial Unicode MS" w:cs="Times New Roman"/>
          <w:szCs w:val="24"/>
          <w:bdr w:val="nil"/>
          <w:lang w:val="en-US" w:eastAsia="ru-RU"/>
        </w:rPr>
        <w:t>ACS</w:t>
      </w:r>
      <w:r w:rsidRPr="00C34C83">
        <w:rPr>
          <w:rFonts w:eastAsia="Arial Unicode MS" w:cs="Times New Roman"/>
          <w:szCs w:val="24"/>
          <w:bdr w:val="nil"/>
          <w:lang w:eastAsia="ru-RU"/>
        </w:rPr>
        <w:t>_</w:t>
      </w:r>
      <w:r w:rsidRPr="00C34C83">
        <w:rPr>
          <w:rFonts w:eastAsia="Arial Unicode MS" w:cs="Times New Roman"/>
          <w:szCs w:val="24"/>
          <w:bdr w:val="nil"/>
          <w:lang w:val="en-US" w:eastAsia="ru-RU"/>
        </w:rPr>
        <w:t>UNHC</w:t>
      </w:r>
      <w:r w:rsidRPr="00C34C83">
        <w:rPr>
          <w:rFonts w:eastAsia="Arial Unicode MS" w:cs="Times New Roman"/>
          <w:szCs w:val="24"/>
          <w:bdr w:val="nil"/>
          <w:lang w:eastAsia="ru-RU"/>
        </w:rPr>
        <w:t xml:space="preserve"> – Индекс охвата услугами всеобщего медицинского страхования (</w:t>
      </w:r>
      <w:r w:rsidRPr="00C34C83">
        <w:rPr>
          <w:rFonts w:eastAsia="Arial Unicode MS" w:cs="Times New Roman"/>
          <w:szCs w:val="24"/>
          <w:bdr w:val="nil"/>
          <w:lang w:val="en-US" w:eastAsia="ru-RU"/>
        </w:rPr>
        <w:t>UHC</w:t>
      </w:r>
      <w:r>
        <w:rPr>
          <w:rFonts w:eastAsia="Arial Unicode MS" w:cs="Times New Roman"/>
          <w:szCs w:val="24"/>
          <w:bdr w:val="nil"/>
          <w:lang w:eastAsia="ru-RU"/>
        </w:rPr>
        <w:t>)</w:t>
      </w:r>
      <w:r w:rsidRPr="00C34C83">
        <w:rPr>
          <w:rFonts w:eastAsia="Arial Unicode MS" w:cs="Times New Roman"/>
          <w:szCs w:val="24"/>
          <w:bdr w:val="nil"/>
          <w:lang w:eastAsia="ru-RU"/>
        </w:rPr>
        <w:t xml:space="preserve"> [3.8.1]</w:t>
      </w:r>
    </w:p>
    <w:p w:rsidR="00C5595E" w:rsidRPr="00C34C83" w:rsidRDefault="00C8596F" w:rsidP="00853C09">
      <w:pPr>
        <w:pBdr>
          <w:top w:val="nil"/>
          <w:left w:val="nil"/>
          <w:bottom w:val="nil"/>
          <w:right w:val="nil"/>
          <w:between w:val="nil"/>
          <w:bar w:val="nil"/>
        </w:pBdr>
        <w:tabs>
          <w:tab w:val="left" w:pos="284"/>
        </w:tabs>
        <w:spacing w:after="0"/>
        <w:rPr>
          <w:rFonts w:eastAsia="Arial Unicode MS" w:cs="Times New Roman"/>
          <w:b/>
          <w:szCs w:val="24"/>
          <w:bdr w:val="nil"/>
          <w:lang w:val="en-US" w:eastAsia="ru-RU"/>
        </w:rPr>
      </w:pPr>
      <w:proofErr w:type="gramStart"/>
      <w:r w:rsidRPr="00C34C83">
        <w:rPr>
          <w:rFonts w:eastAsia="Arial Unicode MS" w:cs="Times New Roman"/>
          <w:b/>
          <w:szCs w:val="24"/>
          <w:bdr w:val="nil"/>
          <w:lang w:val="en-US" w:eastAsia="ru-RU"/>
        </w:rPr>
        <w:t>0.</w:t>
      </w:r>
      <w:r w:rsidRPr="00BD29EC">
        <w:rPr>
          <w:rFonts w:eastAsia="Arial Unicode MS" w:cs="Times New Roman"/>
          <w:b/>
          <w:szCs w:val="24"/>
          <w:bdr w:val="nil"/>
          <w:lang w:val="en-US" w:eastAsia="ru-RU"/>
        </w:rPr>
        <w:t>e</w:t>
      </w:r>
      <w:proofErr w:type="gramEnd"/>
      <w:r w:rsidRPr="00C34C83">
        <w:rPr>
          <w:rFonts w:eastAsia="Arial Unicode MS" w:cs="Times New Roman"/>
          <w:b/>
          <w:szCs w:val="24"/>
          <w:bdr w:val="nil"/>
          <w:lang w:val="en-US" w:eastAsia="ru-RU"/>
        </w:rPr>
        <w:t xml:space="preserve">. </w:t>
      </w:r>
      <w:r w:rsidRPr="00BD29EC">
        <w:rPr>
          <w:rFonts w:eastAsia="Arial Unicode MS" w:cs="Times New Roman"/>
          <w:b/>
          <w:szCs w:val="24"/>
          <w:bdr w:val="nil"/>
          <w:lang w:eastAsia="ru-RU"/>
        </w:rPr>
        <w:t>Обновление</w:t>
      </w:r>
      <w:r w:rsidRPr="00C34C83">
        <w:rPr>
          <w:rFonts w:eastAsia="Arial Unicode MS" w:cs="Times New Roman"/>
          <w:b/>
          <w:szCs w:val="24"/>
          <w:bdr w:val="nil"/>
          <w:lang w:val="en-US" w:eastAsia="ru-RU"/>
        </w:rPr>
        <w:t xml:space="preserve"> </w:t>
      </w:r>
      <w:r w:rsidRPr="00BD29EC">
        <w:rPr>
          <w:rFonts w:eastAsia="Arial Unicode MS" w:cs="Times New Roman"/>
          <w:b/>
          <w:szCs w:val="24"/>
          <w:bdr w:val="nil"/>
          <w:lang w:eastAsia="ru-RU"/>
        </w:rPr>
        <w:t>данных</w:t>
      </w:r>
    </w:p>
    <w:p w:rsidR="00C8596F" w:rsidRPr="00C34C83" w:rsidRDefault="00C34C83" w:rsidP="00853C09">
      <w:pPr>
        <w:pBdr>
          <w:top w:val="nil"/>
          <w:left w:val="nil"/>
          <w:bottom w:val="nil"/>
          <w:right w:val="nil"/>
          <w:between w:val="nil"/>
          <w:bar w:val="nil"/>
        </w:pBdr>
        <w:tabs>
          <w:tab w:val="left" w:pos="284"/>
        </w:tabs>
        <w:spacing w:after="0"/>
        <w:rPr>
          <w:rFonts w:eastAsia="Arial Unicode MS" w:cs="Times New Roman"/>
          <w:b/>
          <w:szCs w:val="24"/>
          <w:bdr w:val="nil"/>
          <w:lang w:val="en-US" w:eastAsia="ru-RU"/>
        </w:rPr>
      </w:pPr>
      <w:r w:rsidRPr="00C34C83">
        <w:rPr>
          <w:lang w:val="en-US"/>
        </w:rPr>
        <w:t>15.12.2023</w:t>
      </w:r>
    </w:p>
    <w:p w:rsidR="00C8596F" w:rsidRDefault="00C8596F"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DA19D7">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DA19D7">
        <w:rPr>
          <w:rFonts w:eastAsia="Arial Unicode MS" w:cs="Times New Roman"/>
          <w:b/>
          <w:szCs w:val="24"/>
          <w:bdr w:val="nil"/>
          <w:lang w:eastAsia="ru-RU"/>
        </w:rPr>
        <w:t xml:space="preserve"> </w:t>
      </w:r>
    </w:p>
    <w:p w:rsidR="00C5595E" w:rsidRDefault="00C5595E" w:rsidP="00C5595E">
      <w:pPr>
        <w:rPr>
          <w:bdr w:val="nil"/>
          <w:lang w:eastAsia="ru-RU"/>
        </w:rPr>
      </w:pPr>
      <w:r w:rsidRPr="00C5595E">
        <w:rPr>
          <w:bdr w:val="nil"/>
          <w:lang w:eastAsia="ru-RU"/>
        </w:rPr>
        <w:t>Индекс охвата услугами всеобщего медицинского обслуживания</w:t>
      </w:r>
      <w:r w:rsidR="00D43248">
        <w:rPr>
          <w:bdr w:val="nil"/>
          <w:lang w:eastAsia="ru-RU"/>
        </w:rPr>
        <w:t xml:space="preserve"> (</w:t>
      </w:r>
      <w:r w:rsidR="00D43248">
        <w:rPr>
          <w:bdr w:val="nil"/>
          <w:lang w:val="en-US" w:eastAsia="ru-RU"/>
        </w:rPr>
        <w:t>UHC</w:t>
      </w:r>
      <w:r w:rsidR="00D43248" w:rsidRPr="00D43248">
        <w:rPr>
          <w:bdr w:val="nil"/>
          <w:lang w:eastAsia="ru-RU"/>
        </w:rPr>
        <w:t>)</w:t>
      </w:r>
      <w:r w:rsidRPr="00C5595E">
        <w:rPr>
          <w:bdr w:val="nil"/>
          <w:lang w:eastAsia="ru-RU"/>
        </w:rPr>
        <w:t xml:space="preserve"> предназначен для обобщения существующих показателей охвата услугами здравоохранения, чтобы обеспечить соответствие ЦУР и другим глобальным инициативам и уменьшить дублирование и бремя отчетности. </w:t>
      </w:r>
    </w:p>
    <w:p w:rsidR="00C5595E" w:rsidRPr="00DA19D7" w:rsidRDefault="00C5595E" w:rsidP="00C5595E">
      <w:pPr>
        <w:rPr>
          <w:bdr w:val="nil"/>
          <w:lang w:eastAsia="ru-RU"/>
        </w:rPr>
      </w:pPr>
      <w:r w:rsidRPr="00C5595E">
        <w:rPr>
          <w:bdr w:val="nil"/>
          <w:lang w:eastAsia="ru-RU"/>
        </w:rPr>
        <w:t xml:space="preserve">Показатель 3.8.1 всегда следует интерпретировать </w:t>
      </w:r>
      <w:r>
        <w:rPr>
          <w:bdr w:val="nil"/>
          <w:lang w:eastAsia="ru-RU"/>
        </w:rPr>
        <w:t xml:space="preserve">вместе с другим показателем </w:t>
      </w:r>
      <w:r>
        <w:rPr>
          <w:bdr w:val="nil"/>
          <w:lang w:val="de-DE" w:eastAsia="ru-RU"/>
        </w:rPr>
        <w:t>UHC</w:t>
      </w:r>
      <w:r w:rsidRPr="00C5595E">
        <w:rPr>
          <w:bdr w:val="nil"/>
          <w:lang w:eastAsia="ru-RU"/>
        </w:rPr>
        <w:t xml:space="preserve"> ЦУР, 3.8.2, который измеряет финансовую защиту.</w:t>
      </w:r>
    </w:p>
    <w:p w:rsidR="00A91FDE" w:rsidRPr="00BD29EC" w:rsidRDefault="00E33CA8" w:rsidP="0075371E">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957A62" w:rsidRPr="00160EF4" w:rsidRDefault="00160EF4" w:rsidP="0075371E">
      <w:pPr>
        <w:pBdr>
          <w:top w:val="nil"/>
          <w:left w:val="nil"/>
          <w:bottom w:val="nil"/>
          <w:right w:val="nil"/>
          <w:between w:val="nil"/>
          <w:bar w:val="nil"/>
        </w:pBdr>
        <w:spacing w:after="0"/>
        <w:rPr>
          <w:rFonts w:cs="Times New Roman"/>
          <w:szCs w:val="24"/>
        </w:rPr>
      </w:pPr>
      <w:r>
        <w:rPr>
          <w:rFonts w:cs="Times New Roman"/>
          <w:szCs w:val="24"/>
        </w:rPr>
        <w:t>Всемирная организация здравоохранения (ВОЗ)</w:t>
      </w:r>
    </w:p>
    <w:p w:rsidR="00957A62" w:rsidRPr="00BD29EC" w:rsidRDefault="00957A62" w:rsidP="0075371E">
      <w:pPr>
        <w:pStyle w:val="MHeader"/>
        <w:rPr>
          <w:b/>
          <w:color w:val="auto"/>
          <w:sz w:val="24"/>
          <w:szCs w:val="24"/>
          <w:lang w:val="ru-RU"/>
        </w:rPr>
      </w:pPr>
      <w:bookmarkStart w:id="0" w:name="_Toc37932744"/>
      <w:bookmarkStart w:id="1" w:name="_Toc36813072"/>
      <w:bookmarkStart w:id="2" w:name="_Toc36812685"/>
      <w:bookmarkStart w:id="3" w:name="_Toc36812572"/>
      <w:bookmarkStart w:id="4" w:name="_Toc36655609"/>
      <w:r w:rsidRPr="00BD29EC">
        <w:rPr>
          <w:b/>
          <w:color w:val="auto"/>
          <w:sz w:val="24"/>
          <w:szCs w:val="24"/>
          <w:lang w:val="ru-RU"/>
        </w:rPr>
        <w:t xml:space="preserve">1. </w:t>
      </w:r>
      <w:bookmarkEnd w:id="0"/>
      <w:bookmarkEnd w:id="1"/>
      <w:bookmarkEnd w:id="2"/>
      <w:bookmarkEnd w:id="3"/>
      <w:bookmarkEnd w:id="4"/>
      <w:r w:rsidR="00853C09" w:rsidRPr="00BD29EC">
        <w:rPr>
          <w:b/>
          <w:color w:val="auto"/>
          <w:sz w:val="24"/>
          <w:szCs w:val="24"/>
          <w:lang w:val="ru-RU"/>
        </w:rPr>
        <w:t xml:space="preserve">Данные представлены </w:t>
      </w:r>
    </w:p>
    <w:p w:rsidR="00957A62" w:rsidRPr="00BD29EC"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957A62" w:rsidRPr="00160EF4" w:rsidRDefault="00160EF4" w:rsidP="00160EF4">
      <w:pPr>
        <w:pBdr>
          <w:top w:val="nil"/>
          <w:left w:val="nil"/>
          <w:bottom w:val="nil"/>
          <w:right w:val="nil"/>
          <w:between w:val="nil"/>
          <w:bar w:val="nil"/>
        </w:pBdr>
        <w:spacing w:after="0"/>
        <w:rPr>
          <w:rFonts w:cs="Times New Roman"/>
          <w:szCs w:val="24"/>
        </w:rPr>
      </w:pPr>
      <w:r>
        <w:rPr>
          <w:rFonts w:cs="Times New Roman"/>
          <w:szCs w:val="24"/>
        </w:rPr>
        <w:t>Всемирная организация здравоохранения (ВОЗ)</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Pr="00AB0D45" w:rsidRDefault="00DA19D7" w:rsidP="00DA19D7">
      <w:pPr>
        <w:pStyle w:val="MText"/>
        <w:rPr>
          <w:b/>
          <w:color w:val="000000" w:themeColor="text1"/>
          <w:sz w:val="24"/>
          <w:szCs w:val="24"/>
          <w:lang w:val="ru-RU"/>
        </w:rPr>
      </w:pPr>
      <w:r w:rsidRPr="00AB0D45">
        <w:rPr>
          <w:b/>
          <w:color w:val="000000" w:themeColor="text1"/>
          <w:sz w:val="24"/>
          <w:szCs w:val="24"/>
          <w:lang w:val="ru-RU"/>
        </w:rPr>
        <w:t>Определение:</w:t>
      </w:r>
    </w:p>
    <w:p w:rsidR="00160EF4" w:rsidRDefault="00160EF4" w:rsidP="00160EF4">
      <w:pPr>
        <w:rPr>
          <w:rFonts w:cs="Times New Roman"/>
          <w:szCs w:val="24"/>
        </w:rPr>
      </w:pPr>
      <w:r>
        <w:rPr>
          <w:rFonts w:cs="Times New Roman"/>
          <w:szCs w:val="24"/>
        </w:rPr>
        <w:t>Охват основных медицинских</w:t>
      </w:r>
      <w:r w:rsidRPr="00123724">
        <w:rPr>
          <w:rFonts w:cs="Times New Roman"/>
          <w:szCs w:val="24"/>
        </w:rPr>
        <w:t xml:space="preserve"> услуг (определяемый как средний охват основных служб, основанный на вмешательствах, которые включают в себя репродуктивное, материнское, новорожденное и детское здоровье, инфекционные заболевания, неинфекционные заболевания и возможности и доступность услуг среди населения в целом и наиболее обездоленных).</w:t>
      </w:r>
    </w:p>
    <w:p w:rsidR="00276122" w:rsidRPr="00123724" w:rsidRDefault="00276122" w:rsidP="00160EF4">
      <w:pPr>
        <w:rPr>
          <w:rFonts w:cs="Times New Roman"/>
          <w:szCs w:val="24"/>
        </w:rPr>
      </w:pPr>
    </w:p>
    <w:p w:rsidR="00DA19D7" w:rsidRPr="00C34C83" w:rsidRDefault="003859BD" w:rsidP="00DA19D7">
      <w:pPr>
        <w:pStyle w:val="MText"/>
        <w:rPr>
          <w:b/>
          <w:color w:val="000000" w:themeColor="text1"/>
          <w:sz w:val="24"/>
          <w:szCs w:val="24"/>
          <w:lang w:val="ru-RU"/>
        </w:rPr>
      </w:pPr>
      <w:r w:rsidRPr="00AB0D45">
        <w:rPr>
          <w:b/>
          <w:color w:val="000000" w:themeColor="text1"/>
          <w:sz w:val="24"/>
          <w:szCs w:val="24"/>
          <w:lang w:val="ru-RU"/>
        </w:rPr>
        <w:lastRenderedPageBreak/>
        <w:t>Основные понятия</w:t>
      </w:r>
      <w:r w:rsidR="00AB0D45" w:rsidRPr="00C34C83">
        <w:rPr>
          <w:b/>
          <w:color w:val="000000" w:themeColor="text1"/>
          <w:sz w:val="24"/>
          <w:szCs w:val="24"/>
          <w:lang w:val="ru-RU"/>
        </w:rPr>
        <w:t>:</w:t>
      </w:r>
    </w:p>
    <w:p w:rsidR="00160EF4" w:rsidRPr="00123724" w:rsidRDefault="00160EF4" w:rsidP="00160EF4">
      <w:pPr>
        <w:rPr>
          <w:rFonts w:cs="Times New Roman"/>
          <w:szCs w:val="24"/>
        </w:rPr>
      </w:pPr>
      <w:r w:rsidRPr="00123724">
        <w:rPr>
          <w:rFonts w:cs="Times New Roman"/>
          <w:szCs w:val="24"/>
        </w:rPr>
        <w:t xml:space="preserve">Индекс охвата услугами здравоохранения рассчитывается как среднее геометрическое из 14 индикаторов показателя. </w:t>
      </w:r>
      <w:r w:rsidRPr="00160EF4">
        <w:rPr>
          <w:rFonts w:cs="Times New Roman"/>
          <w:szCs w:val="24"/>
        </w:rPr>
        <w:t>Ниже перечислены 14 индикаторов, а подробные метаданные по каждому из компо</w:t>
      </w:r>
      <w:r>
        <w:rPr>
          <w:rFonts w:cs="Times New Roman"/>
          <w:szCs w:val="24"/>
        </w:rPr>
        <w:t>нентов приведены в Приложении 1</w:t>
      </w:r>
      <w:r w:rsidRPr="00123724">
        <w:rPr>
          <w:rFonts w:cs="Times New Roman"/>
          <w:szCs w:val="24"/>
        </w:rPr>
        <w:t xml:space="preserve">. </w:t>
      </w:r>
      <w:r w:rsidRPr="00160EF4">
        <w:rPr>
          <w:rFonts w:cs="Times New Roman"/>
          <w:szCs w:val="24"/>
        </w:rPr>
        <w:t>Ниже приведены контрольные индикаторы, организованные по четырем шир</w:t>
      </w:r>
      <w:r>
        <w:rPr>
          <w:rFonts w:cs="Times New Roman"/>
          <w:szCs w:val="24"/>
        </w:rPr>
        <w:t>оким категориям охвата услугами</w:t>
      </w:r>
      <w:r w:rsidRPr="00123724">
        <w:rPr>
          <w:rFonts w:cs="Times New Roman"/>
          <w:szCs w:val="24"/>
        </w:rPr>
        <w:t>:</w:t>
      </w:r>
    </w:p>
    <w:p w:rsidR="00160EF4" w:rsidRPr="00123724" w:rsidRDefault="00160EF4" w:rsidP="00160EF4">
      <w:pPr>
        <w:rPr>
          <w:rFonts w:cs="Times New Roman"/>
          <w:szCs w:val="24"/>
        </w:rPr>
      </w:pPr>
      <w:r w:rsidRPr="00123724">
        <w:rPr>
          <w:rFonts w:cs="Times New Roman"/>
          <w:szCs w:val="24"/>
        </w:rPr>
        <w:t>I. Репродуктивное здоровье матерей, новорожденных и детей</w:t>
      </w:r>
    </w:p>
    <w:p w:rsidR="00160EF4" w:rsidRPr="00123724" w:rsidRDefault="00160EF4" w:rsidP="00160EF4">
      <w:pPr>
        <w:ind w:left="708"/>
        <w:rPr>
          <w:rFonts w:cs="Times New Roman"/>
          <w:szCs w:val="24"/>
        </w:rPr>
      </w:pPr>
      <w:r w:rsidRPr="00123724">
        <w:rPr>
          <w:rFonts w:cs="Times New Roman"/>
          <w:szCs w:val="24"/>
        </w:rPr>
        <w:t xml:space="preserve">1. </w:t>
      </w:r>
      <w:r w:rsidRPr="00123724">
        <w:rPr>
          <w:rFonts w:cs="Times New Roman"/>
          <w:szCs w:val="24"/>
          <w:u w:val="single"/>
        </w:rPr>
        <w:t>Планирование семьи:</w:t>
      </w:r>
      <w:r w:rsidRPr="00123724">
        <w:rPr>
          <w:rFonts w:cs="Times New Roman"/>
          <w:szCs w:val="24"/>
        </w:rPr>
        <w:t xml:space="preserve"> Процент женщин репродуктивного возраста (15-49 лет), которые состоят в браке или </w:t>
      </w:r>
      <w:r w:rsidR="00F323BC" w:rsidRPr="00F323BC">
        <w:rPr>
          <w:rFonts w:cs="Times New Roman"/>
          <w:szCs w:val="24"/>
        </w:rPr>
        <w:t>во внебрачных союзах</w:t>
      </w:r>
      <w:r w:rsidRPr="00123724">
        <w:rPr>
          <w:rFonts w:cs="Times New Roman"/>
          <w:szCs w:val="24"/>
        </w:rPr>
        <w:t xml:space="preserve">, которые нуждаются в планировании семьи, </w:t>
      </w:r>
      <w:r w:rsidR="00F323BC">
        <w:rPr>
          <w:rFonts w:cs="Times New Roman"/>
          <w:szCs w:val="24"/>
        </w:rPr>
        <w:t xml:space="preserve">удовлетворены </w:t>
      </w:r>
      <w:r w:rsidRPr="00123724">
        <w:rPr>
          <w:rFonts w:cs="Times New Roman"/>
          <w:szCs w:val="24"/>
        </w:rPr>
        <w:t xml:space="preserve">современными методами </w:t>
      </w:r>
    </w:p>
    <w:p w:rsidR="00160EF4" w:rsidRPr="00123724" w:rsidRDefault="00160EF4" w:rsidP="00160EF4">
      <w:pPr>
        <w:ind w:left="708"/>
        <w:rPr>
          <w:rFonts w:cs="Times New Roman"/>
          <w:szCs w:val="24"/>
        </w:rPr>
      </w:pPr>
      <w:r w:rsidRPr="00123724">
        <w:rPr>
          <w:rFonts w:cs="Times New Roman"/>
          <w:szCs w:val="24"/>
        </w:rPr>
        <w:t xml:space="preserve">2. </w:t>
      </w:r>
      <w:r w:rsidRPr="00123724">
        <w:rPr>
          <w:rFonts w:cs="Times New Roman"/>
          <w:szCs w:val="24"/>
          <w:u w:val="single"/>
        </w:rPr>
        <w:t>Беременность и родовспоможение</w:t>
      </w:r>
      <w:r w:rsidRPr="00123724">
        <w:rPr>
          <w:rFonts w:cs="Times New Roman"/>
          <w:szCs w:val="24"/>
        </w:rPr>
        <w:t>: Процент женщин в возрасте 15-49 лет с живорождением в определенный период времени, который получал дородовой уход четыре или более раз</w:t>
      </w:r>
    </w:p>
    <w:p w:rsidR="00160EF4" w:rsidRPr="00123724" w:rsidRDefault="00160EF4" w:rsidP="00160EF4">
      <w:pPr>
        <w:ind w:left="708"/>
        <w:rPr>
          <w:rFonts w:cs="Times New Roman"/>
          <w:szCs w:val="24"/>
        </w:rPr>
      </w:pPr>
      <w:r w:rsidRPr="00123724">
        <w:rPr>
          <w:rFonts w:cs="Times New Roman"/>
          <w:szCs w:val="24"/>
        </w:rPr>
        <w:t xml:space="preserve">3. </w:t>
      </w:r>
      <w:r w:rsidRPr="00123724">
        <w:rPr>
          <w:rFonts w:cs="Times New Roman"/>
          <w:szCs w:val="24"/>
          <w:u w:val="single"/>
        </w:rPr>
        <w:t>Иммунизация детей</w:t>
      </w:r>
      <w:r w:rsidRPr="00123724">
        <w:rPr>
          <w:rFonts w:cs="Times New Roman"/>
          <w:szCs w:val="24"/>
        </w:rPr>
        <w:t>: Процент младенцев, получающих три дозы вакцины против дифтерии-столбняка-коклюша</w:t>
      </w:r>
    </w:p>
    <w:p w:rsidR="00160EF4" w:rsidRPr="00123724" w:rsidRDefault="00160EF4" w:rsidP="00160EF4">
      <w:pPr>
        <w:ind w:left="708"/>
        <w:rPr>
          <w:rFonts w:cs="Times New Roman"/>
          <w:szCs w:val="24"/>
        </w:rPr>
      </w:pPr>
      <w:r w:rsidRPr="00123724">
        <w:rPr>
          <w:rFonts w:cs="Times New Roman"/>
          <w:szCs w:val="24"/>
        </w:rPr>
        <w:t xml:space="preserve">4. </w:t>
      </w:r>
      <w:r w:rsidRPr="00123724">
        <w:rPr>
          <w:rFonts w:cs="Times New Roman"/>
          <w:szCs w:val="24"/>
          <w:u w:val="single"/>
        </w:rPr>
        <w:t>Лечение детей</w:t>
      </w:r>
      <w:r w:rsidRPr="00123724">
        <w:rPr>
          <w:rFonts w:cs="Times New Roman"/>
          <w:szCs w:val="24"/>
        </w:rPr>
        <w:t>: Процент детей в возрасте до 5 лет с подозрением на пневмонию (</w:t>
      </w:r>
      <w:r w:rsidR="00604AA3" w:rsidRPr="00604AA3">
        <w:rPr>
          <w:rFonts w:cs="Times New Roman"/>
          <w:szCs w:val="24"/>
        </w:rPr>
        <w:t>кашель и учащенное или затрудненное дыхание из-за проблем с грудной клеткой, а не только из-за заложенного носа</w:t>
      </w:r>
      <w:r w:rsidRPr="00123724">
        <w:rPr>
          <w:rFonts w:cs="Times New Roman"/>
          <w:szCs w:val="24"/>
        </w:rPr>
        <w:t>) в течение двух недель, предшествовавших обследованию, полученному в соответствующем медицинском учреждении или от лица, оказывающего медицинские услуги</w:t>
      </w:r>
    </w:p>
    <w:p w:rsidR="00160EF4" w:rsidRPr="00123724" w:rsidRDefault="00160EF4" w:rsidP="00160EF4">
      <w:pPr>
        <w:rPr>
          <w:rFonts w:cs="Times New Roman"/>
          <w:szCs w:val="24"/>
        </w:rPr>
      </w:pPr>
      <w:r w:rsidRPr="00123724">
        <w:rPr>
          <w:rFonts w:cs="Times New Roman"/>
          <w:szCs w:val="24"/>
        </w:rPr>
        <w:t>II. Инфекционные заболевания</w:t>
      </w:r>
    </w:p>
    <w:p w:rsidR="00160EF4" w:rsidRPr="00123724" w:rsidRDefault="00276122" w:rsidP="00160EF4">
      <w:pPr>
        <w:ind w:left="708"/>
        <w:rPr>
          <w:rFonts w:cs="Times New Roman"/>
          <w:szCs w:val="24"/>
        </w:rPr>
      </w:pPr>
      <w:r>
        <w:rPr>
          <w:rFonts w:cs="Times New Roman"/>
          <w:szCs w:val="24"/>
        </w:rPr>
        <w:t>5. </w:t>
      </w:r>
      <w:r w:rsidR="00160EF4" w:rsidRPr="00123724">
        <w:rPr>
          <w:rFonts w:cs="Times New Roman"/>
          <w:szCs w:val="24"/>
          <w:u w:val="single"/>
        </w:rPr>
        <w:t>Туберкулез</w:t>
      </w:r>
      <w:r w:rsidR="00160EF4" w:rsidRPr="00123724">
        <w:rPr>
          <w:rFonts w:cs="Times New Roman"/>
          <w:szCs w:val="24"/>
        </w:rPr>
        <w:t xml:space="preserve">: Процент случаев заболевания </w:t>
      </w:r>
      <w:r w:rsidR="005D4BA7">
        <w:rPr>
          <w:rFonts w:cs="Times New Roman"/>
          <w:szCs w:val="24"/>
        </w:rPr>
        <w:t>туберкулезом</w:t>
      </w:r>
      <w:r w:rsidR="00160EF4" w:rsidRPr="00123724">
        <w:rPr>
          <w:rFonts w:cs="Times New Roman"/>
          <w:szCs w:val="24"/>
        </w:rPr>
        <w:t>, которые обнаруживаются и успешно лечатся</w:t>
      </w:r>
    </w:p>
    <w:p w:rsidR="00160EF4" w:rsidRPr="00123724" w:rsidRDefault="00160EF4" w:rsidP="00160EF4">
      <w:pPr>
        <w:ind w:left="708"/>
        <w:rPr>
          <w:rFonts w:cs="Times New Roman"/>
          <w:szCs w:val="24"/>
        </w:rPr>
      </w:pPr>
      <w:r w:rsidRPr="00123724">
        <w:rPr>
          <w:rFonts w:cs="Times New Roman"/>
          <w:szCs w:val="24"/>
        </w:rPr>
        <w:t xml:space="preserve">6. </w:t>
      </w:r>
      <w:r w:rsidRPr="00123724">
        <w:rPr>
          <w:rFonts w:cs="Times New Roman"/>
          <w:szCs w:val="24"/>
          <w:u w:val="single"/>
        </w:rPr>
        <w:t>ВИЧ/СПИД:</w:t>
      </w:r>
      <w:r w:rsidRPr="00123724">
        <w:rPr>
          <w:rFonts w:cs="Times New Roman"/>
          <w:szCs w:val="24"/>
        </w:rPr>
        <w:t xml:space="preserve"> Процент людей, живущих с ВИЧ, в настоящее время получающих антиретровирусную терапию</w:t>
      </w:r>
    </w:p>
    <w:p w:rsidR="00160EF4" w:rsidRPr="00123724" w:rsidRDefault="00160EF4" w:rsidP="00160EF4">
      <w:pPr>
        <w:ind w:left="708"/>
        <w:rPr>
          <w:rFonts w:cs="Times New Roman"/>
          <w:szCs w:val="24"/>
        </w:rPr>
      </w:pPr>
      <w:r w:rsidRPr="00123724">
        <w:rPr>
          <w:rFonts w:cs="Times New Roman"/>
          <w:szCs w:val="24"/>
        </w:rPr>
        <w:t xml:space="preserve">7. </w:t>
      </w:r>
      <w:r w:rsidRPr="00123724">
        <w:rPr>
          <w:rFonts w:cs="Times New Roman"/>
          <w:szCs w:val="24"/>
          <w:u w:val="single"/>
        </w:rPr>
        <w:t>Малярия</w:t>
      </w:r>
      <w:r w:rsidRPr="00123724">
        <w:rPr>
          <w:rFonts w:cs="Times New Roman"/>
          <w:szCs w:val="24"/>
        </w:rPr>
        <w:t>: Процент населения в районах, эндемичных по малярии, которые спали в сетях, обработанных инсектицидами прошлой ночью [только для стран с высоким уровнем малярии]</w:t>
      </w:r>
    </w:p>
    <w:p w:rsidR="00160EF4" w:rsidRPr="00123724" w:rsidRDefault="00160EF4" w:rsidP="00160EF4">
      <w:pPr>
        <w:ind w:left="708"/>
        <w:rPr>
          <w:rFonts w:cs="Times New Roman"/>
          <w:szCs w:val="24"/>
        </w:rPr>
      </w:pPr>
      <w:r w:rsidRPr="00123724">
        <w:rPr>
          <w:rFonts w:cs="Times New Roman"/>
          <w:szCs w:val="24"/>
        </w:rPr>
        <w:t xml:space="preserve">8. </w:t>
      </w:r>
      <w:r w:rsidRPr="00123724">
        <w:rPr>
          <w:rFonts w:cs="Times New Roman"/>
          <w:szCs w:val="24"/>
          <w:u w:val="single"/>
        </w:rPr>
        <w:t xml:space="preserve">Водоснабжение и </w:t>
      </w:r>
      <w:proofErr w:type="gramStart"/>
      <w:r w:rsidRPr="00123724">
        <w:rPr>
          <w:rFonts w:cs="Times New Roman"/>
          <w:szCs w:val="24"/>
          <w:u w:val="single"/>
        </w:rPr>
        <w:t>санитария</w:t>
      </w:r>
      <w:proofErr w:type="gramEnd"/>
      <w:r w:rsidR="005D4BA7">
        <w:rPr>
          <w:rFonts w:cs="Times New Roman"/>
          <w:szCs w:val="24"/>
          <w:u w:val="single"/>
        </w:rPr>
        <w:t xml:space="preserve"> и гигиена</w:t>
      </w:r>
      <w:r w:rsidRPr="00123724">
        <w:rPr>
          <w:rFonts w:cs="Times New Roman"/>
          <w:szCs w:val="24"/>
        </w:rPr>
        <w:t xml:space="preserve">: процент домохозяйств, использующих </w:t>
      </w:r>
      <w:r w:rsidR="005D4BA7" w:rsidRPr="005D4BA7">
        <w:rPr>
          <w:rFonts w:cs="Times New Roman"/>
          <w:szCs w:val="24"/>
        </w:rPr>
        <w:t>хотя бы базовы</w:t>
      </w:r>
      <w:r w:rsidR="005D4BA7">
        <w:rPr>
          <w:rFonts w:cs="Times New Roman"/>
          <w:szCs w:val="24"/>
        </w:rPr>
        <w:t>е</w:t>
      </w:r>
      <w:r w:rsidR="005D4BA7" w:rsidRPr="005D4BA7">
        <w:rPr>
          <w:rFonts w:cs="Times New Roman"/>
          <w:szCs w:val="24"/>
        </w:rPr>
        <w:t xml:space="preserve"> санитарны</w:t>
      </w:r>
      <w:r w:rsidR="005D4BA7">
        <w:rPr>
          <w:rFonts w:cs="Times New Roman"/>
          <w:szCs w:val="24"/>
        </w:rPr>
        <w:t>е услуг</w:t>
      </w:r>
      <w:r w:rsidR="005D4BA7" w:rsidRPr="005D4BA7">
        <w:rPr>
          <w:rFonts w:cs="Times New Roman"/>
          <w:szCs w:val="24"/>
        </w:rPr>
        <w:t>и.</w:t>
      </w:r>
    </w:p>
    <w:p w:rsidR="00160EF4" w:rsidRPr="00123724" w:rsidRDefault="00160EF4" w:rsidP="00160EF4">
      <w:pPr>
        <w:rPr>
          <w:rFonts w:cs="Times New Roman"/>
          <w:szCs w:val="24"/>
        </w:rPr>
      </w:pPr>
      <w:r w:rsidRPr="00123724">
        <w:rPr>
          <w:rFonts w:cs="Times New Roman"/>
          <w:szCs w:val="24"/>
        </w:rPr>
        <w:t>III. Незаразн</w:t>
      </w:r>
      <w:r w:rsidR="00D67634">
        <w:rPr>
          <w:rFonts w:cs="Times New Roman"/>
          <w:szCs w:val="24"/>
        </w:rPr>
        <w:t>ые</w:t>
      </w:r>
      <w:r w:rsidRPr="00123724">
        <w:rPr>
          <w:rFonts w:cs="Times New Roman"/>
          <w:szCs w:val="24"/>
        </w:rPr>
        <w:t xml:space="preserve"> болезн</w:t>
      </w:r>
      <w:r w:rsidR="00D67634">
        <w:rPr>
          <w:rFonts w:cs="Times New Roman"/>
          <w:szCs w:val="24"/>
        </w:rPr>
        <w:t>и</w:t>
      </w:r>
    </w:p>
    <w:p w:rsidR="00FD7123" w:rsidRDefault="00160EF4" w:rsidP="00160EF4">
      <w:pPr>
        <w:ind w:left="708"/>
        <w:rPr>
          <w:rFonts w:cs="Times New Roman"/>
          <w:szCs w:val="24"/>
        </w:rPr>
      </w:pPr>
      <w:r w:rsidRPr="00123724">
        <w:rPr>
          <w:rFonts w:cs="Times New Roman"/>
          <w:szCs w:val="24"/>
        </w:rPr>
        <w:t xml:space="preserve">9. </w:t>
      </w:r>
      <w:r w:rsidRPr="00123724">
        <w:rPr>
          <w:rFonts w:cs="Times New Roman"/>
          <w:szCs w:val="24"/>
          <w:u w:val="single"/>
        </w:rPr>
        <w:t>Гипертония</w:t>
      </w:r>
      <w:r w:rsidRPr="00123724">
        <w:rPr>
          <w:rFonts w:cs="Times New Roman"/>
          <w:szCs w:val="24"/>
        </w:rPr>
        <w:t xml:space="preserve">: </w:t>
      </w:r>
      <w:r w:rsidR="00FD7123" w:rsidRPr="00FD7123">
        <w:rPr>
          <w:rFonts w:cs="Times New Roman"/>
          <w:szCs w:val="24"/>
        </w:rPr>
        <w:t>Распространенность лечения (приема лекарств) от гипертонии среди взрослых в возрасте 30-79 лет с гипертонией (стандартизованная по возрасту оценка) (%)</w:t>
      </w:r>
    </w:p>
    <w:p w:rsidR="00160EF4" w:rsidRPr="00123724" w:rsidRDefault="00160EF4" w:rsidP="00160EF4">
      <w:pPr>
        <w:ind w:left="708"/>
        <w:rPr>
          <w:rFonts w:cs="Times New Roman"/>
          <w:szCs w:val="24"/>
        </w:rPr>
      </w:pPr>
      <w:r w:rsidRPr="00123724">
        <w:rPr>
          <w:rFonts w:cs="Times New Roman"/>
          <w:szCs w:val="24"/>
        </w:rPr>
        <w:t xml:space="preserve">10. </w:t>
      </w:r>
      <w:r w:rsidRPr="00123724">
        <w:rPr>
          <w:rFonts w:cs="Times New Roman"/>
          <w:szCs w:val="24"/>
          <w:u w:val="single"/>
        </w:rPr>
        <w:t>Диабет</w:t>
      </w:r>
      <w:r w:rsidRPr="00123724">
        <w:rPr>
          <w:rFonts w:cs="Times New Roman"/>
          <w:szCs w:val="24"/>
        </w:rPr>
        <w:t>: стандартизованная по времени средняя глюкоза в плазме натощак (</w:t>
      </w:r>
      <w:proofErr w:type="spellStart"/>
      <w:r w:rsidRPr="00123724">
        <w:rPr>
          <w:rFonts w:cs="Times New Roman"/>
          <w:szCs w:val="24"/>
        </w:rPr>
        <w:t>ммоль</w:t>
      </w:r>
      <w:proofErr w:type="spellEnd"/>
      <w:r w:rsidRPr="00123724">
        <w:rPr>
          <w:rFonts w:cs="Times New Roman"/>
          <w:szCs w:val="24"/>
        </w:rPr>
        <w:t xml:space="preserve">/л) для взрослых в возрасте от </w:t>
      </w:r>
      <w:r>
        <w:rPr>
          <w:rFonts w:cs="Times New Roman"/>
          <w:szCs w:val="24"/>
        </w:rPr>
        <w:t>18</w:t>
      </w:r>
      <w:r w:rsidRPr="00123724">
        <w:rPr>
          <w:rFonts w:cs="Times New Roman"/>
          <w:szCs w:val="24"/>
        </w:rPr>
        <w:t xml:space="preserve"> лет и старше</w:t>
      </w:r>
    </w:p>
    <w:p w:rsidR="00160EF4" w:rsidRPr="00123724" w:rsidRDefault="00160EF4" w:rsidP="00160EF4">
      <w:pPr>
        <w:ind w:left="708"/>
        <w:rPr>
          <w:rFonts w:cs="Times New Roman"/>
          <w:szCs w:val="24"/>
        </w:rPr>
      </w:pPr>
      <w:r w:rsidRPr="00123724">
        <w:rPr>
          <w:rFonts w:cs="Times New Roman"/>
          <w:szCs w:val="24"/>
        </w:rPr>
        <w:lastRenderedPageBreak/>
        <w:t xml:space="preserve">11. </w:t>
      </w:r>
      <w:r w:rsidRPr="00123724">
        <w:rPr>
          <w:rFonts w:cs="Times New Roman"/>
          <w:szCs w:val="24"/>
          <w:u w:val="single"/>
        </w:rPr>
        <w:t>Табак</w:t>
      </w:r>
      <w:r w:rsidRPr="00123724">
        <w:rPr>
          <w:rFonts w:cs="Times New Roman"/>
          <w:szCs w:val="24"/>
        </w:rPr>
        <w:t>: стандартизированная по возрасту распространенность взрослых</w:t>
      </w:r>
      <w:r w:rsidR="003E2B65">
        <w:rPr>
          <w:rFonts w:cs="Times New Roman"/>
          <w:szCs w:val="24"/>
        </w:rPr>
        <w:t xml:space="preserve"> &gt;=</w:t>
      </w:r>
      <w:r w:rsidRPr="00123724">
        <w:rPr>
          <w:rFonts w:cs="Times New Roman"/>
          <w:szCs w:val="24"/>
        </w:rPr>
        <w:t xml:space="preserve">15 лет, не курящий табак за последние 30 дней (показатель ЦУР 3.a.1, метаданные, доступные </w:t>
      </w:r>
      <w:hyperlink r:id="rId9" w:tgtFrame="_blank" w:history="1">
        <w:r w:rsidR="003E2B65" w:rsidRPr="003E2B65">
          <w:rPr>
            <w:rStyle w:val="ac"/>
          </w:rPr>
          <w:t>здесь</w:t>
        </w:r>
      </w:hyperlink>
      <w:r>
        <w:rPr>
          <w:rStyle w:val="ac"/>
          <w:rFonts w:cs="Times New Roman"/>
          <w:szCs w:val="24"/>
        </w:rPr>
        <w:t>)</w:t>
      </w:r>
    </w:p>
    <w:p w:rsidR="00160EF4" w:rsidRPr="00123724" w:rsidRDefault="00160EF4" w:rsidP="00160EF4">
      <w:pPr>
        <w:rPr>
          <w:rFonts w:cs="Times New Roman"/>
          <w:szCs w:val="24"/>
        </w:rPr>
      </w:pPr>
      <w:r w:rsidRPr="00123724">
        <w:rPr>
          <w:rFonts w:cs="Times New Roman"/>
          <w:szCs w:val="24"/>
        </w:rPr>
        <w:t xml:space="preserve">V. </w:t>
      </w:r>
      <w:r w:rsidR="003E2B65">
        <w:rPr>
          <w:rFonts w:cs="Times New Roman"/>
          <w:szCs w:val="24"/>
        </w:rPr>
        <w:t xml:space="preserve">Потенциал обслуживания </w:t>
      </w:r>
      <w:r w:rsidRPr="00123724">
        <w:rPr>
          <w:rFonts w:cs="Times New Roman"/>
          <w:szCs w:val="24"/>
        </w:rPr>
        <w:t>и доступность</w:t>
      </w:r>
      <w:r w:rsidR="003E2B65">
        <w:rPr>
          <w:rFonts w:cs="Times New Roman"/>
          <w:szCs w:val="24"/>
        </w:rPr>
        <w:t xml:space="preserve"> обслуживания</w:t>
      </w:r>
    </w:p>
    <w:p w:rsidR="00160EF4" w:rsidRPr="00123724" w:rsidRDefault="00160EF4" w:rsidP="00160EF4">
      <w:pPr>
        <w:ind w:left="708"/>
        <w:rPr>
          <w:rFonts w:cs="Times New Roman"/>
          <w:szCs w:val="24"/>
        </w:rPr>
      </w:pPr>
      <w:r w:rsidRPr="00123724">
        <w:rPr>
          <w:rFonts w:cs="Times New Roman"/>
          <w:szCs w:val="24"/>
        </w:rPr>
        <w:t xml:space="preserve">12. </w:t>
      </w:r>
      <w:r w:rsidRPr="00123724">
        <w:rPr>
          <w:rFonts w:cs="Times New Roman"/>
          <w:szCs w:val="24"/>
          <w:u w:val="single"/>
        </w:rPr>
        <w:t>Доступ в больницу</w:t>
      </w:r>
      <w:r w:rsidRPr="00123724">
        <w:rPr>
          <w:rFonts w:cs="Times New Roman"/>
          <w:szCs w:val="24"/>
        </w:rPr>
        <w:t>: больничные койки на душу населения, относительно максимального порога 18 на 10 000 населения</w:t>
      </w:r>
    </w:p>
    <w:p w:rsidR="00160EF4" w:rsidRPr="00340637" w:rsidRDefault="00160EF4" w:rsidP="00160EF4">
      <w:pPr>
        <w:ind w:left="708"/>
        <w:rPr>
          <w:rFonts w:cs="Times New Roman"/>
          <w:szCs w:val="24"/>
        </w:rPr>
      </w:pPr>
      <w:r w:rsidRPr="00123724">
        <w:rPr>
          <w:rFonts w:cs="Times New Roman"/>
          <w:szCs w:val="24"/>
        </w:rPr>
        <w:t xml:space="preserve">13. </w:t>
      </w:r>
      <w:r w:rsidRPr="00123724">
        <w:rPr>
          <w:rFonts w:cs="Times New Roman"/>
          <w:szCs w:val="24"/>
          <w:u w:val="single"/>
        </w:rPr>
        <w:t>Кадровые ресурсы здравоохранения</w:t>
      </w:r>
      <w:r w:rsidRPr="00123724">
        <w:rPr>
          <w:rFonts w:cs="Times New Roman"/>
          <w:szCs w:val="24"/>
        </w:rPr>
        <w:t>: профессионалы здравоохранения (врачи, психиатры и хирурги) на душу населения по отношению к максимальным пороговым значениям для каждого кадра (часть показа</w:t>
      </w:r>
      <w:r w:rsidR="00340637">
        <w:rPr>
          <w:rFonts w:cs="Times New Roman"/>
          <w:szCs w:val="24"/>
        </w:rPr>
        <w:t xml:space="preserve">теля ЦУР 3.c.1 см. в метаданных </w:t>
      </w:r>
      <w:hyperlink r:id="rId10" w:tgtFrame="_blank" w:history="1">
        <w:r w:rsidR="004A2231" w:rsidRPr="004A2231">
          <w:rPr>
            <w:rStyle w:val="ac"/>
            <w:rFonts w:cs="Times New Roman"/>
            <w:szCs w:val="24"/>
          </w:rPr>
          <w:t>здесь</w:t>
        </w:r>
      </w:hyperlink>
      <w:r w:rsidR="00340637" w:rsidRPr="00340637">
        <w:rPr>
          <w:rFonts w:cs="Times New Roman"/>
          <w:szCs w:val="24"/>
        </w:rPr>
        <w:t>)</w:t>
      </w:r>
    </w:p>
    <w:p w:rsidR="00160EF4" w:rsidRPr="004A2231" w:rsidRDefault="00160EF4" w:rsidP="00160EF4">
      <w:pPr>
        <w:ind w:left="708"/>
        <w:rPr>
          <w:rFonts w:cs="Times New Roman"/>
          <w:szCs w:val="24"/>
        </w:rPr>
      </w:pPr>
      <w:r w:rsidRPr="00123724">
        <w:rPr>
          <w:rFonts w:cs="Times New Roman"/>
          <w:szCs w:val="24"/>
        </w:rPr>
        <w:t xml:space="preserve">14. </w:t>
      </w:r>
      <w:r w:rsidRPr="00123724">
        <w:rPr>
          <w:rFonts w:cs="Times New Roman"/>
          <w:szCs w:val="24"/>
          <w:u w:val="single"/>
        </w:rPr>
        <w:t>Здравоохранение:</w:t>
      </w:r>
      <w:r w:rsidRPr="00123724">
        <w:rPr>
          <w:rFonts w:cs="Times New Roman"/>
          <w:szCs w:val="24"/>
        </w:rPr>
        <w:t xml:space="preserve"> индекс основных мощностей Международных медико-санитарных правил (ММСП), который представляет собой средний процент атрибутов из 13 основных мощностей, которые были достигнуты (показатель ЦУР 3.d.1, см. метаданные </w:t>
      </w:r>
      <w:hyperlink r:id="rId11" w:tgtFrame="_blank" w:history="1">
        <w:r w:rsidR="004A2231" w:rsidRPr="004A2231">
          <w:rPr>
            <w:rStyle w:val="ac"/>
            <w:rFonts w:cs="Times New Roman"/>
            <w:szCs w:val="24"/>
          </w:rPr>
          <w:t>здесь</w:t>
        </w:r>
      </w:hyperlink>
      <w:r w:rsidR="004A2231">
        <w:rPr>
          <w:rFonts w:cs="Times New Roman"/>
          <w:szCs w:val="24"/>
        </w:rPr>
        <w:t>)</w:t>
      </w: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A6439C" w:rsidRDefault="00A6439C" w:rsidP="0075371E">
      <w:pPr>
        <w:pStyle w:val="MHeader2"/>
        <w:rPr>
          <w:rFonts w:eastAsiaTheme="minorHAnsi"/>
          <w:color w:val="auto"/>
          <w:sz w:val="24"/>
          <w:szCs w:val="24"/>
          <w:lang w:val="ru-RU" w:eastAsia="en-US"/>
        </w:rPr>
      </w:pPr>
      <w:r w:rsidRPr="00A6439C">
        <w:rPr>
          <w:rFonts w:eastAsiaTheme="minorHAnsi"/>
          <w:color w:val="auto"/>
          <w:sz w:val="24"/>
          <w:szCs w:val="24"/>
          <w:lang w:val="ru-RU" w:eastAsia="en-US"/>
        </w:rPr>
        <w:t>Индикатор представляет собой индекс, отражаемый по безразмерной шкале от 0 до 100.</w:t>
      </w: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Default="00E125A5" w:rsidP="0075371E">
      <w:pPr>
        <w:pStyle w:val="MText"/>
        <w:rPr>
          <w:color w:val="auto"/>
          <w:sz w:val="24"/>
          <w:szCs w:val="24"/>
          <w:lang w:val="ru-RU"/>
        </w:rPr>
      </w:pPr>
      <w:r>
        <w:rPr>
          <w:color w:val="auto"/>
          <w:sz w:val="24"/>
          <w:szCs w:val="24"/>
          <w:lang w:val="ru-RU"/>
        </w:rPr>
        <w:t>Не применимо.</w:t>
      </w:r>
    </w:p>
    <w:p w:rsidR="00A6439C" w:rsidRPr="00BD29EC" w:rsidRDefault="00A6439C" w:rsidP="0075371E">
      <w:pPr>
        <w:pStyle w:val="MText"/>
        <w:rPr>
          <w:color w:val="auto"/>
          <w:sz w:val="24"/>
          <w:szCs w:val="24"/>
          <w:lang w:val="ru-RU"/>
        </w:rPr>
      </w:pP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E125A5" w:rsidRPr="00123724" w:rsidRDefault="00E125A5" w:rsidP="00E125A5">
      <w:r w:rsidRPr="00123724">
        <w:t>Многие индикаторы показателя охвата услугами здравоохранения измеряются</w:t>
      </w:r>
      <w:r w:rsidR="00855515">
        <w:t xml:space="preserve"> в обследованиях</w:t>
      </w:r>
      <w:r w:rsidRPr="00123724">
        <w:t xml:space="preserve"> домашних хозяйств. Однако для определенных показателей используются административные данные, данные объекта, обследования объектов и системы дозорного </w:t>
      </w:r>
      <w:proofErr w:type="spellStart"/>
      <w:r w:rsidRPr="00123724">
        <w:t>эпиднадзора</w:t>
      </w:r>
      <w:proofErr w:type="spellEnd"/>
      <w:r w:rsidRPr="00123724">
        <w:t xml:space="preserve">. Основные источники данных для каждого из 14 индикаторов показателя более подробно описаны </w:t>
      </w:r>
      <w:r w:rsidR="00855515">
        <w:t xml:space="preserve">в </w:t>
      </w:r>
      <w:r w:rsidRPr="00123724">
        <w:t>Приложении 1.</w:t>
      </w:r>
    </w:p>
    <w:p w:rsidR="00E125A5" w:rsidRDefault="00C72C55" w:rsidP="00D40635">
      <w:pPr>
        <w:spacing w:after="0"/>
      </w:pPr>
      <w:r>
        <w:t>Что касается</w:t>
      </w:r>
      <w:r w:rsidR="00E125A5" w:rsidRPr="00123724">
        <w:t xml:space="preserve"> значений, используемых для вычисления индекса, </w:t>
      </w:r>
      <w:r>
        <w:t xml:space="preserve">то </w:t>
      </w:r>
      <w:r w:rsidR="00E125A5" w:rsidRPr="00123724">
        <w:t>значения берутся из существующих опубликованных источников. Сюда входят собранные наборы данных и оценки различных агентств ООН. Это обобщается в приведенной выше ссылке.</w:t>
      </w:r>
    </w:p>
    <w:p w:rsidR="00855515" w:rsidRPr="00E125A5" w:rsidRDefault="00855515" w:rsidP="00D40635">
      <w:pPr>
        <w:spacing w:after="0"/>
      </w:pP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855515" w:rsidRPr="00855515" w:rsidRDefault="00855515" w:rsidP="00855515">
      <w:pPr>
        <w:rPr>
          <w:rFonts w:cs="Times New Roman"/>
          <w:szCs w:val="24"/>
        </w:rPr>
      </w:pPr>
      <w:r w:rsidRPr="00123724">
        <w:rPr>
          <w:rFonts w:cs="Times New Roman"/>
          <w:szCs w:val="24"/>
        </w:rPr>
        <w:t xml:space="preserve">Механизмы сбора данных из стран различаются по 14 индикаторам показателя, однако во многих случаях агентство или межведомственная группа ООН собирают и анализируют соответствующие национальные источники данных, а затем проводят официальную консультацию стран с правительствами стран для обзора или подготовки сопоставимых оценок по странам. Для индекса охвата услуг UHC, когда эта существующая информация по 14 индикаторам показателя сопоставлена, ВОЗ проводит </w:t>
      </w:r>
      <w:proofErr w:type="spellStart"/>
      <w:r w:rsidRPr="00123724">
        <w:rPr>
          <w:rFonts w:cs="Times New Roman"/>
          <w:szCs w:val="24"/>
        </w:rPr>
        <w:t>страновые</w:t>
      </w:r>
      <w:proofErr w:type="spellEnd"/>
      <w:r w:rsidRPr="00123724">
        <w:rPr>
          <w:rFonts w:cs="Times New Roman"/>
          <w:szCs w:val="24"/>
        </w:rPr>
        <w:t xml:space="preserve"> консультации с назначенными координационными центрами от национальных правительств для рассмотрения материалов и расчета индекса. ВОЗ не предпринимает новых оценочных </w:t>
      </w:r>
      <w:r w:rsidRPr="00123724">
        <w:rPr>
          <w:rFonts w:cs="Times New Roman"/>
          <w:szCs w:val="24"/>
        </w:rPr>
        <w:lastRenderedPageBreak/>
        <w:t>мероприятий для получения значений индикатора показателя для индекса обслуживания; скорее, индекс предназначен для использования существующих и хорошо зарекомендовавших себя рядов показателей для снижения бремени отчетности.</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855515" w:rsidRPr="00BD29EC" w:rsidRDefault="00855515" w:rsidP="00855515">
      <w:r w:rsidRPr="00855515">
        <w:t xml:space="preserve">Сбор данных варьируется от 1 до 5 лет по трассирующим индикаторам. Например, </w:t>
      </w:r>
      <w:proofErr w:type="spellStart"/>
      <w:r w:rsidRPr="00855515">
        <w:t>страновые</w:t>
      </w:r>
      <w:proofErr w:type="spellEnd"/>
      <w:r w:rsidRPr="00855515">
        <w:t xml:space="preserve"> данные об иммунизации и лечении ВИЧ представляются ежегодно, в то время как обследования домохозяйств для сбора информации о лечении детей могут проводиться каждые 3-5 лет, в зависимости от страны. Более подробная информация об отдельных трассирующих индикаторах доступна в Приложении 1.</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855515" w:rsidRPr="00BD29EC" w:rsidRDefault="00855515" w:rsidP="00855515">
      <w:r w:rsidRPr="00855515">
        <w:t xml:space="preserve">Первый выпуск базовых значений индекса охвата услугами </w:t>
      </w:r>
      <w:r w:rsidR="00AC6F60">
        <w:t>(</w:t>
      </w:r>
      <w:r w:rsidRPr="00855515">
        <w:t>UHC</w:t>
      </w:r>
      <w:r w:rsidR="00AC6F60">
        <w:t>)</w:t>
      </w:r>
      <w:r w:rsidRPr="00855515">
        <w:t xml:space="preserve"> состоялся в декабре 2017 года.</w:t>
      </w:r>
      <w:r>
        <w:t xml:space="preserve"> </w:t>
      </w:r>
      <w:r w:rsidRPr="00855515">
        <w:t>Обновления выпускаются каждые два года.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387386" w:rsidRPr="00A71EC6" w:rsidRDefault="00387386" w:rsidP="00387386">
      <w:r w:rsidRPr="00387386">
        <w:t>В большинстве случаев министерства здравоохранения и национальные статистические управления контролируют сбор данных и отчетность по показателям охвата услугами здравоохранения.</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AC6F60" w:rsidRPr="00BD29EC" w:rsidRDefault="006D330F" w:rsidP="006D330F">
      <w:r w:rsidRPr="006D330F">
        <w:t>Всемирная орга</w:t>
      </w:r>
      <w:r>
        <w:t>низация здравоохранения с опорой на</w:t>
      </w:r>
      <w:r w:rsidRPr="006D330F">
        <w:t xml:space="preserve"> материалы других международных агентств</w:t>
      </w:r>
      <w:r w:rsidR="00AC6F60">
        <w:t xml:space="preserve">, </w:t>
      </w:r>
      <w:r w:rsidR="00AC6F60" w:rsidRPr="00AC6F60">
        <w:t>таких как ЮНИСЕФ, ЮНЭЙДС, ДЭСВ ООН, ОЭСР, Евростат, Группа Всемирного банка.</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980F79" w:rsidRDefault="00AC6F60" w:rsidP="0075371E">
      <w:pPr>
        <w:pBdr>
          <w:top w:val="nil"/>
          <w:left w:val="nil"/>
          <w:bottom w:val="nil"/>
          <w:right w:val="nil"/>
          <w:between w:val="nil"/>
          <w:bar w:val="nil"/>
        </w:pBdr>
        <w:spacing w:after="0"/>
        <w:rPr>
          <w:rFonts w:cs="Times New Roman"/>
          <w:szCs w:val="24"/>
        </w:rPr>
      </w:pPr>
      <w:r w:rsidRPr="00AC6F60">
        <w:rPr>
          <w:rFonts w:cs="Times New Roman"/>
          <w:szCs w:val="24"/>
        </w:rPr>
        <w:t>Поддержка ВОЗ в мониторинге аспекта охвата услугами всеобщего охвата услугами здравоохранения (ВОУЗ) (задача 3.8, в частности показатель 3.8.1) подкреплена резолюцией WHA69, в которой Секретариату предлагается отслеживать прогресс в достижении всеобщего охвата услугами здравоохранения (</w:t>
      </w:r>
      <w:r w:rsidR="00E478D8">
        <w:rPr>
          <w:rFonts w:cs="Times New Roman"/>
          <w:szCs w:val="24"/>
          <w:lang w:val="en-US"/>
        </w:rPr>
        <w:t>UHC</w:t>
      </w:r>
      <w:r w:rsidRPr="00AC6F60">
        <w:rPr>
          <w:rFonts w:cs="Times New Roman"/>
          <w:szCs w:val="24"/>
        </w:rPr>
        <w:t>) в рамках повестки дня ЦУР 2030 в области устойчивого развития.</w:t>
      </w:r>
    </w:p>
    <w:p w:rsidR="00AC6F60" w:rsidRPr="00AC6F60" w:rsidRDefault="00AC6F60" w:rsidP="0075371E">
      <w:pPr>
        <w:pBdr>
          <w:top w:val="nil"/>
          <w:left w:val="nil"/>
          <w:bottom w:val="nil"/>
          <w:right w:val="nil"/>
          <w:between w:val="nil"/>
          <w:bar w:val="nil"/>
        </w:pBdr>
        <w:spacing w:after="0"/>
        <w:rPr>
          <w:rFonts w:cs="Times New Roman"/>
          <w:szCs w:val="24"/>
        </w:rPr>
      </w:pP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6D330F" w:rsidRPr="006D330F" w:rsidRDefault="006D330F" w:rsidP="006D330F">
      <w:r w:rsidRPr="006D330F">
        <w:t xml:space="preserve">Целевая задача 3.8 определяется как «Обеспечение всеобщего охвата услугами здравоохранения, в том числе защиту от финансовых рисков, доступ к качественным основным медико-санитарным услугам и доступ к безопасным, эффективным, качественным и недорогим основным лекарственным средствам и вакцинам для всех». Задача заключается в том, чтобы все люди и сообщества получали необходимые им качественные медицинские услуги (включая лекарства и другие товары для здоровья) без финансовых затруднений. Для мониторинга целевой задачи 3.8 в рамках ЦУР были выбраны два показателя. Показатель 3.8.1 предназначен для охвата медицинских услуг, а в показателе 3.8.2 основное внимание уделяется расходам на здравоохранение в связи с </w:t>
      </w:r>
      <w:r w:rsidRPr="006D330F">
        <w:lastRenderedPageBreak/>
        <w:t>бюджетом домашних хозяйств с целью выявления финансовых трудностей, вызванных прямыми платежами в области здравоохранения. В совокупности показатели 3.8.1 и 3.8.2 предназначены для охвата и размеров финансовой защиты, соответственно, целевой задачи 3.8. Эти два показателя должны всегда контролироваться совместно.</w:t>
      </w:r>
    </w:p>
    <w:p w:rsidR="006D330F" w:rsidRPr="006D330F" w:rsidRDefault="006D330F" w:rsidP="006D330F">
      <w:r w:rsidRPr="006D330F">
        <w:t>Страны предоставляют множество основных услуг для охраны здоровья, поощрения, профилактики, лечения и ухода. Показатели охвата услугами, определяемые как люди, получающие необходимую им услугу, являются наилучшим способом отслеживания прогресса в предоставлении услуг в рамках универсального медицинского обслуживания (</w:t>
      </w:r>
      <w:r w:rsidRPr="006D330F">
        <w:rPr>
          <w:lang w:val="en-US"/>
        </w:rPr>
        <w:t>UHC</w:t>
      </w:r>
      <w:r w:rsidRPr="006D330F">
        <w:t xml:space="preserve">). Поскольку для мониторинга </w:t>
      </w:r>
      <w:r w:rsidRPr="006D330F">
        <w:rPr>
          <w:lang w:val="en-US"/>
        </w:rPr>
        <w:t>UHC</w:t>
      </w:r>
      <w:r w:rsidRPr="006D330F">
        <w:t xml:space="preserve"> недостаточно одного индикатора службы здравоохранения, индекс создается из 14 индикаторов показателя, выбранных на основе эпидемиологических и статистических критериев. Это включает в себя несколько показателей, которые уже включены в другие целевые показатели ЦУР, тем самым сводя к минимуму сбор данных и отчетность. Индекс указывается на единичной шкале от 0 до 100, при этом 100 является оптимальным значением.</w:t>
      </w:r>
    </w:p>
    <w:p w:rsidR="002E15F9" w:rsidRPr="00BD29EC" w:rsidRDefault="002E15F9" w:rsidP="0075371E">
      <w:pPr>
        <w:pStyle w:val="MText"/>
        <w:rPr>
          <w:color w:val="auto"/>
          <w:sz w:val="24"/>
          <w:szCs w:val="24"/>
          <w:lang w:val="ru-RU"/>
        </w:rPr>
      </w:pP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9D192F" w:rsidRPr="00BD29EC" w:rsidRDefault="009D192F" w:rsidP="009D192F">
      <w:r w:rsidRPr="009D192F">
        <w:t xml:space="preserve">Эти контрольные показатели предназначены для определения охвата услугами, а не для полного или исчерпывающего перечня медицинских услуг и мероприятий, необходимых для обеспечения всеобщего охвата услугами здравоохранения. </w:t>
      </w:r>
      <w:r w:rsidRPr="00123724">
        <w:rPr>
          <w:rFonts w:cs="Times New Roman"/>
          <w:szCs w:val="24"/>
        </w:rPr>
        <w:t>14 индика</w:t>
      </w:r>
      <w:r>
        <w:rPr>
          <w:rFonts w:cs="Times New Roman"/>
          <w:szCs w:val="24"/>
        </w:rPr>
        <w:t>торов показателей были отобраны</w:t>
      </w:r>
      <w:r w:rsidRPr="00123724">
        <w:rPr>
          <w:rFonts w:cs="Times New Roman"/>
          <w:szCs w:val="24"/>
        </w:rPr>
        <w:t xml:space="preserve"> потому</w:t>
      </w:r>
      <w:r>
        <w:rPr>
          <w:rFonts w:cs="Times New Roman"/>
          <w:szCs w:val="24"/>
        </w:rPr>
        <w:t>,</w:t>
      </w:r>
      <w:r w:rsidRPr="00123724">
        <w:rPr>
          <w:rFonts w:cs="Times New Roman"/>
          <w:szCs w:val="24"/>
        </w:rPr>
        <w:t xml:space="preserve"> что они хорошо известны, а имеющиеся данные широко представлены странами (или ожидается, что они станут широко доступными в ближайшее время). Таким образом, индекс может быть рассчитан с использованием существующих источников данных и не требует инициирования новых усилий по сбору данных исключительно для информирования индекса.</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r w:rsidR="00CA1CB1" w:rsidRPr="00BD29EC">
        <w:rPr>
          <w:color w:val="auto"/>
          <w:sz w:val="24"/>
          <w:szCs w:val="24"/>
          <w:lang w:val="ru-RU"/>
        </w:rPr>
        <w:t xml:space="preserve"> </w:t>
      </w:r>
    </w:p>
    <w:p w:rsidR="00B3092C" w:rsidRPr="00123724" w:rsidRDefault="00B3092C" w:rsidP="00B3092C">
      <w:pPr>
        <w:rPr>
          <w:rFonts w:cs="Times New Roman"/>
          <w:szCs w:val="24"/>
        </w:rPr>
      </w:pPr>
      <w:r w:rsidRPr="00123724">
        <w:rPr>
          <w:rFonts w:cs="Times New Roman"/>
          <w:szCs w:val="24"/>
        </w:rPr>
        <w:t>Индекс рассчитывается с помощью среднего геометрического, основанного на методах, используемых для Индекса развития человеческого потенциала. Для расчета показателя 3.8.1 необходимо сначала подготовить 14 индикаторов показателя, чтобы их можно было объединить в индекс, а затем вычислить индекс из этих значений.</w:t>
      </w:r>
    </w:p>
    <w:p w:rsidR="00B3092C" w:rsidRDefault="00B3092C" w:rsidP="00B3092C">
      <w:pPr>
        <w:rPr>
          <w:rFonts w:cs="Times New Roman"/>
          <w:szCs w:val="24"/>
        </w:rPr>
      </w:pPr>
      <w:r w:rsidRPr="00123724">
        <w:rPr>
          <w:rFonts w:cs="Times New Roman"/>
          <w:szCs w:val="24"/>
        </w:rPr>
        <w:t xml:space="preserve">14 индикаторов показателя сначала помещаются в один и тот же масштаб, причем 0 является самым низким значением, а 100 </w:t>
      </w:r>
      <w:r w:rsidR="00862189" w:rsidRPr="00862189">
        <w:rPr>
          <w:rFonts w:cs="Times New Roman"/>
          <w:szCs w:val="24"/>
        </w:rPr>
        <w:t xml:space="preserve">– </w:t>
      </w:r>
      <w:r w:rsidRPr="00123724">
        <w:rPr>
          <w:rFonts w:cs="Times New Roman"/>
          <w:szCs w:val="24"/>
        </w:rPr>
        <w:t xml:space="preserve">оптимальным. Для большинства показателей эта шкала является естественной шкалой измерения, например, процент младенцев, которые были иммунизированы, колеблется от 0 до 100 процентов. Однако для нескольких индикаторов требуется </w:t>
      </w:r>
      <w:r w:rsidR="009435FD" w:rsidRPr="009435FD">
        <w:rPr>
          <w:rFonts w:cs="Times New Roman"/>
          <w:szCs w:val="24"/>
        </w:rPr>
        <w:t xml:space="preserve">преобразование и/или масштабирование </w:t>
      </w:r>
      <w:r w:rsidRPr="00123724">
        <w:rPr>
          <w:rFonts w:cs="Times New Roman"/>
          <w:szCs w:val="24"/>
        </w:rPr>
        <w:t>для получения соответствующих значений от 0 до 100, а именно:</w:t>
      </w:r>
    </w:p>
    <w:p w:rsidR="00813751" w:rsidRPr="00813751" w:rsidRDefault="00813751" w:rsidP="00813751">
      <w:pPr>
        <w:rPr>
          <w:rFonts w:cs="Times New Roman"/>
          <w:szCs w:val="24"/>
          <w:u w:val="single"/>
        </w:rPr>
      </w:pPr>
      <w:r>
        <w:rPr>
          <w:rFonts w:cs="Times New Roman"/>
          <w:szCs w:val="24"/>
          <w:u w:val="single"/>
        </w:rPr>
        <w:t>Преобразование</w:t>
      </w:r>
    </w:p>
    <w:p w:rsidR="00813751" w:rsidRDefault="00813751" w:rsidP="00813751">
      <w:pPr>
        <w:rPr>
          <w:rFonts w:cs="Times New Roman"/>
          <w:szCs w:val="24"/>
        </w:rPr>
      </w:pPr>
      <w:r w:rsidRPr="00813751">
        <w:rPr>
          <w:rFonts w:cs="Times New Roman"/>
          <w:szCs w:val="24"/>
        </w:rPr>
        <w:t>Распространенность употребления табака конвертируется в распространенность неупотребления табака, так что увеличение означает улучшение.</w:t>
      </w:r>
    </w:p>
    <w:p w:rsidR="00427766" w:rsidRDefault="00427766" w:rsidP="00813751">
      <w:pPr>
        <w:rPr>
          <w:rFonts w:cs="Times New Roman"/>
          <w:szCs w:val="24"/>
        </w:rPr>
      </w:pPr>
    </w:p>
    <w:p w:rsidR="00813751" w:rsidRPr="00813751" w:rsidRDefault="00813751" w:rsidP="00B3092C">
      <w:pPr>
        <w:rPr>
          <w:rFonts w:cs="Times New Roman"/>
          <w:szCs w:val="24"/>
          <w:u w:val="single"/>
        </w:rPr>
      </w:pPr>
      <w:r w:rsidRPr="00813751">
        <w:rPr>
          <w:rFonts w:cs="Times New Roman"/>
          <w:szCs w:val="24"/>
          <w:u w:val="single"/>
        </w:rPr>
        <w:lastRenderedPageBreak/>
        <w:t>Перемасштабирование</w:t>
      </w:r>
    </w:p>
    <w:p w:rsidR="006821A9" w:rsidRDefault="006821A9" w:rsidP="006821A9">
      <w:pPr>
        <w:pStyle w:val="ab"/>
        <w:numPr>
          <w:ilvl w:val="0"/>
          <w:numId w:val="7"/>
        </w:numPr>
        <w:ind w:left="709"/>
        <w:rPr>
          <w:rFonts w:cs="Times New Roman"/>
          <w:szCs w:val="24"/>
        </w:rPr>
      </w:pPr>
      <w:r w:rsidRPr="006821A9">
        <w:rPr>
          <w:rFonts w:cs="Times New Roman"/>
          <w:szCs w:val="24"/>
        </w:rPr>
        <w:t xml:space="preserve">Перемасштабирование на основе ненулевого минимума для получения более точного разрешения (это «растягивает» распределение по странам): распространенность неупотребления табака </w:t>
      </w:r>
      <w:proofErr w:type="spellStart"/>
      <w:r w:rsidRPr="006821A9">
        <w:rPr>
          <w:rFonts w:cs="Times New Roman"/>
          <w:szCs w:val="24"/>
        </w:rPr>
        <w:t>перемасштабируется</w:t>
      </w:r>
      <w:proofErr w:type="spellEnd"/>
      <w:r w:rsidRPr="006821A9">
        <w:rPr>
          <w:rFonts w:cs="Times New Roman"/>
          <w:szCs w:val="24"/>
        </w:rPr>
        <w:t xml:space="preserve"> с использованием минимального значения 30%, что указывает на реалистичный диапазон уровней распространенности </w:t>
      </w:r>
      <w:proofErr w:type="gramStart"/>
      <w:r w:rsidRPr="006821A9">
        <w:rPr>
          <w:rFonts w:cs="Times New Roman"/>
          <w:szCs w:val="24"/>
        </w:rPr>
        <w:t>для</w:t>
      </w:r>
      <w:proofErr w:type="gramEnd"/>
      <w:r w:rsidRPr="006821A9">
        <w:rPr>
          <w:rFonts w:cs="Times New Roman"/>
          <w:szCs w:val="24"/>
        </w:rPr>
        <w:t xml:space="preserve"> индикатор.</w:t>
      </w:r>
    </w:p>
    <w:p w:rsidR="006821A9" w:rsidRPr="006821A9" w:rsidRDefault="006821A9" w:rsidP="006821A9">
      <w:pPr>
        <w:pStyle w:val="ab"/>
        <w:rPr>
          <w:rFonts w:cs="Times New Roman"/>
          <w:szCs w:val="24"/>
        </w:rPr>
      </w:pPr>
    </w:p>
    <w:p w:rsidR="005F0D70" w:rsidRDefault="005F0D70" w:rsidP="006821A9">
      <w:pPr>
        <w:pStyle w:val="ab"/>
        <w:jc w:val="center"/>
        <w:rPr>
          <w:rFonts w:cs="Times New Roman"/>
          <w:szCs w:val="24"/>
        </w:rPr>
      </w:pPr>
      <w:r w:rsidRPr="006821A9">
        <w:rPr>
          <w:rFonts w:cs="Times New Roman"/>
          <w:i/>
          <w:szCs w:val="24"/>
        </w:rPr>
        <w:t>неупотребление табака после масштабирования</w:t>
      </w:r>
      <w:r w:rsidRPr="005F0D70">
        <w:rPr>
          <w:rFonts w:cs="Times New Roman"/>
          <w:szCs w:val="24"/>
        </w:rPr>
        <w:t xml:space="preserve"> = (X-30)/(100-30)*100</w:t>
      </w:r>
    </w:p>
    <w:p w:rsidR="006821A9" w:rsidRPr="00123724" w:rsidRDefault="006821A9" w:rsidP="006821A9">
      <w:pPr>
        <w:pStyle w:val="ab"/>
        <w:jc w:val="center"/>
        <w:rPr>
          <w:rFonts w:cs="Times New Roman"/>
          <w:szCs w:val="24"/>
        </w:rPr>
      </w:pPr>
    </w:p>
    <w:p w:rsidR="001C0011" w:rsidRPr="001C0011" w:rsidRDefault="000C348B" w:rsidP="001C0011">
      <w:pPr>
        <w:pStyle w:val="ab"/>
        <w:numPr>
          <w:ilvl w:val="0"/>
          <w:numId w:val="5"/>
        </w:numPr>
        <w:rPr>
          <w:rFonts w:cs="Times New Roman"/>
          <w:szCs w:val="24"/>
        </w:rPr>
      </w:pPr>
      <w:r>
        <w:rPr>
          <w:rFonts w:cs="Times New Roman"/>
          <w:szCs w:val="24"/>
        </w:rPr>
        <w:t>Перем</w:t>
      </w:r>
      <w:r w:rsidR="001C0011" w:rsidRPr="001C0011">
        <w:rPr>
          <w:rFonts w:cs="Times New Roman"/>
          <w:szCs w:val="24"/>
        </w:rPr>
        <w:t xml:space="preserve">асштабирование для непрерывного измерения: среднее значение уровня глюкозы в плазме натощак, которое является непрерывным измерением (единицы </w:t>
      </w:r>
      <w:proofErr w:type="spellStart"/>
      <w:r w:rsidR="001C0011" w:rsidRPr="001C0011">
        <w:rPr>
          <w:rFonts w:cs="Times New Roman"/>
          <w:szCs w:val="24"/>
        </w:rPr>
        <w:t>ммоль</w:t>
      </w:r>
      <w:proofErr w:type="spellEnd"/>
      <w:r w:rsidR="001C0011" w:rsidRPr="001C0011">
        <w:rPr>
          <w:rFonts w:cs="Times New Roman"/>
          <w:szCs w:val="24"/>
        </w:rPr>
        <w:t xml:space="preserve">/л), преобразуется в шкалу от 0 до 100 с использованием минимального теоретического биологического риска (5,1 </w:t>
      </w:r>
      <w:proofErr w:type="spellStart"/>
      <w:r w:rsidR="001C0011" w:rsidRPr="001C0011">
        <w:rPr>
          <w:rFonts w:cs="Times New Roman"/>
          <w:szCs w:val="24"/>
        </w:rPr>
        <w:t>ммоль</w:t>
      </w:r>
      <w:proofErr w:type="spellEnd"/>
      <w:r w:rsidR="001C0011" w:rsidRPr="001C0011">
        <w:rPr>
          <w:rFonts w:cs="Times New Roman"/>
          <w:szCs w:val="24"/>
        </w:rPr>
        <w:t xml:space="preserve">/л) и наблюдаемого максимума в разных странах. (7,1 </w:t>
      </w:r>
      <w:proofErr w:type="spellStart"/>
      <w:r w:rsidR="001C0011" w:rsidRPr="001C0011">
        <w:rPr>
          <w:rFonts w:cs="Times New Roman"/>
          <w:szCs w:val="24"/>
        </w:rPr>
        <w:t>ммоль</w:t>
      </w:r>
      <w:proofErr w:type="spellEnd"/>
      <w:r w:rsidR="001C0011" w:rsidRPr="001C0011">
        <w:rPr>
          <w:rFonts w:cs="Times New Roman"/>
          <w:szCs w:val="24"/>
        </w:rPr>
        <w:t>/л).</w:t>
      </w:r>
    </w:p>
    <w:p w:rsidR="00482712" w:rsidRDefault="00482712" w:rsidP="001C0011">
      <w:pPr>
        <w:pStyle w:val="ab"/>
        <w:rPr>
          <w:rFonts w:cs="Times New Roman"/>
          <w:szCs w:val="24"/>
        </w:rPr>
      </w:pPr>
    </w:p>
    <w:p w:rsidR="001C0011" w:rsidRDefault="00541D88" w:rsidP="00482712">
      <w:pPr>
        <w:pStyle w:val="ab"/>
        <w:jc w:val="center"/>
        <w:rPr>
          <w:rFonts w:cs="Times New Roman"/>
          <w:szCs w:val="24"/>
        </w:rPr>
      </w:pPr>
      <w:proofErr w:type="spellStart"/>
      <w:r w:rsidRPr="00482712">
        <w:rPr>
          <w:rFonts w:cs="Times New Roman"/>
          <w:i/>
          <w:szCs w:val="24"/>
        </w:rPr>
        <w:t>пере</w:t>
      </w:r>
      <w:r w:rsidR="001C0011" w:rsidRPr="00482712">
        <w:rPr>
          <w:rFonts w:cs="Times New Roman"/>
          <w:i/>
          <w:szCs w:val="24"/>
        </w:rPr>
        <w:t>масштабированное</w:t>
      </w:r>
      <w:proofErr w:type="spellEnd"/>
      <w:r w:rsidR="001C0011" w:rsidRPr="00482712">
        <w:rPr>
          <w:rFonts w:cs="Times New Roman"/>
          <w:i/>
          <w:szCs w:val="24"/>
        </w:rPr>
        <w:t xml:space="preserve"> значение</w:t>
      </w:r>
      <w:r w:rsidR="001C0011" w:rsidRPr="001C0011">
        <w:rPr>
          <w:rFonts w:cs="Times New Roman"/>
          <w:szCs w:val="24"/>
        </w:rPr>
        <w:t xml:space="preserve"> = (7,1 - </w:t>
      </w:r>
      <w:r w:rsidR="001C0011" w:rsidRPr="00482712">
        <w:rPr>
          <w:rFonts w:cs="Times New Roman"/>
          <w:i/>
          <w:szCs w:val="24"/>
        </w:rPr>
        <w:t>исходное значение</w:t>
      </w:r>
      <w:r w:rsidR="001C0011" w:rsidRPr="001C0011">
        <w:rPr>
          <w:rFonts w:cs="Times New Roman"/>
          <w:szCs w:val="24"/>
        </w:rPr>
        <w:t>) / (7,1-5,1) * 100</w:t>
      </w:r>
    </w:p>
    <w:p w:rsidR="00482712" w:rsidRDefault="00482712" w:rsidP="001C0011">
      <w:pPr>
        <w:pStyle w:val="ab"/>
        <w:rPr>
          <w:rFonts w:cs="Times New Roman"/>
          <w:szCs w:val="24"/>
        </w:rPr>
      </w:pPr>
    </w:p>
    <w:p w:rsidR="00B3092C" w:rsidRPr="00123724" w:rsidRDefault="001C0011" w:rsidP="002A509F">
      <w:pPr>
        <w:pStyle w:val="ab"/>
        <w:numPr>
          <w:ilvl w:val="0"/>
          <w:numId w:val="5"/>
        </w:numPr>
        <w:rPr>
          <w:rFonts w:cs="Times New Roman"/>
          <w:szCs w:val="24"/>
        </w:rPr>
      </w:pPr>
      <w:r w:rsidRPr="001C0011">
        <w:rPr>
          <w:rFonts w:cs="Times New Roman"/>
          <w:szCs w:val="24"/>
        </w:rPr>
        <w:t>Максимальные пороговые значения для индикаторов скорости: плотность больничных коек и плотность медицинского персонала ограничиваются максимальными пороговыми значениями, а значения выше этого порога остаются постоянными на уровне 100. Эти пороговые значения основаны на минимальных значениях, наблюдаемых в странах ОЭСР</w:t>
      </w:r>
      <w:r w:rsidR="002A509F" w:rsidRPr="002A509F">
        <w:rPr>
          <w:rFonts w:cs="Times New Roman"/>
          <w:szCs w:val="24"/>
        </w:rPr>
        <w:t xml:space="preserve"> (База данных статистики здравоохранения ОЭСР, издание 2015 г.)</w:t>
      </w:r>
    </w:p>
    <w:p w:rsidR="001C0011" w:rsidRPr="001C0011" w:rsidRDefault="001C0011" w:rsidP="002A509F">
      <w:pPr>
        <w:spacing w:after="0"/>
        <w:ind w:left="1418"/>
        <w:rPr>
          <w:rFonts w:cs="Times New Roman"/>
          <w:szCs w:val="24"/>
        </w:rPr>
      </w:pPr>
      <w:proofErr w:type="spellStart"/>
      <w:r>
        <w:rPr>
          <w:rFonts w:cs="Times New Roman"/>
          <w:szCs w:val="24"/>
        </w:rPr>
        <w:t>Перемасштабированное</w:t>
      </w:r>
      <w:proofErr w:type="spellEnd"/>
      <w:r>
        <w:rPr>
          <w:rFonts w:cs="Times New Roman"/>
          <w:szCs w:val="24"/>
        </w:rPr>
        <w:t xml:space="preserve"> кол-во больничных коек</w:t>
      </w:r>
      <w:r w:rsidRPr="001C0011">
        <w:rPr>
          <w:rFonts w:cs="Times New Roman"/>
          <w:szCs w:val="24"/>
        </w:rPr>
        <w:t xml:space="preserve"> на 10 000 = минимум (100, исходное значение / 18 * 100)</w:t>
      </w:r>
    </w:p>
    <w:p w:rsidR="001C0011" w:rsidRPr="001C0011" w:rsidRDefault="001C0011" w:rsidP="002A509F">
      <w:pPr>
        <w:spacing w:after="0"/>
        <w:ind w:left="1418"/>
        <w:rPr>
          <w:rFonts w:cs="Times New Roman"/>
          <w:szCs w:val="24"/>
        </w:rPr>
      </w:pPr>
      <w:proofErr w:type="spellStart"/>
      <w:r>
        <w:rPr>
          <w:rFonts w:cs="Times New Roman"/>
          <w:szCs w:val="24"/>
        </w:rPr>
        <w:t>перемасштабированное</w:t>
      </w:r>
      <w:proofErr w:type="spellEnd"/>
      <w:r>
        <w:rPr>
          <w:rFonts w:cs="Times New Roman"/>
          <w:szCs w:val="24"/>
        </w:rPr>
        <w:t xml:space="preserve"> число врачей</w:t>
      </w:r>
      <w:r w:rsidRPr="001C0011">
        <w:rPr>
          <w:rFonts w:cs="Times New Roman"/>
          <w:szCs w:val="24"/>
        </w:rPr>
        <w:t xml:space="preserve"> на 1000 = минимум (100, исходное значение / 0,9 * 100)</w:t>
      </w:r>
    </w:p>
    <w:p w:rsidR="001C0011" w:rsidRPr="001C0011" w:rsidRDefault="001C0011" w:rsidP="002A509F">
      <w:pPr>
        <w:spacing w:after="0"/>
        <w:ind w:left="1418"/>
        <w:rPr>
          <w:rFonts w:cs="Times New Roman"/>
          <w:szCs w:val="24"/>
        </w:rPr>
      </w:pPr>
      <w:proofErr w:type="spellStart"/>
      <w:r>
        <w:rPr>
          <w:rFonts w:cs="Times New Roman"/>
          <w:szCs w:val="24"/>
        </w:rPr>
        <w:t>перемасштабированное</w:t>
      </w:r>
      <w:proofErr w:type="spellEnd"/>
      <w:r>
        <w:rPr>
          <w:rFonts w:cs="Times New Roman"/>
          <w:szCs w:val="24"/>
        </w:rPr>
        <w:t xml:space="preserve"> число психиатров</w:t>
      </w:r>
      <w:r w:rsidRPr="001C0011">
        <w:rPr>
          <w:rFonts w:cs="Times New Roman"/>
          <w:szCs w:val="24"/>
        </w:rPr>
        <w:t xml:space="preserve"> на 100 000 = минимум (100, исходное значение / 1 * 100)</w:t>
      </w:r>
    </w:p>
    <w:p w:rsidR="001C0011" w:rsidRDefault="001C0011" w:rsidP="002A509F">
      <w:pPr>
        <w:spacing w:after="0"/>
        <w:ind w:left="1418"/>
        <w:rPr>
          <w:rFonts w:cs="Times New Roman"/>
          <w:szCs w:val="24"/>
        </w:rPr>
      </w:pPr>
      <w:proofErr w:type="spellStart"/>
      <w:r>
        <w:rPr>
          <w:rFonts w:cs="Times New Roman"/>
          <w:szCs w:val="24"/>
        </w:rPr>
        <w:t>перемасштабированное</w:t>
      </w:r>
      <w:proofErr w:type="spellEnd"/>
      <w:r>
        <w:rPr>
          <w:rFonts w:cs="Times New Roman"/>
          <w:szCs w:val="24"/>
        </w:rPr>
        <w:t xml:space="preserve"> число хирургов</w:t>
      </w:r>
      <w:r w:rsidRPr="001C0011">
        <w:rPr>
          <w:rFonts w:cs="Times New Roman"/>
          <w:szCs w:val="24"/>
        </w:rPr>
        <w:t xml:space="preserve"> на 100 000 = минимум (100, исходное значение / 14 * 100)</w:t>
      </w:r>
    </w:p>
    <w:p w:rsidR="000B691E" w:rsidRDefault="000B691E" w:rsidP="002A509F">
      <w:pPr>
        <w:spacing w:after="0"/>
        <w:ind w:left="1418"/>
        <w:rPr>
          <w:rFonts w:cs="Times New Roman"/>
          <w:szCs w:val="24"/>
        </w:rPr>
      </w:pPr>
    </w:p>
    <w:p w:rsidR="00B3092C" w:rsidRPr="00123724" w:rsidRDefault="000B691E" w:rsidP="001C0011">
      <w:pPr>
        <w:rPr>
          <w:rFonts w:cs="Times New Roman"/>
          <w:szCs w:val="24"/>
        </w:rPr>
      </w:pPr>
      <w:r>
        <w:rPr>
          <w:rFonts w:cs="Times New Roman"/>
          <w:szCs w:val="24"/>
        </w:rPr>
        <w:t>Как только</w:t>
      </w:r>
      <w:r w:rsidR="00B3092C" w:rsidRPr="00123724">
        <w:rPr>
          <w:rFonts w:cs="Times New Roman"/>
          <w:szCs w:val="24"/>
        </w:rPr>
        <w:t xml:space="preserve"> все значения индикатора показателя</w:t>
      </w:r>
      <w:r>
        <w:rPr>
          <w:rFonts w:cs="Times New Roman"/>
          <w:szCs w:val="24"/>
        </w:rPr>
        <w:t xml:space="preserve"> окажутся</w:t>
      </w:r>
      <w:r w:rsidR="00B3092C" w:rsidRPr="00123724">
        <w:rPr>
          <w:rFonts w:cs="Times New Roman"/>
          <w:szCs w:val="24"/>
        </w:rPr>
        <w:t xml:space="preserve"> в масштабе от 0 до 100, геометрические средства вычисляются в каждой из четырех областей службы здравоохранения, а затем берутся геометрические значения этих четырех значений. Если значение индикатора показателя оказывается равным нулю, оно устанавливается равным 1 (из 100)</w:t>
      </w:r>
      <w:r w:rsidR="0002097B">
        <w:rPr>
          <w:rFonts w:cs="Times New Roman"/>
          <w:szCs w:val="24"/>
        </w:rPr>
        <w:t xml:space="preserve"> или 100 (из 100) соответственно</w:t>
      </w:r>
      <w:r w:rsidR="00B3092C" w:rsidRPr="00123724">
        <w:rPr>
          <w:rFonts w:cs="Times New Roman"/>
          <w:szCs w:val="24"/>
        </w:rPr>
        <w:t>, прежде чем вычислять среднее геометрическое значение. На диаграмме показаны расчеты.</w:t>
      </w:r>
    </w:p>
    <w:p w:rsidR="00B3092C" w:rsidRPr="00123724" w:rsidRDefault="00B3092C" w:rsidP="00B3092C">
      <w:pPr>
        <w:rPr>
          <w:rFonts w:cs="Times New Roman"/>
          <w:szCs w:val="24"/>
        </w:rPr>
      </w:pPr>
      <w:r w:rsidRPr="00123724">
        <w:rPr>
          <w:rFonts w:cs="Times New Roman"/>
          <w:noProof/>
          <w:szCs w:val="24"/>
          <w:lang w:eastAsia="ru-RU"/>
        </w:rPr>
        <w:lastRenderedPageBreak/>
        <w:drawing>
          <wp:inline distT="0" distB="0" distL="0" distR="0" wp14:anchorId="7F4DD4AE" wp14:editId="67E51FA7">
            <wp:extent cx="6381750" cy="6019800"/>
            <wp:effectExtent l="0" t="0" r="0" b="0"/>
            <wp:docPr id="24" name="Рисунок 24" descr="C:\Users\ca_BoykoTE\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_BoykoTE\Desktop\1.PNG"/>
                    <pic:cNvPicPr>
                      <a:picLocks noChangeAspect="1" noChangeArrowheads="1"/>
                    </pic:cNvPicPr>
                  </pic:nvPicPr>
                  <pic:blipFill rotWithShape="1">
                    <a:blip r:embed="rId12">
                      <a:extLst>
                        <a:ext uri="{28A0092B-C50C-407E-A947-70E740481C1C}">
                          <a14:useLocalDpi xmlns:a14="http://schemas.microsoft.com/office/drawing/2010/main" val="0"/>
                        </a:ext>
                      </a:extLst>
                    </a:blip>
                    <a:srcRect b="2167"/>
                    <a:stretch/>
                  </pic:blipFill>
                  <pic:spPr bwMode="auto">
                    <a:xfrm>
                      <a:off x="0" y="0"/>
                      <a:ext cx="6381750" cy="6019800"/>
                    </a:xfrm>
                    <a:prstGeom prst="rect">
                      <a:avLst/>
                    </a:prstGeom>
                    <a:noFill/>
                    <a:ln>
                      <a:noFill/>
                    </a:ln>
                    <a:extLst>
                      <a:ext uri="{53640926-AAD7-44D8-BBD7-CCE9431645EC}">
                        <a14:shadowObscured xmlns:a14="http://schemas.microsoft.com/office/drawing/2010/main"/>
                      </a:ext>
                    </a:extLst>
                  </pic:spPr>
                </pic:pic>
              </a:graphicData>
            </a:graphic>
          </wp:inline>
        </w:drawing>
      </w:r>
    </w:p>
    <w:p w:rsidR="00B3092C" w:rsidRPr="00277C45" w:rsidRDefault="00B3092C" w:rsidP="00B3092C">
      <w:pPr>
        <w:rPr>
          <w:rFonts w:cs="Times New Roman"/>
          <w:szCs w:val="24"/>
        </w:rPr>
      </w:pPr>
      <w:r w:rsidRPr="00123724">
        <w:rPr>
          <w:rFonts w:cs="Times New Roman"/>
          <w:szCs w:val="24"/>
        </w:rPr>
        <w:t>Обратите внимание, что в странах с низк</w:t>
      </w:r>
      <w:r w:rsidR="00277C45">
        <w:rPr>
          <w:rFonts w:cs="Times New Roman"/>
          <w:szCs w:val="24"/>
        </w:rPr>
        <w:t>им</w:t>
      </w:r>
      <w:r w:rsidRPr="00123724">
        <w:rPr>
          <w:rFonts w:cs="Times New Roman"/>
          <w:szCs w:val="24"/>
        </w:rPr>
        <w:t xml:space="preserve"> риском малярии индикатор показателя для использования обработанных инсектицидами сеток исключается из расчета.</w:t>
      </w:r>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proofErr w:type="spellStart"/>
      <w:r w:rsidR="00694160" w:rsidRPr="00A71EC6">
        <w:rPr>
          <w:b/>
          <w:color w:val="auto"/>
          <w:sz w:val="24"/>
          <w:szCs w:val="24"/>
          <w:lang w:val="ru-RU"/>
        </w:rPr>
        <w:t>Валидация</w:t>
      </w:r>
      <w:proofErr w:type="spellEnd"/>
    </w:p>
    <w:p w:rsidR="00300967" w:rsidRPr="00300967" w:rsidRDefault="00300967" w:rsidP="00F61AD7">
      <w:pPr>
        <w:spacing w:after="0"/>
      </w:pPr>
      <w:r w:rsidRPr="00300967">
        <w:t>Качество данных, полученных для расчета индекса, обычно уже проверено с помощью отдельных процессов. Однако перед проведением консультаций со странами проводится оценка качества (т. е. выявление важных отклонений или существенной разницы между последним обновлением и следующим обновлением за тот же год). Оценки индекса включены в консультацию для получения обратной связи от страны. Данные пересматриваются по мере необходимости с учетом охвата дородовой помощью и плотности больничных коек. Пересмотр всех остальных показателей должен осуществляться в соответствии с уже существующим механизмом отчетности.</w:t>
      </w:r>
    </w:p>
    <w:p w:rsidR="00300967" w:rsidRPr="00300967" w:rsidRDefault="00300967" w:rsidP="00F61AD7">
      <w:pPr>
        <w:spacing w:after="0"/>
      </w:pPr>
    </w:p>
    <w:p w:rsidR="00300967" w:rsidRDefault="00300967" w:rsidP="00F61AD7">
      <w:pPr>
        <w:spacing w:after="0"/>
      </w:pPr>
      <w:r w:rsidRPr="00300967">
        <w:t>Информацию о проверке конструкции индекса можно найти в следующей статье:</w:t>
      </w:r>
    </w:p>
    <w:p w:rsidR="00300967" w:rsidRDefault="00276122" w:rsidP="00F61AD7">
      <w:pPr>
        <w:spacing w:after="0"/>
      </w:pPr>
      <w:hyperlink r:id="rId13" w:history="1">
        <w:r w:rsidR="00300967" w:rsidRPr="00300967">
          <w:rPr>
            <w:rStyle w:val="ac"/>
            <w:lang w:val="en-GB"/>
          </w:rPr>
          <w:t>https</w:t>
        </w:r>
        <w:r w:rsidR="00300967" w:rsidRPr="00300967">
          <w:rPr>
            <w:rStyle w:val="ac"/>
          </w:rPr>
          <w:t>://</w:t>
        </w:r>
        <w:r w:rsidR="00300967" w:rsidRPr="00300967">
          <w:rPr>
            <w:rStyle w:val="ac"/>
            <w:lang w:val="en-GB"/>
          </w:rPr>
          <w:t>www</w:t>
        </w:r>
        <w:r w:rsidR="00300967" w:rsidRPr="00300967">
          <w:rPr>
            <w:rStyle w:val="ac"/>
          </w:rPr>
          <w:t>.</w:t>
        </w:r>
        <w:proofErr w:type="spellStart"/>
        <w:r w:rsidR="00300967" w:rsidRPr="00300967">
          <w:rPr>
            <w:rStyle w:val="ac"/>
            <w:lang w:val="en-GB"/>
          </w:rPr>
          <w:t>thelancet</w:t>
        </w:r>
        <w:proofErr w:type="spellEnd"/>
        <w:r w:rsidR="00300967" w:rsidRPr="00300967">
          <w:rPr>
            <w:rStyle w:val="ac"/>
          </w:rPr>
          <w:t>.</w:t>
        </w:r>
        <w:r w:rsidR="00300967" w:rsidRPr="00300967">
          <w:rPr>
            <w:rStyle w:val="ac"/>
            <w:lang w:val="en-GB"/>
          </w:rPr>
          <w:t>com</w:t>
        </w:r>
        <w:r w:rsidR="00300967" w:rsidRPr="00300967">
          <w:rPr>
            <w:rStyle w:val="ac"/>
          </w:rPr>
          <w:t>/</w:t>
        </w:r>
        <w:r w:rsidR="00300967" w:rsidRPr="00300967">
          <w:rPr>
            <w:rStyle w:val="ac"/>
            <w:lang w:val="en-GB"/>
          </w:rPr>
          <w:t>journals</w:t>
        </w:r>
        <w:r w:rsidR="00300967" w:rsidRPr="00300967">
          <w:rPr>
            <w:rStyle w:val="ac"/>
          </w:rPr>
          <w:t>/</w:t>
        </w:r>
        <w:proofErr w:type="spellStart"/>
        <w:r w:rsidR="00300967" w:rsidRPr="00300967">
          <w:rPr>
            <w:rStyle w:val="ac"/>
            <w:lang w:val="en-GB"/>
          </w:rPr>
          <w:t>langlo</w:t>
        </w:r>
        <w:proofErr w:type="spellEnd"/>
        <w:r w:rsidR="00300967" w:rsidRPr="00300967">
          <w:rPr>
            <w:rStyle w:val="ac"/>
          </w:rPr>
          <w:t>/</w:t>
        </w:r>
        <w:r w:rsidR="00300967" w:rsidRPr="00300967">
          <w:rPr>
            <w:rStyle w:val="ac"/>
            <w:lang w:val="en-GB"/>
          </w:rPr>
          <w:t>article</w:t>
        </w:r>
        <w:r w:rsidR="00300967" w:rsidRPr="00300967">
          <w:rPr>
            <w:rStyle w:val="ac"/>
          </w:rPr>
          <w:t>/</w:t>
        </w:r>
        <w:r w:rsidR="00300967" w:rsidRPr="00300967">
          <w:rPr>
            <w:rStyle w:val="ac"/>
            <w:lang w:val="en-GB"/>
          </w:rPr>
          <w:t>PIIS</w:t>
        </w:r>
        <w:r w:rsidR="00300967" w:rsidRPr="00300967">
          <w:rPr>
            <w:rStyle w:val="ac"/>
          </w:rPr>
          <w:t>2214-109</w:t>
        </w:r>
        <w:r w:rsidR="00300967" w:rsidRPr="00300967">
          <w:rPr>
            <w:rStyle w:val="ac"/>
            <w:lang w:val="en-GB"/>
          </w:rPr>
          <w:t>X</w:t>
        </w:r>
        <w:r w:rsidR="00300967" w:rsidRPr="00300967">
          <w:rPr>
            <w:rStyle w:val="ac"/>
          </w:rPr>
          <w:t>(17)30472-2/</w:t>
        </w:r>
        <w:proofErr w:type="spellStart"/>
        <w:r w:rsidR="00300967" w:rsidRPr="00300967">
          <w:rPr>
            <w:rStyle w:val="ac"/>
            <w:lang w:val="en-GB"/>
          </w:rPr>
          <w:t>fulltext</w:t>
        </w:r>
        <w:proofErr w:type="spellEnd"/>
      </w:hyperlink>
    </w:p>
    <w:p w:rsidR="00300967" w:rsidRDefault="00300967" w:rsidP="00300967"/>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2E15F9" w:rsidRDefault="00F92D6F" w:rsidP="0075371E">
      <w:pPr>
        <w:pStyle w:val="MText"/>
        <w:rPr>
          <w:color w:val="auto"/>
          <w:sz w:val="24"/>
          <w:szCs w:val="24"/>
          <w:lang w:val="ru-RU"/>
        </w:rPr>
      </w:pPr>
      <w:r>
        <w:rPr>
          <w:color w:val="auto"/>
          <w:sz w:val="24"/>
          <w:szCs w:val="24"/>
          <w:lang w:val="ru-RU"/>
        </w:rPr>
        <w:t>Не применимо</w:t>
      </w:r>
      <w:r w:rsidR="00694160" w:rsidRPr="00BD29EC">
        <w:rPr>
          <w:color w:val="auto"/>
          <w:sz w:val="24"/>
          <w:szCs w:val="24"/>
          <w:lang w:val="ru-RU"/>
        </w:rPr>
        <w:t>.</w:t>
      </w:r>
    </w:p>
    <w:p w:rsidR="000169BB" w:rsidRPr="00BD29EC" w:rsidRDefault="000169BB" w:rsidP="0075371E">
      <w:pPr>
        <w:pStyle w:val="MText"/>
        <w:rPr>
          <w:color w:val="auto"/>
          <w:sz w:val="24"/>
          <w:szCs w:val="24"/>
          <w:lang w:val="ru-RU"/>
        </w:rPr>
      </w:pP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proofErr w:type="spellStart"/>
      <w:r w:rsidR="00694160" w:rsidRPr="00A71EC6">
        <w:rPr>
          <w:b/>
          <w:color w:val="auto"/>
          <w:sz w:val="24"/>
          <w:szCs w:val="24"/>
        </w:rPr>
        <w:t>i</w:t>
      </w:r>
      <w:proofErr w:type="spellEnd"/>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Pr="00C646C1" w:rsidRDefault="00694160" w:rsidP="000169BB">
      <w:pPr>
        <w:pStyle w:val="MText"/>
        <w:numPr>
          <w:ilvl w:val="0"/>
          <w:numId w:val="10"/>
        </w:numPr>
        <w:rPr>
          <w:b/>
          <w:color w:val="auto"/>
          <w:sz w:val="24"/>
          <w:szCs w:val="24"/>
          <w:lang w:val="ru-RU"/>
        </w:rPr>
      </w:pPr>
      <w:r w:rsidRPr="00C646C1">
        <w:rPr>
          <w:b/>
          <w:color w:val="auto"/>
          <w:sz w:val="24"/>
          <w:szCs w:val="24"/>
          <w:lang w:val="ru-RU"/>
        </w:rPr>
        <w:t>На уровне страны</w:t>
      </w:r>
      <w:r w:rsidR="00182F32" w:rsidRPr="00C646C1">
        <w:rPr>
          <w:b/>
          <w:color w:val="auto"/>
          <w:sz w:val="24"/>
          <w:szCs w:val="24"/>
          <w:lang w:val="ru-RU"/>
        </w:rPr>
        <w:t>:</w:t>
      </w:r>
    </w:p>
    <w:p w:rsidR="000211BA" w:rsidRPr="00123724" w:rsidRDefault="000211BA" w:rsidP="000211BA">
      <w:pPr>
        <w:rPr>
          <w:rFonts w:cs="Times New Roman"/>
          <w:szCs w:val="24"/>
        </w:rPr>
      </w:pPr>
      <w:r w:rsidRPr="00123724">
        <w:rPr>
          <w:rFonts w:cs="Times New Roman"/>
          <w:szCs w:val="24"/>
        </w:rPr>
        <w:t>Отправной точкой для вычисления индекса является сбор существующей информации для каждого индикатора показателя. Во многих случаях это связано с использованием страновых временных рядов, которые были созданы или сопоставлены агентствами ООН в консультации с правительствами стран (например, охват иммунизацией, доступ к санитарии, охват лечением ВИЧ и т.д.). Некоторые из этих опубликованных временных рядов включают в себя математическое моделирование для согласования нескольких источников данных или передачи недостающих значений, и эти детали суммируются в Приложении 1.</w:t>
      </w:r>
    </w:p>
    <w:p w:rsidR="000211BA" w:rsidRPr="00123724" w:rsidRDefault="000211BA" w:rsidP="000211BA">
      <w:pPr>
        <w:rPr>
          <w:rFonts w:cs="Times New Roman"/>
          <w:szCs w:val="24"/>
        </w:rPr>
      </w:pPr>
      <w:r w:rsidRPr="00123724">
        <w:rPr>
          <w:rFonts w:cs="Times New Roman"/>
          <w:szCs w:val="24"/>
        </w:rPr>
        <w:t>После сборки этих материалов по некоторым показателям по-прежнему отсутствуют значения для некоторых стран-лет. Для расчета индекса охвата услуг UHC требуются значения для каждого индикатора показателя для страны, поэтому для заполнения этих пробелов данных требуется некоторое вменение. Текущий подход включает простой алгоритм вменения. Для каждого индикатора:</w:t>
      </w:r>
    </w:p>
    <w:p w:rsidR="000211BA" w:rsidRPr="00576EE2" w:rsidRDefault="000211BA" w:rsidP="00576EE2">
      <w:pPr>
        <w:pStyle w:val="ab"/>
        <w:numPr>
          <w:ilvl w:val="0"/>
          <w:numId w:val="10"/>
        </w:numPr>
        <w:ind w:left="425" w:firstLine="1"/>
        <w:rPr>
          <w:rFonts w:cs="Times New Roman"/>
          <w:szCs w:val="24"/>
        </w:rPr>
      </w:pPr>
      <w:r w:rsidRPr="00576EE2">
        <w:rPr>
          <w:rFonts w:cs="Times New Roman"/>
          <w:szCs w:val="24"/>
        </w:rPr>
        <w:t>Если в стране отсутствуют значения в течение двух лет со значениями, линейная интерполяция используется для заполнения отсутствующих значений за прошедшие годы</w:t>
      </w:r>
    </w:p>
    <w:p w:rsidR="000211BA" w:rsidRPr="00576EE2" w:rsidRDefault="000211BA" w:rsidP="00576EE2">
      <w:pPr>
        <w:pStyle w:val="ab"/>
        <w:numPr>
          <w:ilvl w:val="0"/>
          <w:numId w:val="10"/>
        </w:numPr>
        <w:ind w:left="425" w:firstLine="1"/>
        <w:rPr>
          <w:rFonts w:cs="Times New Roman"/>
          <w:szCs w:val="24"/>
        </w:rPr>
      </w:pPr>
      <w:r w:rsidRPr="00576EE2">
        <w:rPr>
          <w:rFonts w:cs="Times New Roman"/>
          <w:szCs w:val="24"/>
        </w:rPr>
        <w:t>Если страна имеет исторические годы со значениями, но не имеет текущего значения, постоянная экстраполяция используется для заполнения пропущенных значений до текущего года</w:t>
      </w:r>
    </w:p>
    <w:p w:rsidR="000211BA" w:rsidRDefault="000211BA" w:rsidP="00576EE2">
      <w:pPr>
        <w:pStyle w:val="ab"/>
        <w:numPr>
          <w:ilvl w:val="0"/>
          <w:numId w:val="10"/>
        </w:numPr>
        <w:ind w:left="425" w:firstLine="1"/>
        <w:rPr>
          <w:rFonts w:cs="Times New Roman"/>
          <w:szCs w:val="24"/>
        </w:rPr>
      </w:pPr>
      <w:r w:rsidRPr="00576EE2">
        <w:rPr>
          <w:rFonts w:cs="Times New Roman"/>
          <w:szCs w:val="24"/>
        </w:rPr>
        <w:t>Если у страны значение отсутствует, оно вменяется. Для обращения за медицинской помощью при пневмонии и плотности хирургов регрессия подходит для заполнения отсутствующих значений (подробности см. в Приложении 1). Для всех других показателей рассчитывается региональная медиана для заполнения отсутствующих значений. Регионы основаны на географических регионах Всемирного банка с отдельной группой традиционных стран с высоким уровнем дохода.</w:t>
      </w:r>
    </w:p>
    <w:p w:rsidR="0059475F" w:rsidRPr="00576EE2" w:rsidRDefault="0059475F" w:rsidP="0059475F">
      <w:pPr>
        <w:pStyle w:val="ab"/>
        <w:spacing w:after="0"/>
        <w:ind w:left="425"/>
        <w:rPr>
          <w:rFonts w:cs="Times New Roman"/>
          <w:szCs w:val="24"/>
        </w:rPr>
      </w:pPr>
    </w:p>
    <w:p w:rsidR="002E15F9" w:rsidRPr="00235B95" w:rsidRDefault="000211BA" w:rsidP="00235B95">
      <w:r w:rsidRPr="000211BA">
        <w:t xml:space="preserve">Учитывая сроки и распределение различных обследований состояния здоровья и других механизмов сбора данных, страны не собирают и не сообщают обо всех 14 индикаторов показателя охвата услугами здравоохранения на ежегодной основе. Следовательно, степень, в которой вменение используется для заполнения недостающей информации, следует сообщать вместе со значением индекса. И мониторинг на страновом уровне наиболее целесообразно проводить на более широких временных интервалах, например, </w:t>
      </w:r>
      <w:r w:rsidRPr="000211BA">
        <w:lastRenderedPageBreak/>
        <w:t>каждые 5 лет, чтобы обеспечить возможность сбора новых данных по индикаторам.</w:t>
      </w:r>
      <w:r>
        <w:t xml:space="preserve"> </w:t>
      </w:r>
      <w:r w:rsidRPr="000211BA">
        <w:t xml:space="preserve">Таким образом, вместе со значением индекса следует сообщать о степени использования </w:t>
      </w:r>
      <w:r>
        <w:t xml:space="preserve">вменения </w:t>
      </w:r>
      <w:r w:rsidRPr="000211BA">
        <w:t>для восполнения недостающей информации.</w:t>
      </w:r>
    </w:p>
    <w:p w:rsidR="002E15F9" w:rsidRPr="00C646C1" w:rsidRDefault="00694160" w:rsidP="000169BB">
      <w:pPr>
        <w:pStyle w:val="MText"/>
        <w:numPr>
          <w:ilvl w:val="0"/>
          <w:numId w:val="11"/>
        </w:numPr>
        <w:rPr>
          <w:b/>
          <w:color w:val="auto"/>
          <w:sz w:val="24"/>
          <w:szCs w:val="24"/>
          <w:lang w:val="ru-RU"/>
        </w:rPr>
      </w:pPr>
      <w:r w:rsidRPr="00C646C1">
        <w:rPr>
          <w:b/>
          <w:color w:val="auto"/>
          <w:sz w:val="24"/>
          <w:szCs w:val="24"/>
          <w:lang w:val="ru-RU"/>
        </w:rPr>
        <w:t>На региональном и глобальном уровнях</w:t>
      </w:r>
      <w:r w:rsidR="00182F32" w:rsidRPr="00C646C1">
        <w:rPr>
          <w:b/>
          <w:color w:val="auto"/>
          <w:sz w:val="24"/>
          <w:szCs w:val="24"/>
          <w:lang w:val="ru-RU"/>
        </w:rPr>
        <w:t>:</w:t>
      </w:r>
    </w:p>
    <w:p w:rsidR="00694160" w:rsidRPr="00BD29EC" w:rsidRDefault="00235B95" w:rsidP="00235B95">
      <w:r w:rsidRPr="00235B95">
        <w:t>Любое необходимое вменение производится на уровне страны. Затем эти значения для страны можно использовать для расчета региональных и глобальных значений.</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r w:rsidR="00E27922" w:rsidRPr="00BD29EC">
        <w:rPr>
          <w:color w:val="auto"/>
          <w:sz w:val="24"/>
          <w:szCs w:val="24"/>
          <w:lang w:val="ru-RU"/>
        </w:rPr>
        <w:t xml:space="preserve"> </w:t>
      </w:r>
    </w:p>
    <w:p w:rsidR="002E15F9" w:rsidRPr="00BD29EC" w:rsidRDefault="00110AED" w:rsidP="0075371E">
      <w:pPr>
        <w:pStyle w:val="MText"/>
        <w:rPr>
          <w:color w:val="auto"/>
          <w:sz w:val="24"/>
          <w:szCs w:val="24"/>
          <w:lang w:val="ru-RU"/>
        </w:rPr>
      </w:pPr>
      <w:r w:rsidRPr="00110AED">
        <w:rPr>
          <w:color w:val="auto"/>
          <w:sz w:val="24"/>
          <w:szCs w:val="24"/>
          <w:lang w:val="ru-RU"/>
        </w:rPr>
        <w:t xml:space="preserve">Региональные и глобальные агрегаты используют оценки населения Организации Объединенных Наций на уровне страны для расчета средневзвешенного значения </w:t>
      </w:r>
      <w:proofErr w:type="spellStart"/>
      <w:r w:rsidRPr="00110AED">
        <w:rPr>
          <w:color w:val="auto"/>
          <w:sz w:val="24"/>
          <w:szCs w:val="24"/>
          <w:lang w:val="ru-RU"/>
        </w:rPr>
        <w:t>странового</w:t>
      </w:r>
      <w:proofErr w:type="spellEnd"/>
      <w:r w:rsidRPr="00110AED">
        <w:rPr>
          <w:color w:val="auto"/>
          <w:sz w:val="24"/>
          <w:szCs w:val="24"/>
          <w:lang w:val="ru-RU"/>
        </w:rPr>
        <w:t xml:space="preserve"> индекса. Это оправдано, поскольку </w:t>
      </w:r>
      <w:r>
        <w:rPr>
          <w:color w:val="auto"/>
          <w:sz w:val="24"/>
          <w:szCs w:val="24"/>
          <w:lang w:val="ru-RU"/>
        </w:rPr>
        <w:t>UHC</w:t>
      </w:r>
      <w:r w:rsidRPr="00110AED">
        <w:rPr>
          <w:color w:val="auto"/>
          <w:sz w:val="24"/>
          <w:szCs w:val="24"/>
          <w:lang w:val="ru-RU"/>
        </w:rPr>
        <w:t xml:space="preserve"> является достоянием стран, а индекс основных услуг является суммарным показателем доступа к основным услугам для населения каждой страны. Оценки численности населения Организации Объединенных Наций на страновом уровне используются для обеспечения согласованности и сопоставимости оценок внутри стран и между странами во времени.</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7F05C8" w:rsidRPr="007F05C8" w:rsidRDefault="007F05C8" w:rsidP="0075371E">
      <w:pPr>
        <w:pStyle w:val="MHeader2"/>
        <w:rPr>
          <w:color w:val="auto"/>
          <w:sz w:val="24"/>
          <w:szCs w:val="24"/>
          <w:lang w:val="ru-RU"/>
        </w:rPr>
      </w:pPr>
      <w:r>
        <w:rPr>
          <w:color w:val="auto"/>
          <w:sz w:val="24"/>
          <w:szCs w:val="24"/>
          <w:lang w:val="ru-RU"/>
        </w:rPr>
        <w:t>Не применимо</w:t>
      </w:r>
    </w:p>
    <w:p w:rsidR="002E15F9" w:rsidRDefault="002E15F9" w:rsidP="0075371E">
      <w:pPr>
        <w:pStyle w:val="MHeader2"/>
        <w:rPr>
          <w:b/>
          <w:color w:val="auto"/>
          <w:sz w:val="24"/>
          <w:szCs w:val="24"/>
          <w:lang w:val="ru-RU"/>
        </w:rPr>
      </w:pPr>
      <w:r w:rsidRPr="00BD29EC">
        <w:rPr>
          <w:color w:val="auto"/>
          <w:sz w:val="24"/>
          <w:szCs w:val="24"/>
          <w:lang w:val="ru-RU"/>
        </w:rPr>
        <w:t>4.</w:t>
      </w:r>
      <w:proofErr w:type="spellStart"/>
      <w:r w:rsidRPr="00BD29EC">
        <w:rPr>
          <w:color w:val="auto"/>
          <w:sz w:val="24"/>
          <w:szCs w:val="24"/>
        </w:rPr>
        <w:t>i</w:t>
      </w:r>
      <w:proofErr w:type="spellEnd"/>
      <w:r w:rsidRPr="00BD29EC">
        <w:rPr>
          <w:color w:val="auto"/>
          <w:sz w:val="24"/>
          <w:szCs w:val="24"/>
          <w:lang w:val="ru-RU"/>
        </w:rPr>
        <w:t xml:space="preserve">. </w:t>
      </w:r>
      <w:r w:rsidR="00E27922" w:rsidRPr="00A71EC6">
        <w:rPr>
          <w:b/>
          <w:color w:val="auto"/>
          <w:sz w:val="24"/>
          <w:szCs w:val="24"/>
          <w:lang w:val="ru-RU"/>
        </w:rPr>
        <w:t>Управление качеством</w:t>
      </w:r>
    </w:p>
    <w:p w:rsidR="007F05C8" w:rsidRPr="007F05C8" w:rsidRDefault="007F05C8" w:rsidP="0075371E">
      <w:pPr>
        <w:pStyle w:val="MHeader2"/>
        <w:rPr>
          <w:color w:val="auto"/>
          <w:sz w:val="24"/>
          <w:szCs w:val="24"/>
          <w:lang w:val="ru-RU"/>
        </w:rPr>
      </w:pPr>
      <w:r>
        <w:rPr>
          <w:color w:val="auto"/>
          <w:sz w:val="24"/>
          <w:szCs w:val="24"/>
          <w:lang w:val="ru-RU"/>
        </w:rPr>
        <w:t>Не применимо</w:t>
      </w:r>
    </w:p>
    <w:p w:rsidR="002E15F9" w:rsidRDefault="002E15F9" w:rsidP="0075371E">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Pr="00040034">
        <w:rPr>
          <w:color w:val="auto"/>
          <w:sz w:val="24"/>
          <w:szCs w:val="24"/>
          <w:lang w:val="ru-RU"/>
        </w:rPr>
        <w:t xml:space="preserve"> </w:t>
      </w:r>
      <w:r w:rsidR="003859BD">
        <w:rPr>
          <w:b/>
          <w:color w:val="auto"/>
          <w:sz w:val="24"/>
          <w:szCs w:val="24"/>
          <w:lang w:val="ru-RU"/>
        </w:rPr>
        <w:t>Гарантия</w:t>
      </w:r>
      <w:r w:rsidR="00E27922" w:rsidRPr="00A71EC6">
        <w:rPr>
          <w:b/>
          <w:color w:val="auto"/>
          <w:sz w:val="24"/>
          <w:szCs w:val="24"/>
          <w:lang w:val="ru-RU"/>
        </w:rPr>
        <w:t xml:space="preserve"> качества</w:t>
      </w:r>
    </w:p>
    <w:p w:rsidR="007F05C8" w:rsidRPr="007F05C8" w:rsidRDefault="007F05C8" w:rsidP="0075371E">
      <w:pPr>
        <w:pStyle w:val="MHeader2"/>
        <w:rPr>
          <w:color w:val="auto"/>
          <w:sz w:val="24"/>
          <w:szCs w:val="24"/>
          <w:lang w:val="ru-RU"/>
        </w:rPr>
      </w:pPr>
      <w:r>
        <w:rPr>
          <w:color w:val="auto"/>
          <w:sz w:val="24"/>
          <w:szCs w:val="24"/>
          <w:lang w:val="ru-RU"/>
        </w:rPr>
        <w:t>Не применимо</w:t>
      </w:r>
    </w:p>
    <w:p w:rsidR="002E15F9"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p>
    <w:p w:rsidR="007F05C8" w:rsidRPr="007F05C8" w:rsidRDefault="007F05C8" w:rsidP="0075371E">
      <w:pPr>
        <w:pStyle w:val="MHeader2"/>
        <w:rPr>
          <w:color w:val="auto"/>
          <w:sz w:val="24"/>
          <w:szCs w:val="24"/>
          <w:lang w:val="ru-RU"/>
        </w:rPr>
      </w:pPr>
      <w:r>
        <w:rPr>
          <w:color w:val="auto"/>
          <w:sz w:val="24"/>
          <w:szCs w:val="24"/>
          <w:lang w:val="ru-RU"/>
        </w:rPr>
        <w:t xml:space="preserve">См. раздел </w:t>
      </w:r>
      <w:bookmarkStart w:id="5" w:name="_GoBack"/>
      <w:bookmarkEnd w:id="5"/>
      <w:r>
        <w:rPr>
          <w:color w:val="auto"/>
          <w:sz w:val="24"/>
          <w:szCs w:val="24"/>
          <w:lang w:val="ru-RU"/>
        </w:rPr>
        <w:t>4.</w:t>
      </w:r>
      <w:r>
        <w:rPr>
          <w:color w:val="auto"/>
          <w:sz w:val="24"/>
          <w:szCs w:val="24"/>
          <w:lang w:val="en-US"/>
        </w:rPr>
        <w:t>d</w:t>
      </w:r>
      <w:r w:rsidRPr="00721F01">
        <w:rPr>
          <w:color w:val="auto"/>
          <w:sz w:val="24"/>
          <w:szCs w:val="24"/>
          <w:lang w:val="ru-RU"/>
        </w:rPr>
        <w:t xml:space="preserve"> </w:t>
      </w:r>
      <w:proofErr w:type="spellStart"/>
      <w:r>
        <w:rPr>
          <w:color w:val="auto"/>
          <w:sz w:val="24"/>
          <w:szCs w:val="24"/>
          <w:lang w:val="ru-RU"/>
        </w:rPr>
        <w:t>Валидация</w:t>
      </w:r>
      <w:proofErr w:type="spellEnd"/>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C64421">
        <w:rPr>
          <w:b/>
          <w:color w:val="auto"/>
          <w:sz w:val="24"/>
          <w:szCs w:val="24"/>
          <w:lang w:val="ru-RU"/>
        </w:rPr>
        <w:t>Доступность и дезагрегация</w:t>
      </w:r>
      <w:r w:rsidR="0075371E" w:rsidRPr="00BD29EC">
        <w:rPr>
          <w:b/>
          <w:color w:val="auto"/>
          <w:sz w:val="24"/>
          <w:szCs w:val="24"/>
          <w:lang w:val="ru-RU"/>
        </w:rPr>
        <w:t xml:space="preserve"> данных</w:t>
      </w:r>
    </w:p>
    <w:p w:rsidR="0075371E" w:rsidRPr="00721F01" w:rsidRDefault="0075371E" w:rsidP="0075371E">
      <w:pPr>
        <w:pStyle w:val="MText"/>
        <w:rPr>
          <w:b/>
          <w:color w:val="auto"/>
          <w:sz w:val="24"/>
          <w:szCs w:val="24"/>
          <w:lang w:val="ru-RU"/>
        </w:rPr>
      </w:pPr>
      <w:r w:rsidRPr="00721F01">
        <w:rPr>
          <w:b/>
          <w:color w:val="auto"/>
          <w:sz w:val="24"/>
          <w:szCs w:val="24"/>
          <w:lang w:val="ru-RU"/>
        </w:rPr>
        <w:t>Доступность данных:</w:t>
      </w:r>
    </w:p>
    <w:p w:rsidR="00D30158" w:rsidRPr="00BD29EC" w:rsidRDefault="00D30158" w:rsidP="0075371E">
      <w:pPr>
        <w:pStyle w:val="MText"/>
        <w:rPr>
          <w:color w:val="auto"/>
          <w:sz w:val="24"/>
          <w:szCs w:val="24"/>
          <w:lang w:val="ru-RU"/>
        </w:rPr>
      </w:pPr>
      <w:r w:rsidRPr="00D30158">
        <w:rPr>
          <w:color w:val="auto"/>
          <w:sz w:val="24"/>
          <w:szCs w:val="24"/>
          <w:lang w:val="ru-RU"/>
        </w:rPr>
        <w:t>Обобщить доступность данных для индекса охвата услугами UHC непросто, поскольку для 14 показателей отслеживания используются разные источники данных. Кроме того, для многих показателей были получены сопоставимые оценки, во многих случаях использующие различные типы базовых источников данных для обоснования оценок, а также использующие прогнозы для условного исчисления отсутствующих значений.</w:t>
      </w:r>
    </w:p>
    <w:p w:rsidR="00721F01" w:rsidRDefault="00721F01" w:rsidP="0075371E">
      <w:pPr>
        <w:pStyle w:val="MText"/>
        <w:rPr>
          <w:b/>
          <w:color w:val="auto"/>
          <w:sz w:val="24"/>
          <w:szCs w:val="24"/>
          <w:lang w:val="ru-RU"/>
        </w:rPr>
      </w:pPr>
    </w:p>
    <w:p w:rsidR="0075371E" w:rsidRPr="00721F01" w:rsidRDefault="0075371E" w:rsidP="0075371E">
      <w:pPr>
        <w:pStyle w:val="MText"/>
        <w:rPr>
          <w:b/>
          <w:color w:val="auto"/>
          <w:sz w:val="24"/>
          <w:szCs w:val="24"/>
          <w:lang w:val="ru-RU"/>
        </w:rPr>
      </w:pPr>
      <w:r w:rsidRPr="00721F01">
        <w:rPr>
          <w:b/>
          <w:color w:val="auto"/>
          <w:sz w:val="24"/>
          <w:szCs w:val="24"/>
          <w:lang w:val="ru-RU"/>
        </w:rPr>
        <w:t>Временные ряды:</w:t>
      </w:r>
    </w:p>
    <w:p w:rsidR="00D30158" w:rsidRPr="00D30158" w:rsidRDefault="00D30158" w:rsidP="00D30158">
      <w:r w:rsidRPr="00D30158">
        <w:t xml:space="preserve">Базовое значение индекса охвата услугами </w:t>
      </w:r>
      <w:r w:rsidR="00426D6C" w:rsidRPr="00D30158">
        <w:rPr>
          <w:szCs w:val="24"/>
        </w:rPr>
        <w:t>UHC</w:t>
      </w:r>
      <w:r w:rsidRPr="00D30158">
        <w:t xml:space="preserve"> за 2015 г. в 183 странах было опубликовано в конце 2017 г. В рамках этого процесса были собраны источники данных, относящиеся к 2000 г. В 2019 году индекс охвата услугами </w:t>
      </w:r>
      <w:r w:rsidRPr="00D30158">
        <w:rPr>
          <w:szCs w:val="24"/>
        </w:rPr>
        <w:t>UHC</w:t>
      </w:r>
      <w:r w:rsidRPr="00D30158">
        <w:t xml:space="preserve"> рассчитывался за годы: 2000, 2005, 2010, 2015 и 2017. В 2021 году индекс оценивался за все годы с 2000 по 2019 год и для всех стран.</w:t>
      </w:r>
    </w:p>
    <w:p w:rsidR="0075371E" w:rsidRPr="00721F01" w:rsidRDefault="00721F01" w:rsidP="0075371E">
      <w:pPr>
        <w:pStyle w:val="MText"/>
        <w:rPr>
          <w:b/>
          <w:color w:val="auto"/>
          <w:sz w:val="24"/>
          <w:szCs w:val="24"/>
          <w:lang w:val="ru-RU"/>
        </w:rPr>
      </w:pPr>
      <w:r w:rsidRPr="00721F01">
        <w:rPr>
          <w:b/>
          <w:color w:val="auto"/>
          <w:sz w:val="24"/>
          <w:szCs w:val="24"/>
          <w:lang w:val="ru-RU"/>
        </w:rPr>
        <w:t>Дезагрегация</w:t>
      </w:r>
      <w:r w:rsidR="0075371E" w:rsidRPr="00721F01">
        <w:rPr>
          <w:b/>
          <w:color w:val="auto"/>
          <w:sz w:val="24"/>
          <w:szCs w:val="24"/>
          <w:lang w:val="ru-RU"/>
        </w:rPr>
        <w:t>:</w:t>
      </w:r>
    </w:p>
    <w:p w:rsidR="006A6D4F" w:rsidRPr="00123724" w:rsidRDefault="006A6D4F" w:rsidP="006A6D4F">
      <w:pPr>
        <w:rPr>
          <w:rFonts w:cs="Times New Roman"/>
          <w:szCs w:val="24"/>
        </w:rPr>
      </w:pPr>
      <w:r w:rsidRPr="00123724">
        <w:rPr>
          <w:rFonts w:cs="Times New Roman"/>
          <w:szCs w:val="24"/>
        </w:rPr>
        <w:t xml:space="preserve">Справедливость играет центральную роль в определении UHC, поэтому индекс охвата услуг UHC следует использовать для передачи информации о неравенствах в охвате </w:t>
      </w:r>
      <w:r w:rsidRPr="00123724">
        <w:rPr>
          <w:rFonts w:cs="Times New Roman"/>
          <w:szCs w:val="24"/>
        </w:rPr>
        <w:lastRenderedPageBreak/>
        <w:t>услугами внутри стран. Это можно сделать, представив индекс отдельно для населения страны и малообеспеченных слоев населения, чтобы выявить различия между ними.</w:t>
      </w:r>
    </w:p>
    <w:p w:rsidR="006A6D4F" w:rsidRPr="006A6D4F" w:rsidRDefault="006A6D4F" w:rsidP="006A6D4F">
      <w:pPr>
        <w:rPr>
          <w:rFonts w:cs="Times New Roman"/>
          <w:szCs w:val="24"/>
        </w:rPr>
      </w:pPr>
      <w:r w:rsidRPr="00123724">
        <w:rPr>
          <w:rFonts w:cs="Times New Roman"/>
          <w:szCs w:val="24"/>
        </w:rPr>
        <w:t xml:space="preserve">Для стран географическое местоположение, по всей вероятности, является наиболее осуществимым аспектом для дезагрегации </w:t>
      </w:r>
      <w:r w:rsidR="00FB6F22">
        <w:rPr>
          <w:rFonts w:cs="Times New Roman"/>
          <w:szCs w:val="24"/>
        </w:rPr>
        <w:t xml:space="preserve">на субнациональном уровне </w:t>
      </w:r>
      <w:r w:rsidRPr="00123724">
        <w:rPr>
          <w:rFonts w:cs="Times New Roman"/>
          <w:szCs w:val="24"/>
        </w:rPr>
        <w:t xml:space="preserve">на основе средних уровней охвата, измеренных с использованием существующих источников данных. Для этого индекс UHC может быть вычислен отдельно, например, </w:t>
      </w:r>
      <w:r w:rsidR="00B30674">
        <w:rPr>
          <w:rFonts w:cs="Times New Roman"/>
          <w:szCs w:val="24"/>
        </w:rPr>
        <w:t>по районам страны</w:t>
      </w:r>
      <w:r w:rsidR="00FB6F22">
        <w:rPr>
          <w:rFonts w:cs="Times New Roman"/>
          <w:szCs w:val="24"/>
        </w:rPr>
        <w:t xml:space="preserve"> </w:t>
      </w:r>
      <w:r w:rsidRPr="00123724">
        <w:rPr>
          <w:rFonts w:cs="Times New Roman"/>
          <w:szCs w:val="24"/>
        </w:rPr>
        <w:t xml:space="preserve">или </w:t>
      </w:r>
      <w:r w:rsidR="00FB6F22">
        <w:rPr>
          <w:rFonts w:cs="Times New Roman"/>
          <w:szCs w:val="24"/>
        </w:rPr>
        <w:t xml:space="preserve">по </w:t>
      </w:r>
      <w:r w:rsidRPr="00123724">
        <w:rPr>
          <w:rFonts w:cs="Times New Roman"/>
          <w:szCs w:val="24"/>
        </w:rPr>
        <w:t>города</w:t>
      </w:r>
      <w:r w:rsidR="00FB6F22">
        <w:rPr>
          <w:rFonts w:cs="Times New Roman"/>
          <w:szCs w:val="24"/>
        </w:rPr>
        <w:t>м</w:t>
      </w:r>
      <w:r w:rsidR="00B30674">
        <w:rPr>
          <w:rFonts w:cs="Times New Roman"/>
          <w:szCs w:val="24"/>
        </w:rPr>
        <w:t xml:space="preserve"> и</w:t>
      </w:r>
      <w:r w:rsidRPr="00123724">
        <w:rPr>
          <w:rFonts w:cs="Times New Roman"/>
          <w:szCs w:val="24"/>
        </w:rPr>
        <w:t xml:space="preserve"> сельской местности, что позволит проводить субнациональные сравнения охвата </w:t>
      </w:r>
      <w:r w:rsidR="00B30674">
        <w:rPr>
          <w:rFonts w:cs="Times New Roman"/>
          <w:szCs w:val="24"/>
        </w:rPr>
        <w:t xml:space="preserve">территории </w:t>
      </w:r>
      <w:r w:rsidRPr="00123724">
        <w:rPr>
          <w:rFonts w:cs="Times New Roman"/>
          <w:szCs w:val="24"/>
        </w:rPr>
        <w:t>услугами. В настоящее время наиболее доступными данными для дезагрегации по другим аспектам неравенства, таким как благосостояние домашних хозяйств, является показатель охвата категории репродуктивных, материнских, новорожденных и детей. Неравенство, наблюдаемое в этом измерении, можно использовать в качестве прокси для понимания различий в охвате услугами по ключевым измерениям неравенства. Этот подход следует заменить полной дезагрегацией всех 14 индикаторов показателя, как только данные будут доступны для этого.</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862130" w:rsidRPr="00862130" w:rsidRDefault="00862130" w:rsidP="0075371E">
      <w:pPr>
        <w:pStyle w:val="MText"/>
        <w:rPr>
          <w:b/>
          <w:color w:val="auto"/>
          <w:sz w:val="24"/>
          <w:szCs w:val="24"/>
          <w:lang w:val="ru-RU"/>
        </w:rPr>
      </w:pPr>
      <w:r w:rsidRPr="00862130">
        <w:rPr>
          <w:b/>
          <w:color w:val="auto"/>
          <w:sz w:val="24"/>
          <w:szCs w:val="24"/>
          <w:lang w:val="ru-RU"/>
        </w:rPr>
        <w:t>Источники расхождений:</w:t>
      </w:r>
    </w:p>
    <w:p w:rsidR="002E15F9" w:rsidRDefault="006A6D4F" w:rsidP="0075371E">
      <w:pPr>
        <w:pStyle w:val="MText"/>
        <w:rPr>
          <w:color w:val="auto"/>
          <w:sz w:val="24"/>
          <w:szCs w:val="24"/>
          <w:lang w:val="ru-RU"/>
        </w:rPr>
      </w:pPr>
      <w:r w:rsidRPr="006A6D4F">
        <w:rPr>
          <w:color w:val="auto"/>
          <w:sz w:val="24"/>
          <w:szCs w:val="24"/>
          <w:lang w:val="ru-RU"/>
        </w:rPr>
        <w:t>Индекс охвата услугами основан на существующих общедоступных данных и оценках индикаторов отслеживания. Эти цифры уже прошли процесс консультаций со страной (например, по охвату иммунизацией) или взяты непосредственно из данных, представленных страной.</w:t>
      </w:r>
    </w:p>
    <w:p w:rsidR="00862130" w:rsidRDefault="00862130" w:rsidP="0075371E">
      <w:pPr>
        <w:pStyle w:val="MText"/>
        <w:rPr>
          <w:color w:val="auto"/>
          <w:sz w:val="24"/>
          <w:szCs w:val="24"/>
          <w:lang w:val="ru-RU"/>
        </w:rPr>
      </w:pPr>
    </w:p>
    <w:p w:rsidR="00040034" w:rsidRDefault="00040034" w:rsidP="00040034">
      <w:pPr>
        <w:pBdr>
          <w:bottom w:val="single" w:sz="12" w:space="4" w:color="DDDDDD"/>
        </w:pBdr>
        <w:shd w:val="clear" w:color="auto" w:fill="FFFFFF"/>
        <w:spacing w:after="100"/>
        <w:outlineLvl w:val="2"/>
        <w:rPr>
          <w:rFonts w:eastAsia="Times New Roman" w:cs="Times New Roman"/>
          <w:b/>
          <w:szCs w:val="24"/>
          <w:lang w:eastAsia="en-GB"/>
        </w:rPr>
      </w:pPr>
      <w:r w:rsidRPr="007777D0">
        <w:rPr>
          <w:rFonts w:eastAsia="Times New Roman" w:cs="Times New Roman"/>
          <w:b/>
          <w:szCs w:val="24"/>
          <w:lang w:eastAsia="en-GB"/>
        </w:rPr>
        <w:t xml:space="preserve">7. </w:t>
      </w:r>
      <w:r>
        <w:rPr>
          <w:rFonts w:eastAsia="Times New Roman" w:cs="Times New Roman"/>
          <w:b/>
          <w:szCs w:val="24"/>
          <w:lang w:eastAsia="en-GB"/>
        </w:rPr>
        <w:t>Ссылки</w:t>
      </w:r>
      <w:r w:rsidRPr="007777D0">
        <w:rPr>
          <w:rFonts w:eastAsia="Times New Roman" w:cs="Times New Roman"/>
          <w:b/>
          <w:szCs w:val="24"/>
          <w:lang w:eastAsia="en-GB"/>
        </w:rPr>
        <w:t xml:space="preserve"> </w:t>
      </w:r>
      <w:r>
        <w:rPr>
          <w:rFonts w:eastAsia="Times New Roman" w:cs="Times New Roman"/>
          <w:b/>
          <w:szCs w:val="24"/>
          <w:lang w:eastAsia="en-GB"/>
        </w:rPr>
        <w:t>и</w:t>
      </w:r>
      <w:r w:rsidRPr="007777D0">
        <w:rPr>
          <w:rFonts w:eastAsia="Times New Roman" w:cs="Times New Roman"/>
          <w:b/>
          <w:szCs w:val="24"/>
          <w:lang w:eastAsia="en-GB"/>
        </w:rPr>
        <w:t xml:space="preserve"> </w:t>
      </w:r>
      <w:r>
        <w:rPr>
          <w:rFonts w:eastAsia="Times New Roman" w:cs="Times New Roman"/>
          <w:b/>
          <w:szCs w:val="24"/>
          <w:lang w:eastAsia="en-GB"/>
        </w:rPr>
        <w:t>документы</w:t>
      </w:r>
    </w:p>
    <w:p w:rsidR="00862130" w:rsidRPr="00843DF4" w:rsidRDefault="00E651B8" w:rsidP="00E651B8">
      <w:pPr>
        <w:rPr>
          <w:b/>
        </w:rPr>
      </w:pPr>
      <w:r w:rsidRPr="00843DF4">
        <w:rPr>
          <w:b/>
          <w:lang w:val="en-US"/>
        </w:rPr>
        <w:t>URL</w:t>
      </w:r>
      <w:r w:rsidR="00862130" w:rsidRPr="00843DF4">
        <w:rPr>
          <w:b/>
        </w:rPr>
        <w:t>:</w:t>
      </w:r>
    </w:p>
    <w:p w:rsidR="00862130" w:rsidRPr="00862130" w:rsidRDefault="00276122" w:rsidP="00862130">
      <w:hyperlink r:id="rId14" w:history="1">
        <w:r w:rsidR="00862130" w:rsidRPr="00862130">
          <w:rPr>
            <w:rStyle w:val="ac"/>
            <w:lang w:val="en-US"/>
          </w:rPr>
          <w:t>https</w:t>
        </w:r>
        <w:r w:rsidR="00862130" w:rsidRPr="00862130">
          <w:rPr>
            <w:rStyle w:val="ac"/>
          </w:rPr>
          <w:t>://</w:t>
        </w:r>
        <w:r w:rsidR="00862130" w:rsidRPr="00862130">
          <w:rPr>
            <w:rStyle w:val="ac"/>
            <w:lang w:val="en-US"/>
          </w:rPr>
          <w:t>www</w:t>
        </w:r>
        <w:r w:rsidR="00862130" w:rsidRPr="00862130">
          <w:rPr>
            <w:rStyle w:val="ac"/>
          </w:rPr>
          <w:t>.</w:t>
        </w:r>
        <w:r w:rsidR="00862130" w:rsidRPr="00862130">
          <w:rPr>
            <w:rStyle w:val="ac"/>
            <w:lang w:val="en-US"/>
          </w:rPr>
          <w:t>who</w:t>
        </w:r>
        <w:r w:rsidR="00862130" w:rsidRPr="00862130">
          <w:rPr>
            <w:rStyle w:val="ac"/>
          </w:rPr>
          <w:t>.</w:t>
        </w:r>
        <w:proofErr w:type="spellStart"/>
        <w:r w:rsidR="00862130" w:rsidRPr="00862130">
          <w:rPr>
            <w:rStyle w:val="ac"/>
            <w:lang w:val="en-US"/>
          </w:rPr>
          <w:t>int</w:t>
        </w:r>
        <w:proofErr w:type="spellEnd"/>
        <w:r w:rsidR="00862130" w:rsidRPr="00862130">
          <w:rPr>
            <w:rStyle w:val="ac"/>
          </w:rPr>
          <w:t>/</w:t>
        </w:r>
        <w:r w:rsidR="00862130" w:rsidRPr="00862130">
          <w:rPr>
            <w:rStyle w:val="ac"/>
            <w:lang w:val="en-US"/>
          </w:rPr>
          <w:t>health</w:t>
        </w:r>
        <w:r w:rsidR="00862130" w:rsidRPr="00862130">
          <w:rPr>
            <w:rStyle w:val="ac"/>
          </w:rPr>
          <w:t>-</w:t>
        </w:r>
        <w:r w:rsidR="00862130" w:rsidRPr="00862130">
          <w:rPr>
            <w:rStyle w:val="ac"/>
            <w:lang w:val="en-US"/>
          </w:rPr>
          <w:t>topics</w:t>
        </w:r>
        <w:r w:rsidR="00862130" w:rsidRPr="00862130">
          <w:rPr>
            <w:rStyle w:val="ac"/>
          </w:rPr>
          <w:t>/</w:t>
        </w:r>
        <w:r w:rsidR="00862130" w:rsidRPr="00862130">
          <w:rPr>
            <w:rStyle w:val="ac"/>
            <w:lang w:val="en-US"/>
          </w:rPr>
          <w:t>universal</w:t>
        </w:r>
        <w:r w:rsidR="00862130" w:rsidRPr="00862130">
          <w:rPr>
            <w:rStyle w:val="ac"/>
          </w:rPr>
          <w:t>-</w:t>
        </w:r>
        <w:r w:rsidR="00862130" w:rsidRPr="00862130">
          <w:rPr>
            <w:rStyle w:val="ac"/>
            <w:lang w:val="en-US"/>
          </w:rPr>
          <w:t>health</w:t>
        </w:r>
        <w:r w:rsidR="00862130" w:rsidRPr="00862130">
          <w:rPr>
            <w:rStyle w:val="ac"/>
          </w:rPr>
          <w:t>-</w:t>
        </w:r>
        <w:r w:rsidR="00862130" w:rsidRPr="00862130">
          <w:rPr>
            <w:rStyle w:val="ac"/>
            <w:lang w:val="en-US"/>
          </w:rPr>
          <w:t>coverage</w:t>
        </w:r>
      </w:hyperlink>
    </w:p>
    <w:p w:rsidR="00E651B8" w:rsidRPr="00862130" w:rsidRDefault="00E651B8" w:rsidP="00E651B8">
      <w:pPr>
        <w:rPr>
          <w:b/>
        </w:rPr>
      </w:pPr>
      <w:r w:rsidRPr="00862130">
        <w:rPr>
          <w:b/>
        </w:rPr>
        <w:t>Использованные документы</w:t>
      </w:r>
      <w:r w:rsidR="00862130" w:rsidRPr="00862130">
        <w:rPr>
          <w:b/>
        </w:rPr>
        <w:t>:</w:t>
      </w:r>
    </w:p>
    <w:p w:rsidR="00D600F7" w:rsidRPr="00D600F7" w:rsidRDefault="00276122" w:rsidP="00D600F7">
      <w:pPr>
        <w:spacing w:after="0"/>
      </w:pPr>
      <w:hyperlink r:id="rId15" w:history="1">
        <w:r w:rsidR="00D600F7" w:rsidRPr="00D600F7">
          <w:rPr>
            <w:rStyle w:val="ac"/>
            <w:lang w:val="en-US"/>
          </w:rPr>
          <w:t>https</w:t>
        </w:r>
        <w:r w:rsidR="00D600F7" w:rsidRPr="00D600F7">
          <w:rPr>
            <w:rStyle w:val="ac"/>
          </w:rPr>
          <w:t>://</w:t>
        </w:r>
        <w:r w:rsidR="00D600F7" w:rsidRPr="00D600F7">
          <w:rPr>
            <w:rStyle w:val="ac"/>
            <w:lang w:val="en-US"/>
          </w:rPr>
          <w:t>www</w:t>
        </w:r>
        <w:r w:rsidR="00D600F7" w:rsidRPr="00D600F7">
          <w:rPr>
            <w:rStyle w:val="ac"/>
          </w:rPr>
          <w:t>.</w:t>
        </w:r>
        <w:r w:rsidR="00D600F7" w:rsidRPr="00D600F7">
          <w:rPr>
            <w:rStyle w:val="ac"/>
            <w:lang w:val="en-US"/>
          </w:rPr>
          <w:t>who</w:t>
        </w:r>
        <w:r w:rsidR="00D600F7" w:rsidRPr="00D600F7">
          <w:rPr>
            <w:rStyle w:val="ac"/>
          </w:rPr>
          <w:t>.</w:t>
        </w:r>
        <w:proofErr w:type="spellStart"/>
        <w:r w:rsidR="00D600F7" w:rsidRPr="00D600F7">
          <w:rPr>
            <w:rStyle w:val="ac"/>
            <w:lang w:val="en-US"/>
          </w:rPr>
          <w:t>int</w:t>
        </w:r>
        <w:proofErr w:type="spellEnd"/>
        <w:r w:rsidR="00D600F7" w:rsidRPr="00D600F7">
          <w:rPr>
            <w:rStyle w:val="ac"/>
          </w:rPr>
          <w:t>/</w:t>
        </w:r>
        <w:r w:rsidR="00D600F7" w:rsidRPr="00D600F7">
          <w:rPr>
            <w:rStyle w:val="ac"/>
            <w:lang w:val="en-US"/>
          </w:rPr>
          <w:t>publications</w:t>
        </w:r>
        <w:r w:rsidR="00D600F7" w:rsidRPr="00D600F7">
          <w:rPr>
            <w:rStyle w:val="ac"/>
          </w:rPr>
          <w:t>/</w:t>
        </w:r>
        <w:proofErr w:type="spellStart"/>
        <w:r w:rsidR="00D600F7" w:rsidRPr="00D600F7">
          <w:rPr>
            <w:rStyle w:val="ac"/>
            <w:lang w:val="en-US"/>
          </w:rPr>
          <w:t>i</w:t>
        </w:r>
        <w:proofErr w:type="spellEnd"/>
        <w:r w:rsidR="00D600F7" w:rsidRPr="00D600F7">
          <w:rPr>
            <w:rStyle w:val="ac"/>
          </w:rPr>
          <w:t>/</w:t>
        </w:r>
        <w:r w:rsidR="00D600F7" w:rsidRPr="00D600F7">
          <w:rPr>
            <w:rStyle w:val="ac"/>
            <w:lang w:val="en-US"/>
          </w:rPr>
          <w:t>item</w:t>
        </w:r>
        <w:r w:rsidR="00D600F7" w:rsidRPr="00D600F7">
          <w:rPr>
            <w:rStyle w:val="ac"/>
          </w:rPr>
          <w:t>/</w:t>
        </w:r>
        <w:r w:rsidR="00D600F7" w:rsidRPr="00D600F7">
          <w:rPr>
            <w:rStyle w:val="ac"/>
            <w:lang w:val="en-US"/>
          </w:rPr>
          <w:t>tracking</w:t>
        </w:r>
        <w:r w:rsidR="00D600F7" w:rsidRPr="00D600F7">
          <w:rPr>
            <w:rStyle w:val="ac"/>
          </w:rPr>
          <w:t>-</w:t>
        </w:r>
        <w:r w:rsidR="00D600F7" w:rsidRPr="00D600F7">
          <w:rPr>
            <w:rStyle w:val="ac"/>
            <w:lang w:val="en-US"/>
          </w:rPr>
          <w:t>universal</w:t>
        </w:r>
        <w:r w:rsidR="00D600F7" w:rsidRPr="00D600F7">
          <w:rPr>
            <w:rStyle w:val="ac"/>
          </w:rPr>
          <w:t>-</w:t>
        </w:r>
        <w:r w:rsidR="00D600F7" w:rsidRPr="00D600F7">
          <w:rPr>
            <w:rStyle w:val="ac"/>
            <w:lang w:val="en-US"/>
          </w:rPr>
          <w:t>health</w:t>
        </w:r>
        <w:r w:rsidR="00D600F7" w:rsidRPr="00D600F7">
          <w:rPr>
            <w:rStyle w:val="ac"/>
          </w:rPr>
          <w:t>-</w:t>
        </w:r>
        <w:r w:rsidR="00D600F7" w:rsidRPr="00D600F7">
          <w:rPr>
            <w:rStyle w:val="ac"/>
            <w:lang w:val="en-US"/>
          </w:rPr>
          <w:t>coverage</w:t>
        </w:r>
      </w:hyperlink>
      <w:r w:rsidR="00D600F7" w:rsidRPr="00D600F7">
        <w:t xml:space="preserve"> </w:t>
      </w:r>
    </w:p>
    <w:p w:rsidR="00D600F7" w:rsidRPr="00D600F7" w:rsidRDefault="00276122" w:rsidP="00D600F7">
      <w:pPr>
        <w:spacing w:after="0"/>
      </w:pPr>
      <w:hyperlink r:id="rId16" w:tgtFrame="_blank" w:history="1">
        <w:r w:rsidR="00D600F7" w:rsidRPr="00D600F7">
          <w:rPr>
            <w:rStyle w:val="ac"/>
            <w:lang w:val="en-US"/>
          </w:rPr>
          <w:t>http</w:t>
        </w:r>
        <w:r w:rsidR="00D600F7" w:rsidRPr="00D600F7">
          <w:rPr>
            <w:rStyle w:val="ac"/>
          </w:rPr>
          <w:t>://</w:t>
        </w:r>
        <w:r w:rsidR="00D600F7" w:rsidRPr="00D600F7">
          <w:rPr>
            <w:rStyle w:val="ac"/>
            <w:lang w:val="en-US"/>
          </w:rPr>
          <w:t>www</w:t>
        </w:r>
        <w:r w:rsidR="00D600F7" w:rsidRPr="00D600F7">
          <w:rPr>
            <w:rStyle w:val="ac"/>
          </w:rPr>
          <w:t>.</w:t>
        </w:r>
        <w:r w:rsidR="00D600F7" w:rsidRPr="00D600F7">
          <w:rPr>
            <w:rStyle w:val="ac"/>
            <w:lang w:val="en-US"/>
          </w:rPr>
          <w:t>thelancet</w:t>
        </w:r>
        <w:r w:rsidR="00D600F7" w:rsidRPr="00D600F7">
          <w:rPr>
            <w:rStyle w:val="ac"/>
          </w:rPr>
          <w:t>.</w:t>
        </w:r>
        <w:r w:rsidR="00D600F7" w:rsidRPr="00D600F7">
          <w:rPr>
            <w:rStyle w:val="ac"/>
            <w:lang w:val="en-US"/>
          </w:rPr>
          <w:t>com</w:t>
        </w:r>
        <w:r w:rsidR="00D600F7" w:rsidRPr="00D600F7">
          <w:rPr>
            <w:rStyle w:val="ac"/>
          </w:rPr>
          <w:t>/</w:t>
        </w:r>
        <w:r w:rsidR="00D600F7" w:rsidRPr="00D600F7">
          <w:rPr>
            <w:rStyle w:val="ac"/>
            <w:lang w:val="en-US"/>
          </w:rPr>
          <w:t>pdfs</w:t>
        </w:r>
        <w:r w:rsidR="00D600F7" w:rsidRPr="00D600F7">
          <w:rPr>
            <w:rStyle w:val="ac"/>
          </w:rPr>
          <w:t>/</w:t>
        </w:r>
        <w:r w:rsidR="00D600F7" w:rsidRPr="00D600F7">
          <w:rPr>
            <w:rStyle w:val="ac"/>
            <w:lang w:val="en-US"/>
          </w:rPr>
          <w:t>journals</w:t>
        </w:r>
        <w:r w:rsidR="00D600F7" w:rsidRPr="00D600F7">
          <w:rPr>
            <w:rStyle w:val="ac"/>
          </w:rPr>
          <w:t>/</w:t>
        </w:r>
        <w:r w:rsidR="00D600F7" w:rsidRPr="00D600F7">
          <w:rPr>
            <w:rStyle w:val="ac"/>
            <w:lang w:val="en-US"/>
          </w:rPr>
          <w:t>langlo</w:t>
        </w:r>
        <w:r w:rsidR="00D600F7" w:rsidRPr="00D600F7">
          <w:rPr>
            <w:rStyle w:val="ac"/>
          </w:rPr>
          <w:t>/</w:t>
        </w:r>
        <w:r w:rsidR="00D600F7" w:rsidRPr="00D600F7">
          <w:rPr>
            <w:rStyle w:val="ac"/>
            <w:lang w:val="en-US"/>
          </w:rPr>
          <w:t>PIIS</w:t>
        </w:r>
        <w:r w:rsidR="00D600F7" w:rsidRPr="00D600F7">
          <w:rPr>
            <w:rStyle w:val="ac"/>
          </w:rPr>
          <w:t>2214-109</w:t>
        </w:r>
        <w:r w:rsidR="00D600F7" w:rsidRPr="00D600F7">
          <w:rPr>
            <w:rStyle w:val="ac"/>
            <w:lang w:val="en-US"/>
          </w:rPr>
          <w:t>X</w:t>
        </w:r>
        <w:r w:rsidR="00D600F7" w:rsidRPr="00D600F7">
          <w:rPr>
            <w:rStyle w:val="ac"/>
          </w:rPr>
          <w:t>(17)30472-2.</w:t>
        </w:r>
        <w:r w:rsidR="00D600F7" w:rsidRPr="00D600F7">
          <w:rPr>
            <w:rStyle w:val="ac"/>
            <w:lang w:val="en-US"/>
          </w:rPr>
          <w:t>pdf</w:t>
        </w:r>
      </w:hyperlink>
      <w:r w:rsidR="00D600F7" w:rsidRPr="00D600F7">
        <w:rPr>
          <w:lang w:val="en-US"/>
        </w:rPr>
        <w:t> </w:t>
      </w:r>
    </w:p>
    <w:p w:rsidR="00D600F7" w:rsidRDefault="00276122" w:rsidP="00D600F7">
      <w:pPr>
        <w:spacing w:after="0"/>
      </w:pPr>
      <w:hyperlink r:id="rId17" w:history="1">
        <w:r w:rsidR="00D600F7" w:rsidRPr="00D600F7">
          <w:rPr>
            <w:rStyle w:val="ac"/>
            <w:lang w:val="en-US"/>
          </w:rPr>
          <w:t>https</w:t>
        </w:r>
        <w:r w:rsidR="00D600F7" w:rsidRPr="00D600F7">
          <w:rPr>
            <w:rStyle w:val="ac"/>
          </w:rPr>
          <w:t>://</w:t>
        </w:r>
        <w:r w:rsidR="00D600F7" w:rsidRPr="00D600F7">
          <w:rPr>
            <w:rStyle w:val="ac"/>
            <w:lang w:val="en-US"/>
          </w:rPr>
          <w:t>www</w:t>
        </w:r>
        <w:r w:rsidR="00D600F7" w:rsidRPr="00D600F7">
          <w:rPr>
            <w:rStyle w:val="ac"/>
          </w:rPr>
          <w:t>.</w:t>
        </w:r>
        <w:r w:rsidR="00D600F7" w:rsidRPr="00D600F7">
          <w:rPr>
            <w:rStyle w:val="ac"/>
            <w:lang w:val="en-US"/>
          </w:rPr>
          <w:t>who</w:t>
        </w:r>
        <w:r w:rsidR="00D600F7" w:rsidRPr="00D600F7">
          <w:rPr>
            <w:rStyle w:val="ac"/>
          </w:rPr>
          <w:t>.</w:t>
        </w:r>
        <w:proofErr w:type="spellStart"/>
        <w:r w:rsidR="00D600F7" w:rsidRPr="00D600F7">
          <w:rPr>
            <w:rStyle w:val="ac"/>
            <w:lang w:val="en-US"/>
          </w:rPr>
          <w:t>int</w:t>
        </w:r>
        <w:proofErr w:type="spellEnd"/>
        <w:r w:rsidR="00D600F7" w:rsidRPr="00D600F7">
          <w:rPr>
            <w:rStyle w:val="ac"/>
          </w:rPr>
          <w:t>/</w:t>
        </w:r>
        <w:r w:rsidR="00D600F7" w:rsidRPr="00D600F7">
          <w:rPr>
            <w:rStyle w:val="ac"/>
            <w:lang w:val="en-US"/>
          </w:rPr>
          <w:t>health</w:t>
        </w:r>
        <w:r w:rsidR="00D600F7" w:rsidRPr="00D600F7">
          <w:rPr>
            <w:rStyle w:val="ac"/>
          </w:rPr>
          <w:t>-</w:t>
        </w:r>
        <w:r w:rsidR="00D600F7" w:rsidRPr="00D600F7">
          <w:rPr>
            <w:rStyle w:val="ac"/>
            <w:lang w:val="en-US"/>
          </w:rPr>
          <w:t>topics</w:t>
        </w:r>
        <w:r w:rsidR="00D600F7" w:rsidRPr="00D600F7">
          <w:rPr>
            <w:rStyle w:val="ac"/>
          </w:rPr>
          <w:t>/</w:t>
        </w:r>
        <w:r w:rsidR="00D600F7" w:rsidRPr="00D600F7">
          <w:rPr>
            <w:rStyle w:val="ac"/>
            <w:lang w:val="en-US"/>
          </w:rPr>
          <w:t>universal</w:t>
        </w:r>
        <w:r w:rsidR="00D600F7" w:rsidRPr="00D600F7">
          <w:rPr>
            <w:rStyle w:val="ac"/>
          </w:rPr>
          <w:t>-</w:t>
        </w:r>
        <w:r w:rsidR="00D600F7" w:rsidRPr="00D600F7">
          <w:rPr>
            <w:rStyle w:val="ac"/>
            <w:lang w:val="en-US"/>
          </w:rPr>
          <w:t>health</w:t>
        </w:r>
        <w:r w:rsidR="00D600F7" w:rsidRPr="00D600F7">
          <w:rPr>
            <w:rStyle w:val="ac"/>
          </w:rPr>
          <w:t>-</w:t>
        </w:r>
        <w:r w:rsidR="00D600F7" w:rsidRPr="00D600F7">
          <w:rPr>
            <w:rStyle w:val="ac"/>
            <w:lang w:val="en-US"/>
          </w:rPr>
          <w:t>coverage</w:t>
        </w:r>
      </w:hyperlink>
    </w:p>
    <w:p w:rsidR="00D600F7" w:rsidRDefault="00D600F7" w:rsidP="00E651B8"/>
    <w:p w:rsidR="00D600F7" w:rsidRPr="00D600F7" w:rsidRDefault="00E651B8" w:rsidP="00D600F7">
      <w:pPr>
        <w:spacing w:after="0"/>
      </w:pPr>
      <w:r>
        <w:t>Ретроспективное</w:t>
      </w:r>
      <w:r w:rsidRPr="00E651B8">
        <w:rPr>
          <w:lang w:val="en-US"/>
        </w:rPr>
        <w:t> </w:t>
      </w:r>
      <w:r w:rsidRPr="00E651B8">
        <w:t>развитие</w:t>
      </w:r>
      <w:r w:rsidRPr="00E651B8">
        <w:rPr>
          <w:lang w:val="en-US"/>
        </w:rPr>
        <w:t> </w:t>
      </w:r>
      <w:r w:rsidRPr="00E651B8">
        <w:t>методов</w:t>
      </w:r>
      <w:r w:rsidRPr="00E651B8">
        <w:rPr>
          <w:lang w:val="en-US"/>
        </w:rPr>
        <w:t> </w:t>
      </w:r>
      <w:r w:rsidR="00D600F7">
        <w:t xml:space="preserve">см.: </w:t>
      </w:r>
      <w:hyperlink r:id="rId18" w:history="1">
        <w:r w:rsidR="00D600F7" w:rsidRPr="00D600F7">
          <w:rPr>
            <w:rStyle w:val="ac"/>
            <w:lang w:val="en-US"/>
          </w:rPr>
          <w:t>https</w:t>
        </w:r>
        <w:r w:rsidR="00D600F7" w:rsidRPr="00D600F7">
          <w:rPr>
            <w:rStyle w:val="ac"/>
          </w:rPr>
          <w:t>://</w:t>
        </w:r>
        <w:r w:rsidR="00D600F7" w:rsidRPr="00D600F7">
          <w:rPr>
            <w:rStyle w:val="ac"/>
            <w:lang w:val="en-US"/>
          </w:rPr>
          <w:t>www</w:t>
        </w:r>
        <w:r w:rsidR="00D600F7" w:rsidRPr="00D600F7">
          <w:rPr>
            <w:rStyle w:val="ac"/>
          </w:rPr>
          <w:t>.</w:t>
        </w:r>
        <w:r w:rsidR="00D600F7" w:rsidRPr="00D600F7">
          <w:rPr>
            <w:rStyle w:val="ac"/>
            <w:lang w:val="en-US"/>
          </w:rPr>
          <w:t>who</w:t>
        </w:r>
        <w:r w:rsidR="00D600F7" w:rsidRPr="00D600F7">
          <w:rPr>
            <w:rStyle w:val="ac"/>
          </w:rPr>
          <w:t>.</w:t>
        </w:r>
        <w:proofErr w:type="spellStart"/>
        <w:r w:rsidR="00D600F7" w:rsidRPr="00D600F7">
          <w:rPr>
            <w:rStyle w:val="ac"/>
            <w:lang w:val="en-US"/>
          </w:rPr>
          <w:t>int</w:t>
        </w:r>
        <w:proofErr w:type="spellEnd"/>
        <w:r w:rsidR="00D600F7" w:rsidRPr="00D600F7">
          <w:rPr>
            <w:rStyle w:val="ac"/>
          </w:rPr>
          <w:t>/</w:t>
        </w:r>
        <w:r w:rsidR="00D600F7" w:rsidRPr="00D600F7">
          <w:rPr>
            <w:rStyle w:val="ac"/>
            <w:lang w:val="en-US"/>
          </w:rPr>
          <w:t>publications</w:t>
        </w:r>
        <w:r w:rsidR="00D600F7" w:rsidRPr="00D600F7">
          <w:rPr>
            <w:rStyle w:val="ac"/>
          </w:rPr>
          <w:t>/</w:t>
        </w:r>
        <w:proofErr w:type="spellStart"/>
        <w:r w:rsidR="00D600F7" w:rsidRPr="00D600F7">
          <w:rPr>
            <w:rStyle w:val="ac"/>
            <w:lang w:val="en-US"/>
          </w:rPr>
          <w:t>i</w:t>
        </w:r>
        <w:proofErr w:type="spellEnd"/>
        <w:r w:rsidR="00D600F7" w:rsidRPr="00D600F7">
          <w:rPr>
            <w:rStyle w:val="ac"/>
          </w:rPr>
          <w:t>/</w:t>
        </w:r>
        <w:r w:rsidR="00D600F7" w:rsidRPr="00D600F7">
          <w:rPr>
            <w:rStyle w:val="ac"/>
            <w:lang w:val="en-US"/>
          </w:rPr>
          <w:t>item</w:t>
        </w:r>
        <w:r w:rsidR="00D600F7" w:rsidRPr="00D600F7">
          <w:rPr>
            <w:rStyle w:val="ac"/>
          </w:rPr>
          <w:t>/9789241565264</w:t>
        </w:r>
      </w:hyperlink>
      <w:r w:rsidR="00D600F7" w:rsidRPr="00D600F7">
        <w:t xml:space="preserve"> </w:t>
      </w:r>
    </w:p>
    <w:p w:rsidR="00D600F7" w:rsidRPr="00D600F7" w:rsidRDefault="00276122" w:rsidP="00D600F7">
      <w:pPr>
        <w:spacing w:after="0"/>
      </w:pPr>
      <w:hyperlink r:id="rId19" w:history="1">
        <w:r w:rsidR="00D600F7" w:rsidRPr="00D600F7">
          <w:rPr>
            <w:rStyle w:val="ac"/>
            <w:lang w:val="en-US"/>
          </w:rPr>
          <w:t>https</w:t>
        </w:r>
        <w:r w:rsidR="00D600F7" w:rsidRPr="00D600F7">
          <w:rPr>
            <w:rStyle w:val="ac"/>
          </w:rPr>
          <w:t>://</w:t>
        </w:r>
        <w:r w:rsidR="00D600F7" w:rsidRPr="00D600F7">
          <w:rPr>
            <w:rStyle w:val="ac"/>
            <w:lang w:val="en-US"/>
          </w:rPr>
          <w:t>www</w:t>
        </w:r>
        <w:r w:rsidR="00D600F7" w:rsidRPr="00D600F7">
          <w:rPr>
            <w:rStyle w:val="ac"/>
          </w:rPr>
          <w:t>.</w:t>
        </w:r>
        <w:r w:rsidR="00D600F7" w:rsidRPr="00D600F7">
          <w:rPr>
            <w:rStyle w:val="ac"/>
            <w:lang w:val="en-US"/>
          </w:rPr>
          <w:t>who</w:t>
        </w:r>
        <w:r w:rsidR="00D600F7" w:rsidRPr="00D600F7">
          <w:rPr>
            <w:rStyle w:val="ac"/>
          </w:rPr>
          <w:t>.</w:t>
        </w:r>
        <w:proofErr w:type="spellStart"/>
        <w:r w:rsidR="00D600F7" w:rsidRPr="00D600F7">
          <w:rPr>
            <w:rStyle w:val="ac"/>
            <w:lang w:val="en-US"/>
          </w:rPr>
          <w:t>int</w:t>
        </w:r>
        <w:proofErr w:type="spellEnd"/>
        <w:r w:rsidR="00D600F7" w:rsidRPr="00D600F7">
          <w:rPr>
            <w:rStyle w:val="ac"/>
          </w:rPr>
          <w:t>/</w:t>
        </w:r>
        <w:r w:rsidR="00D600F7" w:rsidRPr="00D600F7">
          <w:rPr>
            <w:rStyle w:val="ac"/>
            <w:lang w:val="en-US"/>
          </w:rPr>
          <w:t>publications</w:t>
        </w:r>
        <w:r w:rsidR="00D600F7" w:rsidRPr="00D600F7">
          <w:rPr>
            <w:rStyle w:val="ac"/>
          </w:rPr>
          <w:t>/</w:t>
        </w:r>
        <w:proofErr w:type="spellStart"/>
        <w:r w:rsidR="00D600F7" w:rsidRPr="00D600F7">
          <w:rPr>
            <w:rStyle w:val="ac"/>
            <w:lang w:val="en-US"/>
          </w:rPr>
          <w:t>i</w:t>
        </w:r>
        <w:proofErr w:type="spellEnd"/>
        <w:r w:rsidR="00D600F7" w:rsidRPr="00D600F7">
          <w:rPr>
            <w:rStyle w:val="ac"/>
          </w:rPr>
          <w:t>/</w:t>
        </w:r>
        <w:r w:rsidR="00D600F7" w:rsidRPr="00D600F7">
          <w:rPr>
            <w:rStyle w:val="ac"/>
            <w:lang w:val="en-US"/>
          </w:rPr>
          <w:t>item</w:t>
        </w:r>
        <w:r w:rsidR="00D600F7" w:rsidRPr="00D600F7">
          <w:rPr>
            <w:rStyle w:val="ac"/>
          </w:rPr>
          <w:t>/</w:t>
        </w:r>
        <w:r w:rsidR="00D600F7" w:rsidRPr="00D600F7">
          <w:rPr>
            <w:rStyle w:val="ac"/>
            <w:lang w:val="en-US"/>
          </w:rPr>
          <w:t>monitoring</w:t>
        </w:r>
        <w:r w:rsidR="00D600F7" w:rsidRPr="00D600F7">
          <w:rPr>
            <w:rStyle w:val="ac"/>
          </w:rPr>
          <w:t>-</w:t>
        </w:r>
        <w:r w:rsidR="00D600F7" w:rsidRPr="00D600F7">
          <w:rPr>
            <w:rStyle w:val="ac"/>
            <w:lang w:val="en-US"/>
          </w:rPr>
          <w:t>progress</w:t>
        </w:r>
        <w:r w:rsidR="00D600F7" w:rsidRPr="00D600F7">
          <w:rPr>
            <w:rStyle w:val="ac"/>
          </w:rPr>
          <w:t>-</w:t>
        </w:r>
        <w:r w:rsidR="00D600F7" w:rsidRPr="00D600F7">
          <w:rPr>
            <w:rStyle w:val="ac"/>
            <w:lang w:val="en-US"/>
          </w:rPr>
          <w:t>towards</w:t>
        </w:r>
        <w:r w:rsidR="00D600F7" w:rsidRPr="00D600F7">
          <w:rPr>
            <w:rStyle w:val="ac"/>
          </w:rPr>
          <w:t>-</w:t>
        </w:r>
        <w:r w:rsidR="00D600F7" w:rsidRPr="00D600F7">
          <w:rPr>
            <w:rStyle w:val="ac"/>
            <w:lang w:val="en-US"/>
          </w:rPr>
          <w:t>universal</w:t>
        </w:r>
        <w:r w:rsidR="00D600F7" w:rsidRPr="00D600F7">
          <w:rPr>
            <w:rStyle w:val="ac"/>
          </w:rPr>
          <w:t>-</w:t>
        </w:r>
        <w:r w:rsidR="00D600F7" w:rsidRPr="00D600F7">
          <w:rPr>
            <w:rStyle w:val="ac"/>
            <w:lang w:val="en-US"/>
          </w:rPr>
          <w:t>health</w:t>
        </w:r>
        <w:r w:rsidR="00D600F7" w:rsidRPr="00D600F7">
          <w:rPr>
            <w:rStyle w:val="ac"/>
          </w:rPr>
          <w:t>-</w:t>
        </w:r>
        <w:r w:rsidR="00D600F7" w:rsidRPr="00D600F7">
          <w:rPr>
            <w:rStyle w:val="ac"/>
            <w:lang w:val="en-US"/>
          </w:rPr>
          <w:t>coverage</w:t>
        </w:r>
        <w:r w:rsidR="00D600F7" w:rsidRPr="00D600F7">
          <w:rPr>
            <w:rStyle w:val="ac"/>
          </w:rPr>
          <w:t>-</w:t>
        </w:r>
        <w:r w:rsidR="00D600F7" w:rsidRPr="00D600F7">
          <w:rPr>
            <w:rStyle w:val="ac"/>
            <w:lang w:val="en-US"/>
          </w:rPr>
          <w:t>at</w:t>
        </w:r>
        <w:r w:rsidR="00D600F7" w:rsidRPr="00D600F7">
          <w:rPr>
            <w:rStyle w:val="ac"/>
          </w:rPr>
          <w:t>-</w:t>
        </w:r>
        <w:r w:rsidR="00D600F7" w:rsidRPr="00D600F7">
          <w:rPr>
            <w:rStyle w:val="ac"/>
            <w:lang w:val="en-US"/>
          </w:rPr>
          <w:t>country</w:t>
        </w:r>
        <w:r w:rsidR="00D600F7" w:rsidRPr="00D600F7">
          <w:rPr>
            <w:rStyle w:val="ac"/>
          </w:rPr>
          <w:t>-</w:t>
        </w:r>
        <w:r w:rsidR="00D600F7" w:rsidRPr="00D600F7">
          <w:rPr>
            <w:rStyle w:val="ac"/>
            <w:lang w:val="en-US"/>
          </w:rPr>
          <w:t>and</w:t>
        </w:r>
        <w:r w:rsidR="00D600F7" w:rsidRPr="00D600F7">
          <w:rPr>
            <w:rStyle w:val="ac"/>
          </w:rPr>
          <w:t>-</w:t>
        </w:r>
        <w:r w:rsidR="00D600F7" w:rsidRPr="00D600F7">
          <w:rPr>
            <w:rStyle w:val="ac"/>
            <w:lang w:val="en-US"/>
          </w:rPr>
          <w:t>global</w:t>
        </w:r>
        <w:r w:rsidR="00D600F7" w:rsidRPr="00D600F7">
          <w:rPr>
            <w:rStyle w:val="ac"/>
          </w:rPr>
          <w:t>-</w:t>
        </w:r>
        <w:r w:rsidR="00D600F7" w:rsidRPr="00D600F7">
          <w:rPr>
            <w:rStyle w:val="ac"/>
            <w:lang w:val="en-US"/>
          </w:rPr>
          <w:t>levels</w:t>
        </w:r>
        <w:r w:rsidR="00D600F7" w:rsidRPr="00D600F7">
          <w:rPr>
            <w:rStyle w:val="ac"/>
          </w:rPr>
          <w:t>-</w:t>
        </w:r>
        <w:r w:rsidR="00D600F7" w:rsidRPr="00D600F7">
          <w:rPr>
            <w:rStyle w:val="ac"/>
            <w:lang w:val="en-US"/>
          </w:rPr>
          <w:t>framework</w:t>
        </w:r>
        <w:r w:rsidR="00D600F7" w:rsidRPr="00D600F7">
          <w:rPr>
            <w:rStyle w:val="ac"/>
          </w:rPr>
          <w:t>-</w:t>
        </w:r>
        <w:r w:rsidR="00D600F7" w:rsidRPr="00D600F7">
          <w:rPr>
            <w:rStyle w:val="ac"/>
            <w:lang w:val="en-US"/>
          </w:rPr>
          <w:t>measures</w:t>
        </w:r>
        <w:r w:rsidR="00D600F7" w:rsidRPr="00D600F7">
          <w:rPr>
            <w:rStyle w:val="ac"/>
          </w:rPr>
          <w:t>-</w:t>
        </w:r>
        <w:r w:rsidR="00D600F7" w:rsidRPr="00D600F7">
          <w:rPr>
            <w:rStyle w:val="ac"/>
            <w:lang w:val="en-US"/>
          </w:rPr>
          <w:t>and</w:t>
        </w:r>
        <w:r w:rsidR="00D600F7" w:rsidRPr="00D600F7">
          <w:rPr>
            <w:rStyle w:val="ac"/>
          </w:rPr>
          <w:t>-</w:t>
        </w:r>
        <w:r w:rsidR="00D600F7" w:rsidRPr="00D600F7">
          <w:rPr>
            <w:rStyle w:val="ac"/>
            <w:lang w:val="en-US"/>
          </w:rPr>
          <w:t>targets</w:t>
        </w:r>
      </w:hyperlink>
      <w:r w:rsidR="00D600F7" w:rsidRPr="00D600F7">
        <w:t xml:space="preserve"> </w:t>
      </w:r>
    </w:p>
    <w:p w:rsidR="00537510" w:rsidRPr="00D600F7" w:rsidRDefault="00276122" w:rsidP="00D600F7">
      <w:pPr>
        <w:spacing w:after="0"/>
      </w:pPr>
      <w:hyperlink r:id="rId20" w:tgtFrame="_blank" w:history="1">
        <w:r w:rsidR="00D600F7" w:rsidRPr="00D600F7">
          <w:rPr>
            <w:rStyle w:val="ac"/>
            <w:lang w:val="en-GB"/>
          </w:rPr>
          <w:t>http</w:t>
        </w:r>
        <w:r w:rsidR="00D600F7" w:rsidRPr="00D600F7">
          <w:rPr>
            <w:rStyle w:val="ac"/>
          </w:rPr>
          <w:t>://</w:t>
        </w:r>
        <w:r w:rsidR="00D600F7" w:rsidRPr="00D600F7">
          <w:rPr>
            <w:rStyle w:val="ac"/>
            <w:lang w:val="en-GB"/>
          </w:rPr>
          <w:t>collections</w:t>
        </w:r>
        <w:r w:rsidR="00D600F7" w:rsidRPr="00D600F7">
          <w:rPr>
            <w:rStyle w:val="ac"/>
          </w:rPr>
          <w:t>.</w:t>
        </w:r>
        <w:proofErr w:type="spellStart"/>
        <w:r w:rsidR="00D600F7" w:rsidRPr="00D600F7">
          <w:rPr>
            <w:rStyle w:val="ac"/>
            <w:lang w:val="en-GB"/>
          </w:rPr>
          <w:t>plos</w:t>
        </w:r>
        <w:proofErr w:type="spellEnd"/>
        <w:r w:rsidR="00D600F7" w:rsidRPr="00D600F7">
          <w:rPr>
            <w:rStyle w:val="ac"/>
          </w:rPr>
          <w:t>.</w:t>
        </w:r>
        <w:r w:rsidR="00D600F7" w:rsidRPr="00D600F7">
          <w:rPr>
            <w:rStyle w:val="ac"/>
            <w:lang w:val="en-GB"/>
          </w:rPr>
          <w:t>org</w:t>
        </w:r>
        <w:r w:rsidR="00D600F7" w:rsidRPr="00D600F7">
          <w:rPr>
            <w:rStyle w:val="ac"/>
          </w:rPr>
          <w:t>/</w:t>
        </w:r>
        <w:proofErr w:type="spellStart"/>
        <w:r w:rsidR="00D600F7" w:rsidRPr="00D600F7">
          <w:rPr>
            <w:rStyle w:val="ac"/>
            <w:lang w:val="en-GB"/>
          </w:rPr>
          <w:t>uhc</w:t>
        </w:r>
        <w:proofErr w:type="spellEnd"/>
        <w:r w:rsidR="00D600F7" w:rsidRPr="00D600F7">
          <w:rPr>
            <w:rStyle w:val="ac"/>
          </w:rPr>
          <w:t>2014</w:t>
        </w:r>
      </w:hyperlink>
    </w:p>
    <w:p w:rsidR="00537510" w:rsidRDefault="00537510">
      <w:pPr>
        <w:jc w:val="left"/>
      </w:pPr>
      <w:r>
        <w:br w:type="page"/>
      </w:r>
    </w:p>
    <w:p w:rsidR="00E651B8" w:rsidRPr="007777D0" w:rsidRDefault="00537510" w:rsidP="00537510">
      <w:pPr>
        <w:pStyle w:val="MHeader"/>
        <w:rPr>
          <w:lang w:val="ru-RU"/>
        </w:rPr>
      </w:pPr>
      <w:r w:rsidRPr="007777D0">
        <w:rPr>
          <w:lang w:val="ru-RU"/>
        </w:rPr>
        <w:lastRenderedPageBreak/>
        <w:t>Приложение 1: Метаданные индикаторов, используемых для измерения охвата основными услугами здравоохранения для мониторинга показателя 3.8.1 ЦУР.</w:t>
      </w:r>
    </w:p>
    <w:p w:rsidR="00537510" w:rsidRDefault="00537510" w:rsidP="00537510">
      <w:r w:rsidRPr="00537510">
        <w:t xml:space="preserve">Пожалуйста, направляйте любые комментарии или вопросы по адресу: </w:t>
      </w:r>
      <w:hyperlink r:id="rId21" w:history="1">
        <w:r w:rsidRPr="00700104">
          <w:rPr>
            <w:rStyle w:val="ac"/>
          </w:rPr>
          <w:t>uhc_stats@who.int</w:t>
        </w:r>
      </w:hyperlink>
    </w:p>
    <w:tbl>
      <w:tblPr>
        <w:tblStyle w:val="aa"/>
        <w:tblW w:w="0" w:type="auto"/>
        <w:tblLayout w:type="fixed"/>
        <w:tblLook w:val="04A0" w:firstRow="1" w:lastRow="0" w:firstColumn="1" w:lastColumn="0" w:noHBand="0" w:noVBand="1"/>
      </w:tblPr>
      <w:tblGrid>
        <w:gridCol w:w="1809"/>
        <w:gridCol w:w="7762"/>
      </w:tblGrid>
      <w:tr w:rsidR="00537510" w:rsidRPr="00123724" w:rsidTr="00537510">
        <w:tc>
          <w:tcPr>
            <w:tcW w:w="1809" w:type="dxa"/>
          </w:tcPr>
          <w:p w:rsidR="00537510" w:rsidRPr="00123724" w:rsidRDefault="00537510" w:rsidP="00537510">
            <w:pPr>
              <w:rPr>
                <w:rFonts w:cs="Times New Roman"/>
                <w:szCs w:val="24"/>
              </w:rPr>
            </w:pPr>
            <w:r w:rsidRPr="00123724">
              <w:rPr>
                <w:rFonts w:cs="Times New Roman"/>
                <w:szCs w:val="24"/>
              </w:rPr>
              <w:t>Область индикатора</w:t>
            </w:r>
          </w:p>
        </w:tc>
        <w:tc>
          <w:tcPr>
            <w:tcW w:w="7762" w:type="dxa"/>
          </w:tcPr>
          <w:p w:rsidR="00537510" w:rsidRPr="00123724" w:rsidRDefault="00537510" w:rsidP="00537510">
            <w:pPr>
              <w:rPr>
                <w:rFonts w:cs="Times New Roman"/>
                <w:szCs w:val="24"/>
              </w:rPr>
            </w:pPr>
            <w:r w:rsidRPr="00123724">
              <w:rPr>
                <w:rFonts w:cs="Times New Roman"/>
                <w:szCs w:val="24"/>
              </w:rPr>
              <w:t>Планирование семьи</w:t>
            </w:r>
          </w:p>
        </w:tc>
      </w:tr>
      <w:tr w:rsidR="00537510" w:rsidRPr="00123724" w:rsidTr="00537510">
        <w:tc>
          <w:tcPr>
            <w:tcW w:w="1809" w:type="dxa"/>
          </w:tcPr>
          <w:p w:rsidR="00537510" w:rsidRPr="00123724" w:rsidRDefault="00537510" w:rsidP="00537510">
            <w:pPr>
              <w:rPr>
                <w:rFonts w:cs="Times New Roman"/>
                <w:szCs w:val="24"/>
              </w:rPr>
            </w:pPr>
            <w:r w:rsidRPr="00123724">
              <w:rPr>
                <w:rFonts w:cs="Times New Roman"/>
                <w:szCs w:val="24"/>
              </w:rPr>
              <w:t>Определение индикатора</w:t>
            </w:r>
          </w:p>
        </w:tc>
        <w:tc>
          <w:tcPr>
            <w:tcW w:w="7762" w:type="dxa"/>
          </w:tcPr>
          <w:p w:rsidR="00537510" w:rsidRPr="00123724" w:rsidRDefault="00537510" w:rsidP="00537510">
            <w:pPr>
              <w:rPr>
                <w:rFonts w:cs="Times New Roman"/>
                <w:szCs w:val="24"/>
              </w:rPr>
            </w:pPr>
            <w:r w:rsidRPr="00123724">
              <w:rPr>
                <w:rFonts w:cs="Times New Roman"/>
                <w:szCs w:val="24"/>
              </w:rPr>
              <w:t>Процент женщин репродуктивного возраста (15-49 лет), которые состоят в браке или в союзе, которые нуждаются в планировании семьи, удовлетворены современными методами.</w:t>
            </w:r>
          </w:p>
        </w:tc>
      </w:tr>
      <w:tr w:rsidR="00537510" w:rsidRPr="00123724" w:rsidTr="00537510">
        <w:tc>
          <w:tcPr>
            <w:tcW w:w="1809" w:type="dxa"/>
          </w:tcPr>
          <w:p w:rsidR="00537510" w:rsidRPr="00123724" w:rsidRDefault="00537510" w:rsidP="00537510">
            <w:pPr>
              <w:rPr>
                <w:rFonts w:cs="Times New Roman"/>
                <w:szCs w:val="24"/>
              </w:rPr>
            </w:pPr>
            <w:r w:rsidRPr="00123724">
              <w:rPr>
                <w:rFonts w:cs="Times New Roman"/>
                <w:szCs w:val="24"/>
              </w:rPr>
              <w:t>Числитель</w:t>
            </w:r>
          </w:p>
        </w:tc>
        <w:tc>
          <w:tcPr>
            <w:tcW w:w="7762" w:type="dxa"/>
          </w:tcPr>
          <w:p w:rsidR="00537510" w:rsidRPr="00123724" w:rsidRDefault="00537510" w:rsidP="00537510">
            <w:pPr>
              <w:rPr>
                <w:rFonts w:cs="Times New Roman"/>
                <w:szCs w:val="24"/>
              </w:rPr>
            </w:pPr>
            <w:r w:rsidRPr="00123724">
              <w:rPr>
                <w:rFonts w:cs="Times New Roman"/>
                <w:szCs w:val="24"/>
              </w:rPr>
              <w:t>Число женщин в возрасте 15-49 лет, которые состоят в браке или в союзе, которые используют современные методы.</w:t>
            </w:r>
          </w:p>
        </w:tc>
      </w:tr>
      <w:tr w:rsidR="00537510" w:rsidRPr="00123724" w:rsidTr="00537510">
        <w:tc>
          <w:tcPr>
            <w:tcW w:w="1809" w:type="dxa"/>
          </w:tcPr>
          <w:p w:rsidR="00537510" w:rsidRPr="00123724" w:rsidRDefault="00537510" w:rsidP="00537510">
            <w:pPr>
              <w:rPr>
                <w:rFonts w:cs="Times New Roman"/>
                <w:szCs w:val="24"/>
              </w:rPr>
            </w:pPr>
            <w:r w:rsidRPr="00123724">
              <w:rPr>
                <w:rFonts w:cs="Times New Roman"/>
                <w:szCs w:val="24"/>
              </w:rPr>
              <w:t>Знаменатель</w:t>
            </w:r>
          </w:p>
        </w:tc>
        <w:tc>
          <w:tcPr>
            <w:tcW w:w="7762" w:type="dxa"/>
          </w:tcPr>
          <w:p w:rsidR="00537510" w:rsidRPr="00123724" w:rsidRDefault="00537510" w:rsidP="00537510">
            <w:pPr>
              <w:rPr>
                <w:rFonts w:cs="Times New Roman"/>
                <w:szCs w:val="24"/>
              </w:rPr>
            </w:pPr>
            <w:r w:rsidRPr="00123724">
              <w:rPr>
                <w:rFonts w:cs="Times New Roman"/>
                <w:szCs w:val="24"/>
              </w:rPr>
              <w:t>Общее число женщин в возрасте 15-49 лет, которые состоят в браке или в союзе, нуждающихся в планировании семьи</w:t>
            </w:r>
          </w:p>
        </w:tc>
      </w:tr>
      <w:tr w:rsidR="00537510" w:rsidRPr="00123724" w:rsidTr="00537510">
        <w:tc>
          <w:tcPr>
            <w:tcW w:w="1809" w:type="dxa"/>
          </w:tcPr>
          <w:p w:rsidR="00537510" w:rsidRPr="00123724" w:rsidRDefault="00537510" w:rsidP="00537510">
            <w:pPr>
              <w:rPr>
                <w:rFonts w:cs="Times New Roman"/>
                <w:szCs w:val="24"/>
              </w:rPr>
            </w:pPr>
            <w:r w:rsidRPr="00123724">
              <w:rPr>
                <w:rFonts w:cs="Times New Roman"/>
                <w:szCs w:val="24"/>
              </w:rPr>
              <w:t>Основные источники данных</w:t>
            </w:r>
          </w:p>
        </w:tc>
        <w:tc>
          <w:tcPr>
            <w:tcW w:w="7762" w:type="dxa"/>
          </w:tcPr>
          <w:p w:rsidR="00537510" w:rsidRPr="00123724" w:rsidRDefault="00537510" w:rsidP="00537510">
            <w:pPr>
              <w:rPr>
                <w:rFonts w:cs="Times New Roman"/>
                <w:szCs w:val="24"/>
              </w:rPr>
            </w:pPr>
            <w:r w:rsidRPr="00123724">
              <w:rPr>
                <w:rFonts w:cs="Times New Roman"/>
                <w:szCs w:val="24"/>
              </w:rPr>
              <w:t>Обследования здоровья населения</w:t>
            </w:r>
          </w:p>
        </w:tc>
      </w:tr>
      <w:tr w:rsidR="00537510" w:rsidRPr="00123724" w:rsidTr="00537510">
        <w:tc>
          <w:tcPr>
            <w:tcW w:w="1809" w:type="dxa"/>
          </w:tcPr>
          <w:p w:rsidR="00537510" w:rsidRPr="00123724" w:rsidRDefault="00537510" w:rsidP="00537510">
            <w:pPr>
              <w:rPr>
                <w:rFonts w:cs="Times New Roman"/>
                <w:szCs w:val="24"/>
              </w:rPr>
            </w:pPr>
            <w:r w:rsidRPr="00123724">
              <w:rPr>
                <w:rFonts w:cs="Times New Roman"/>
                <w:szCs w:val="24"/>
              </w:rPr>
              <w:t>Метод</w:t>
            </w:r>
          </w:p>
          <w:p w:rsidR="00537510" w:rsidRPr="00123724" w:rsidRDefault="00537510" w:rsidP="00537510">
            <w:pPr>
              <w:rPr>
                <w:rFonts w:cs="Times New Roman"/>
                <w:szCs w:val="24"/>
              </w:rPr>
            </w:pPr>
            <w:r w:rsidRPr="00123724">
              <w:rPr>
                <w:rFonts w:cs="Times New Roman"/>
                <w:szCs w:val="24"/>
              </w:rPr>
              <w:t>расчета</w:t>
            </w:r>
          </w:p>
        </w:tc>
        <w:tc>
          <w:tcPr>
            <w:tcW w:w="7762" w:type="dxa"/>
          </w:tcPr>
          <w:p w:rsidR="00537510" w:rsidRPr="00123724" w:rsidRDefault="00537510" w:rsidP="00537510">
            <w:pPr>
              <w:rPr>
                <w:rFonts w:cs="Times New Roman"/>
                <w:b/>
                <w:szCs w:val="24"/>
              </w:rPr>
            </w:pPr>
            <w:r w:rsidRPr="00123724">
              <w:rPr>
                <w:rFonts w:cs="Times New Roman"/>
                <w:szCs w:val="24"/>
              </w:rPr>
              <w:t>Обследования домашних хозяйств включают в себя ряд вопросов для измерения современного уровня распространенности контрацептивов и спроса на планирование семьи. Общий спрос на планирование семьи определяется как сумма числа женщин репродуктивного возраста (15-49 лет), которые состоят в браке или в союзе и которые в настоящее время используют, или чей сексуальный партнер в настоящее время использует, по крайней мере, один метод контрацепции, и неудовлетворенная потребность в планировании семьи. Неудовлетворенной потребностью в планировании семьи является доля женщин репродуктивного возраста (15-49 лет) либо замужем, либо в консенсуальном союзе, которые являются полноценными и сексуально активными, но не используют какой-либо метод контрацепции (современный или традиционный) и сообщают</w:t>
            </w:r>
            <w:r>
              <w:rPr>
                <w:rFonts w:cs="Times New Roman"/>
                <w:szCs w:val="24"/>
              </w:rPr>
              <w:t>,</w:t>
            </w:r>
            <w:r w:rsidRPr="00123724">
              <w:rPr>
                <w:rFonts w:cs="Times New Roman"/>
                <w:szCs w:val="24"/>
              </w:rPr>
              <w:t xml:space="preserve"> не желая больше детей или желающих отсрочить рождение своего следующего ребенка в течение как минимум двух лет. Включены:</w:t>
            </w:r>
          </w:p>
          <w:p w:rsidR="00537510" w:rsidRPr="00123724" w:rsidRDefault="00537510" w:rsidP="00843DF4">
            <w:pPr>
              <w:ind w:left="318" w:hanging="318"/>
              <w:rPr>
                <w:rFonts w:cs="Times New Roman"/>
                <w:szCs w:val="24"/>
              </w:rPr>
            </w:pPr>
            <w:r w:rsidRPr="00123724">
              <w:rPr>
                <w:rFonts w:cs="Times New Roman"/>
                <w:szCs w:val="24"/>
              </w:rPr>
              <w:t>1. все беременные женщины (замужние или в консенсуальном союзе), беременность которых была нежелательной или ошибочной во время зачатия;</w:t>
            </w:r>
          </w:p>
          <w:p w:rsidR="00537510" w:rsidRPr="00123724" w:rsidRDefault="00537510" w:rsidP="00843DF4">
            <w:pPr>
              <w:ind w:left="318" w:hanging="318"/>
              <w:rPr>
                <w:rFonts w:cs="Times New Roman"/>
                <w:szCs w:val="24"/>
              </w:rPr>
            </w:pPr>
            <w:r w:rsidRPr="00123724">
              <w:rPr>
                <w:rFonts w:cs="Times New Roman"/>
                <w:szCs w:val="24"/>
              </w:rPr>
              <w:t xml:space="preserve">2. все послеродовые </w:t>
            </w:r>
            <w:proofErr w:type="spellStart"/>
            <w:r w:rsidRPr="00123724">
              <w:rPr>
                <w:rFonts w:cs="Times New Roman"/>
                <w:szCs w:val="24"/>
              </w:rPr>
              <w:t>аменоретические</w:t>
            </w:r>
            <w:proofErr w:type="spellEnd"/>
            <w:r w:rsidRPr="00123724">
              <w:rPr>
                <w:rFonts w:cs="Times New Roman"/>
                <w:szCs w:val="24"/>
              </w:rPr>
              <w:t xml:space="preserve"> женщины (женатые или в консенсуальном союзе), которые не используют планирование семьи и чье последнее рождение было нежелательным или ошибочным;</w:t>
            </w:r>
          </w:p>
          <w:p w:rsidR="00537510" w:rsidRDefault="00537510" w:rsidP="00843DF4">
            <w:pPr>
              <w:ind w:left="318" w:hanging="318"/>
              <w:rPr>
                <w:rFonts w:cs="Times New Roman"/>
                <w:szCs w:val="24"/>
              </w:rPr>
            </w:pPr>
            <w:proofErr w:type="gramStart"/>
            <w:r w:rsidRPr="00123724">
              <w:rPr>
                <w:rFonts w:cs="Times New Roman"/>
                <w:szCs w:val="24"/>
              </w:rPr>
              <w:t xml:space="preserve">3. все женщины, способные родить (женатые или консенсуальные союзы), которые не беременны и не </w:t>
            </w:r>
            <w:r>
              <w:rPr>
                <w:rFonts w:cs="Times New Roman"/>
                <w:szCs w:val="24"/>
              </w:rPr>
              <w:t xml:space="preserve">находятся в состоянии </w:t>
            </w:r>
            <w:r w:rsidRPr="00751BE9">
              <w:rPr>
                <w:rFonts w:cs="Times New Roman"/>
                <w:szCs w:val="24"/>
              </w:rPr>
              <w:t>послеродов</w:t>
            </w:r>
            <w:r>
              <w:rPr>
                <w:rFonts w:cs="Times New Roman"/>
                <w:szCs w:val="24"/>
              </w:rPr>
              <w:t>ой</w:t>
            </w:r>
            <w:r w:rsidRPr="00751BE9">
              <w:rPr>
                <w:rFonts w:cs="Times New Roman"/>
                <w:szCs w:val="24"/>
              </w:rPr>
              <w:t xml:space="preserve"> аменоре</w:t>
            </w:r>
            <w:r>
              <w:rPr>
                <w:rFonts w:cs="Times New Roman"/>
                <w:szCs w:val="24"/>
              </w:rPr>
              <w:t>и</w:t>
            </w:r>
            <w:r w:rsidRPr="00123724">
              <w:rPr>
                <w:rFonts w:cs="Times New Roman"/>
                <w:szCs w:val="24"/>
              </w:rPr>
              <w:t xml:space="preserve">, и которые либо не хотят больше детей (хотят ограничить размер семьи), либо желают отложить рождение ребенка по крайней мере два года или не знают, когда они хотят другого ребенка (хотят </w:t>
            </w:r>
            <w:r>
              <w:rPr>
                <w:rFonts w:cs="Times New Roman"/>
                <w:szCs w:val="24"/>
              </w:rPr>
              <w:t>перерыв между родами</w:t>
            </w:r>
            <w:r w:rsidRPr="00123724">
              <w:rPr>
                <w:rFonts w:cs="Times New Roman"/>
                <w:szCs w:val="24"/>
              </w:rPr>
              <w:t>), но не используют какой-либо метод контрацепции.</w:t>
            </w:r>
            <w:proofErr w:type="gramEnd"/>
          </w:p>
          <w:p w:rsidR="00843DF4" w:rsidRPr="00123724" w:rsidRDefault="00843DF4" w:rsidP="00843DF4">
            <w:pPr>
              <w:ind w:left="318" w:hanging="318"/>
              <w:rPr>
                <w:rFonts w:cs="Times New Roman"/>
                <w:szCs w:val="24"/>
              </w:rPr>
            </w:pPr>
          </w:p>
          <w:p w:rsidR="00537510" w:rsidRPr="00123724" w:rsidRDefault="00537510" w:rsidP="00843DF4">
            <w:pPr>
              <w:rPr>
                <w:rFonts w:cs="Times New Roman"/>
                <w:szCs w:val="24"/>
              </w:rPr>
            </w:pPr>
            <w:r w:rsidRPr="00123724">
              <w:rPr>
                <w:rFonts w:cs="Times New Roman"/>
                <w:szCs w:val="24"/>
              </w:rPr>
              <w:t>Современные методы включают стерилизацию женщин и мужчин, внутриматочное устройство (</w:t>
            </w:r>
            <w:r w:rsidRPr="00123724">
              <w:rPr>
                <w:rFonts w:cs="Times New Roman"/>
                <w:szCs w:val="24"/>
                <w:lang w:val="en-US"/>
              </w:rPr>
              <w:t>IUD</w:t>
            </w:r>
            <w:r w:rsidRPr="00123724">
              <w:rPr>
                <w:rFonts w:cs="Times New Roman"/>
                <w:szCs w:val="24"/>
              </w:rPr>
              <w:t xml:space="preserve">), имплантат, инъекционные препараты, оральные контрацептивные таблетки, мужские и женские </w:t>
            </w:r>
            <w:r w:rsidRPr="00123724">
              <w:rPr>
                <w:rFonts w:cs="Times New Roman"/>
                <w:szCs w:val="24"/>
              </w:rPr>
              <w:lastRenderedPageBreak/>
              <w:t xml:space="preserve">презервативы, вагинальные барьерные методы (включая диафрагму, шейку матки и </w:t>
            </w:r>
            <w:proofErr w:type="spellStart"/>
            <w:r w:rsidRPr="00123724">
              <w:rPr>
                <w:rFonts w:cs="Times New Roman"/>
                <w:szCs w:val="24"/>
              </w:rPr>
              <w:t>спермицидную</w:t>
            </w:r>
            <w:proofErr w:type="spellEnd"/>
            <w:r w:rsidRPr="00123724">
              <w:rPr>
                <w:rFonts w:cs="Times New Roman"/>
                <w:szCs w:val="24"/>
              </w:rPr>
              <w:t xml:space="preserve"> пену, желе, сливки и губку), метод лактационной аменореи (LAM), экстренная контрацепция и другие современные методы, не сообщаемые отдельно.</w:t>
            </w:r>
          </w:p>
        </w:tc>
      </w:tr>
      <w:tr w:rsidR="00537510" w:rsidRPr="00123724" w:rsidTr="00537510">
        <w:tc>
          <w:tcPr>
            <w:tcW w:w="1809" w:type="dxa"/>
          </w:tcPr>
          <w:p w:rsidR="00537510" w:rsidRPr="00123724" w:rsidRDefault="00537510" w:rsidP="00537510">
            <w:pPr>
              <w:rPr>
                <w:rFonts w:cs="Times New Roman"/>
                <w:szCs w:val="24"/>
              </w:rPr>
            </w:pPr>
            <w:r w:rsidRPr="00123724">
              <w:rPr>
                <w:rFonts w:cs="Times New Roman"/>
                <w:szCs w:val="24"/>
              </w:rPr>
              <w:lastRenderedPageBreak/>
              <w:t>Метод оценки</w:t>
            </w:r>
          </w:p>
        </w:tc>
        <w:tc>
          <w:tcPr>
            <w:tcW w:w="7762" w:type="dxa"/>
          </w:tcPr>
          <w:p w:rsidR="00537510" w:rsidRPr="00123724" w:rsidRDefault="00537510" w:rsidP="00537510">
            <w:pPr>
              <w:rPr>
                <w:rFonts w:cs="Times New Roman"/>
                <w:szCs w:val="24"/>
              </w:rPr>
            </w:pPr>
            <w:r w:rsidRPr="00123724">
              <w:rPr>
                <w:rFonts w:cs="Times New Roman"/>
                <w:szCs w:val="24"/>
              </w:rPr>
              <w:t>Отдел народонаселения Организации Объединенных Наций выпускает систематическую и всеобъемлющую серию ежегодных оценок и прогнозов процентной доли спроса на планирование семьи, которая удовлетворена среди замужних или женщин</w:t>
            </w:r>
            <w:r>
              <w:rPr>
                <w:rFonts w:cs="Times New Roman"/>
                <w:szCs w:val="24"/>
              </w:rPr>
              <w:t>, состоящих в союзе</w:t>
            </w:r>
            <w:r w:rsidRPr="00123724">
              <w:rPr>
                <w:rFonts w:cs="Times New Roman"/>
                <w:szCs w:val="24"/>
              </w:rPr>
              <w:t>. Байесовская иерархическая модель в сочетании с данными по конкретным странам используется для формирования оценок, прогнозов и оценок неопределенности по данным опроса. Модель учитывает различия по источникам данных, выборке населения и методам контрацепции. Смотрите здесь для подробностей:</w:t>
            </w:r>
          </w:p>
          <w:p w:rsidR="00C63898" w:rsidRPr="00C63898" w:rsidRDefault="00276122" w:rsidP="00C63898">
            <w:pPr>
              <w:rPr>
                <w:rFonts w:cs="Times New Roman"/>
                <w:szCs w:val="24"/>
              </w:rPr>
            </w:pPr>
            <w:hyperlink r:id="rId22" w:history="1">
              <w:r w:rsidR="00C63898" w:rsidRPr="00C63898">
                <w:rPr>
                  <w:rStyle w:val="ac"/>
                  <w:rFonts w:cs="Times New Roman"/>
                  <w:szCs w:val="24"/>
                  <w:lang w:val="en-US"/>
                </w:rPr>
                <w:t>https</w:t>
              </w:r>
              <w:r w:rsidR="00C63898" w:rsidRPr="00C63898">
                <w:rPr>
                  <w:rStyle w:val="ac"/>
                  <w:rFonts w:cs="Times New Roman"/>
                  <w:szCs w:val="24"/>
                </w:rPr>
                <w:t>://</w:t>
              </w:r>
              <w:r w:rsidR="00C63898" w:rsidRPr="00C63898">
                <w:rPr>
                  <w:rStyle w:val="ac"/>
                  <w:rFonts w:cs="Times New Roman"/>
                  <w:szCs w:val="24"/>
                  <w:lang w:val="en-US"/>
                </w:rPr>
                <w:t>www</w:t>
              </w:r>
              <w:r w:rsidR="00C63898" w:rsidRPr="00C63898">
                <w:rPr>
                  <w:rStyle w:val="ac"/>
                  <w:rFonts w:cs="Times New Roman"/>
                  <w:szCs w:val="24"/>
                </w:rPr>
                <w:t>.</w:t>
              </w:r>
              <w:r w:rsidR="00C63898" w:rsidRPr="00C63898">
                <w:rPr>
                  <w:rStyle w:val="ac"/>
                  <w:rFonts w:cs="Times New Roman"/>
                  <w:szCs w:val="24"/>
                  <w:lang w:val="en-US"/>
                </w:rPr>
                <w:t>un</w:t>
              </w:r>
              <w:r w:rsidR="00C63898" w:rsidRPr="00C63898">
                <w:rPr>
                  <w:rStyle w:val="ac"/>
                  <w:rFonts w:cs="Times New Roman"/>
                  <w:szCs w:val="24"/>
                </w:rPr>
                <w:t>.</w:t>
              </w:r>
              <w:r w:rsidR="00C63898" w:rsidRPr="00C63898">
                <w:rPr>
                  <w:rStyle w:val="ac"/>
                  <w:rFonts w:cs="Times New Roman"/>
                  <w:szCs w:val="24"/>
                  <w:lang w:val="en-US"/>
                </w:rPr>
                <w:t>org</w:t>
              </w:r>
              <w:r w:rsidR="00C63898" w:rsidRPr="00C63898">
                <w:rPr>
                  <w:rStyle w:val="ac"/>
                  <w:rFonts w:cs="Times New Roman"/>
                  <w:szCs w:val="24"/>
                </w:rPr>
                <w:t>/</w:t>
              </w:r>
              <w:r w:rsidR="00C63898" w:rsidRPr="00C63898">
                <w:rPr>
                  <w:rStyle w:val="ac"/>
                  <w:rFonts w:cs="Times New Roman"/>
                  <w:szCs w:val="24"/>
                  <w:lang w:val="en-US"/>
                </w:rPr>
                <w:t>development</w:t>
              </w:r>
              <w:r w:rsidR="00C63898" w:rsidRPr="00C63898">
                <w:rPr>
                  <w:rStyle w:val="ac"/>
                  <w:rFonts w:cs="Times New Roman"/>
                  <w:szCs w:val="24"/>
                </w:rPr>
                <w:t>/</w:t>
              </w:r>
              <w:proofErr w:type="spellStart"/>
              <w:r w:rsidR="00C63898" w:rsidRPr="00C63898">
                <w:rPr>
                  <w:rStyle w:val="ac"/>
                  <w:rFonts w:cs="Times New Roman"/>
                  <w:szCs w:val="24"/>
                  <w:lang w:val="en-US"/>
                </w:rPr>
                <w:t>desa</w:t>
              </w:r>
              <w:proofErr w:type="spellEnd"/>
              <w:r w:rsidR="00C63898" w:rsidRPr="00C63898">
                <w:rPr>
                  <w:rStyle w:val="ac"/>
                  <w:rFonts w:cs="Times New Roman"/>
                  <w:szCs w:val="24"/>
                </w:rPr>
                <w:t>/</w:t>
              </w:r>
              <w:proofErr w:type="spellStart"/>
              <w:r w:rsidR="00C63898" w:rsidRPr="00C63898">
                <w:rPr>
                  <w:rStyle w:val="ac"/>
                  <w:rFonts w:cs="Times New Roman"/>
                  <w:szCs w:val="24"/>
                  <w:lang w:val="en-US"/>
                </w:rPr>
                <w:t>pd</w:t>
              </w:r>
              <w:proofErr w:type="spellEnd"/>
              <w:r w:rsidR="00C63898" w:rsidRPr="00C63898">
                <w:rPr>
                  <w:rStyle w:val="ac"/>
                  <w:rFonts w:cs="Times New Roman"/>
                  <w:szCs w:val="24"/>
                </w:rPr>
                <w:t>/</w:t>
              </w:r>
              <w:r w:rsidR="00C63898" w:rsidRPr="00C63898">
                <w:rPr>
                  <w:rStyle w:val="ac"/>
                  <w:rFonts w:cs="Times New Roman"/>
                  <w:szCs w:val="24"/>
                  <w:lang w:val="en-US"/>
                </w:rPr>
                <w:t>data</w:t>
              </w:r>
              <w:r w:rsidR="00C63898" w:rsidRPr="00C63898">
                <w:rPr>
                  <w:rStyle w:val="ac"/>
                  <w:rFonts w:cs="Times New Roman"/>
                  <w:szCs w:val="24"/>
                </w:rPr>
                <w:t>/</w:t>
              </w:r>
              <w:r w:rsidR="00C63898" w:rsidRPr="00C63898">
                <w:rPr>
                  <w:rStyle w:val="ac"/>
                  <w:rFonts w:cs="Times New Roman"/>
                  <w:szCs w:val="24"/>
                  <w:lang w:val="en-US"/>
                </w:rPr>
                <w:t>family</w:t>
              </w:r>
              <w:r w:rsidR="00C63898" w:rsidRPr="00C63898">
                <w:rPr>
                  <w:rStyle w:val="ac"/>
                  <w:rFonts w:cs="Times New Roman"/>
                  <w:szCs w:val="24"/>
                </w:rPr>
                <w:t>-</w:t>
              </w:r>
              <w:r w:rsidR="00C63898" w:rsidRPr="00C63898">
                <w:rPr>
                  <w:rStyle w:val="ac"/>
                  <w:rFonts w:cs="Times New Roman"/>
                  <w:szCs w:val="24"/>
                  <w:lang w:val="en-US"/>
                </w:rPr>
                <w:t>planning</w:t>
              </w:r>
              <w:r w:rsidR="00C63898" w:rsidRPr="00C63898">
                <w:rPr>
                  <w:rStyle w:val="ac"/>
                  <w:rFonts w:cs="Times New Roman"/>
                  <w:szCs w:val="24"/>
                </w:rPr>
                <w:t>-</w:t>
              </w:r>
              <w:r w:rsidR="00C63898" w:rsidRPr="00C63898">
                <w:rPr>
                  <w:rStyle w:val="ac"/>
                  <w:rFonts w:cs="Times New Roman"/>
                  <w:szCs w:val="24"/>
                  <w:lang w:val="en-US"/>
                </w:rPr>
                <w:t>indicators</w:t>
              </w:r>
            </w:hyperlink>
            <w:r w:rsidR="00C63898" w:rsidRPr="00C63898">
              <w:rPr>
                <w:rFonts w:cs="Times New Roman"/>
                <w:szCs w:val="24"/>
              </w:rPr>
              <w:t xml:space="preserve"> </w:t>
            </w:r>
          </w:p>
          <w:p w:rsidR="00537510" w:rsidRDefault="00537510" w:rsidP="00537510">
            <w:pPr>
              <w:rPr>
                <w:rFonts w:cs="Times New Roman"/>
                <w:szCs w:val="24"/>
              </w:rPr>
            </w:pPr>
          </w:p>
          <w:p w:rsidR="00C63898" w:rsidRDefault="00C63898" w:rsidP="00537510">
            <w:pPr>
              <w:rPr>
                <w:rFonts w:cs="Times New Roman"/>
                <w:szCs w:val="24"/>
              </w:rPr>
            </w:pPr>
            <w:r w:rsidRPr="00C63898">
              <w:rPr>
                <w:rFonts w:cs="Times New Roman"/>
                <w:szCs w:val="24"/>
              </w:rPr>
              <w:t>Сбор данных по данным исследования по использованию контрацептивов в мире:</w:t>
            </w:r>
          </w:p>
          <w:p w:rsidR="00C63898" w:rsidRPr="00123724" w:rsidRDefault="00276122" w:rsidP="00537510">
            <w:pPr>
              <w:rPr>
                <w:rFonts w:cs="Times New Roman"/>
                <w:szCs w:val="24"/>
              </w:rPr>
            </w:pPr>
            <w:hyperlink r:id="rId23" w:history="1">
              <w:r w:rsidR="00C63898" w:rsidRPr="00C63898">
                <w:rPr>
                  <w:rStyle w:val="ac"/>
                  <w:rFonts w:cs="Times New Roman"/>
                  <w:szCs w:val="24"/>
                  <w:lang w:val="en-GB"/>
                </w:rPr>
                <w:t>https</w:t>
              </w:r>
              <w:r w:rsidR="00C63898" w:rsidRPr="00C63898">
                <w:rPr>
                  <w:rStyle w:val="ac"/>
                  <w:rFonts w:cs="Times New Roman"/>
                  <w:szCs w:val="24"/>
                </w:rPr>
                <w:t>://</w:t>
              </w:r>
              <w:r w:rsidR="00C63898" w:rsidRPr="00C63898">
                <w:rPr>
                  <w:rStyle w:val="ac"/>
                  <w:rFonts w:cs="Times New Roman"/>
                  <w:szCs w:val="24"/>
                  <w:lang w:val="en-GB"/>
                </w:rPr>
                <w:t>www</w:t>
              </w:r>
              <w:r w:rsidR="00C63898" w:rsidRPr="00C63898">
                <w:rPr>
                  <w:rStyle w:val="ac"/>
                  <w:rFonts w:cs="Times New Roman"/>
                  <w:szCs w:val="24"/>
                </w:rPr>
                <w:t>.</w:t>
              </w:r>
              <w:r w:rsidR="00C63898" w:rsidRPr="00C63898">
                <w:rPr>
                  <w:rStyle w:val="ac"/>
                  <w:rFonts w:cs="Times New Roman"/>
                  <w:szCs w:val="24"/>
                  <w:lang w:val="en-GB"/>
                </w:rPr>
                <w:t>un</w:t>
              </w:r>
              <w:r w:rsidR="00C63898" w:rsidRPr="00C63898">
                <w:rPr>
                  <w:rStyle w:val="ac"/>
                  <w:rFonts w:cs="Times New Roman"/>
                  <w:szCs w:val="24"/>
                </w:rPr>
                <w:t>.</w:t>
              </w:r>
              <w:r w:rsidR="00C63898" w:rsidRPr="00C63898">
                <w:rPr>
                  <w:rStyle w:val="ac"/>
                  <w:rFonts w:cs="Times New Roman"/>
                  <w:szCs w:val="24"/>
                  <w:lang w:val="en-GB"/>
                </w:rPr>
                <w:t>org</w:t>
              </w:r>
              <w:r w:rsidR="00C63898" w:rsidRPr="00C63898">
                <w:rPr>
                  <w:rStyle w:val="ac"/>
                  <w:rFonts w:cs="Times New Roman"/>
                  <w:szCs w:val="24"/>
                </w:rPr>
                <w:t>/</w:t>
              </w:r>
              <w:r w:rsidR="00C63898" w:rsidRPr="00C63898">
                <w:rPr>
                  <w:rStyle w:val="ac"/>
                  <w:rFonts w:cs="Times New Roman"/>
                  <w:szCs w:val="24"/>
                  <w:lang w:val="en-GB"/>
                </w:rPr>
                <w:t>development</w:t>
              </w:r>
              <w:r w:rsidR="00C63898" w:rsidRPr="00C63898">
                <w:rPr>
                  <w:rStyle w:val="ac"/>
                  <w:rFonts w:cs="Times New Roman"/>
                  <w:szCs w:val="24"/>
                </w:rPr>
                <w:t>/</w:t>
              </w:r>
              <w:proofErr w:type="spellStart"/>
              <w:r w:rsidR="00C63898" w:rsidRPr="00C63898">
                <w:rPr>
                  <w:rStyle w:val="ac"/>
                  <w:rFonts w:cs="Times New Roman"/>
                  <w:szCs w:val="24"/>
                  <w:lang w:val="en-GB"/>
                </w:rPr>
                <w:t>desa</w:t>
              </w:r>
              <w:proofErr w:type="spellEnd"/>
              <w:r w:rsidR="00C63898" w:rsidRPr="00C63898">
                <w:rPr>
                  <w:rStyle w:val="ac"/>
                  <w:rFonts w:cs="Times New Roman"/>
                  <w:szCs w:val="24"/>
                </w:rPr>
                <w:t>/</w:t>
              </w:r>
              <w:proofErr w:type="spellStart"/>
              <w:r w:rsidR="00C63898" w:rsidRPr="00C63898">
                <w:rPr>
                  <w:rStyle w:val="ac"/>
                  <w:rFonts w:cs="Times New Roman"/>
                  <w:szCs w:val="24"/>
                  <w:lang w:val="en-GB"/>
                </w:rPr>
                <w:t>pd</w:t>
              </w:r>
              <w:proofErr w:type="spellEnd"/>
              <w:r w:rsidR="00C63898" w:rsidRPr="00C63898">
                <w:rPr>
                  <w:rStyle w:val="ac"/>
                  <w:rFonts w:cs="Times New Roman"/>
                  <w:szCs w:val="24"/>
                </w:rPr>
                <w:t>/</w:t>
              </w:r>
              <w:r w:rsidR="00C63898" w:rsidRPr="00C63898">
                <w:rPr>
                  <w:rStyle w:val="ac"/>
                  <w:rFonts w:cs="Times New Roman"/>
                  <w:szCs w:val="24"/>
                  <w:lang w:val="en-GB"/>
                </w:rPr>
                <w:t>node</w:t>
              </w:r>
              <w:r w:rsidR="00C63898" w:rsidRPr="00C63898">
                <w:rPr>
                  <w:rStyle w:val="ac"/>
                  <w:rFonts w:cs="Times New Roman"/>
                  <w:szCs w:val="24"/>
                </w:rPr>
                <w:t>/3285</w:t>
              </w:r>
            </w:hyperlink>
          </w:p>
        </w:tc>
      </w:tr>
      <w:tr w:rsidR="00537510" w:rsidRPr="00123724" w:rsidTr="00537510">
        <w:tc>
          <w:tcPr>
            <w:tcW w:w="1809" w:type="dxa"/>
          </w:tcPr>
          <w:p w:rsidR="00537510" w:rsidRPr="00123724" w:rsidRDefault="00537510" w:rsidP="00537510">
            <w:pPr>
              <w:rPr>
                <w:rFonts w:cs="Times New Roman"/>
                <w:szCs w:val="24"/>
              </w:rPr>
            </w:pPr>
            <w:r w:rsidRPr="00123724">
              <w:rPr>
                <w:rFonts w:cs="Times New Roman"/>
                <w:szCs w:val="24"/>
              </w:rPr>
              <w:t xml:space="preserve">Заметки по </w:t>
            </w:r>
            <w:r w:rsidRPr="00123724">
              <w:rPr>
                <w:rFonts w:cs="Times New Roman"/>
                <w:szCs w:val="24"/>
                <w:lang w:val="en-US"/>
              </w:rPr>
              <w:t>UHC</w:t>
            </w:r>
          </w:p>
        </w:tc>
        <w:tc>
          <w:tcPr>
            <w:tcW w:w="7762" w:type="dxa"/>
          </w:tcPr>
          <w:p w:rsidR="00537510" w:rsidRPr="00123724" w:rsidRDefault="00537510" w:rsidP="00537510">
            <w:pPr>
              <w:rPr>
                <w:rFonts w:cs="Times New Roman"/>
                <w:szCs w:val="24"/>
              </w:rPr>
            </w:pPr>
          </w:p>
        </w:tc>
      </w:tr>
    </w:tbl>
    <w:p w:rsidR="00537510" w:rsidRDefault="00537510">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tbl>
      <w:tblPr>
        <w:tblStyle w:val="aa"/>
        <w:tblW w:w="0" w:type="auto"/>
        <w:tblLayout w:type="fixed"/>
        <w:tblLook w:val="04A0" w:firstRow="1" w:lastRow="0" w:firstColumn="1" w:lastColumn="0" w:noHBand="0" w:noVBand="1"/>
      </w:tblPr>
      <w:tblGrid>
        <w:gridCol w:w="1809"/>
        <w:gridCol w:w="7762"/>
      </w:tblGrid>
      <w:tr w:rsidR="00537510" w:rsidRPr="00123724" w:rsidTr="00537510">
        <w:tc>
          <w:tcPr>
            <w:tcW w:w="1809" w:type="dxa"/>
          </w:tcPr>
          <w:p w:rsidR="00537510" w:rsidRPr="00123724" w:rsidRDefault="00537510" w:rsidP="00537510">
            <w:pPr>
              <w:rPr>
                <w:rFonts w:cs="Times New Roman"/>
                <w:szCs w:val="24"/>
              </w:rPr>
            </w:pPr>
            <w:r w:rsidRPr="00123724">
              <w:rPr>
                <w:rFonts w:cs="Times New Roman"/>
                <w:szCs w:val="24"/>
              </w:rPr>
              <w:t>Область индикатора</w:t>
            </w:r>
          </w:p>
        </w:tc>
        <w:tc>
          <w:tcPr>
            <w:tcW w:w="7762" w:type="dxa"/>
          </w:tcPr>
          <w:p w:rsidR="00537510" w:rsidRPr="00123724" w:rsidRDefault="00537510" w:rsidP="00537510">
            <w:pPr>
              <w:rPr>
                <w:rFonts w:cs="Times New Roman"/>
                <w:szCs w:val="24"/>
              </w:rPr>
            </w:pPr>
            <w:r w:rsidRPr="00537510">
              <w:t>Беременность и роды</w:t>
            </w:r>
          </w:p>
        </w:tc>
      </w:tr>
      <w:tr w:rsidR="00537510" w:rsidRPr="00123724" w:rsidTr="00537510">
        <w:tc>
          <w:tcPr>
            <w:tcW w:w="1809" w:type="dxa"/>
          </w:tcPr>
          <w:p w:rsidR="00537510" w:rsidRPr="00123724" w:rsidRDefault="00537510" w:rsidP="00537510">
            <w:pPr>
              <w:rPr>
                <w:rFonts w:cs="Times New Roman"/>
                <w:szCs w:val="24"/>
              </w:rPr>
            </w:pPr>
            <w:r w:rsidRPr="00123724">
              <w:rPr>
                <w:rFonts w:cs="Times New Roman"/>
                <w:szCs w:val="24"/>
              </w:rPr>
              <w:t>Определение индикатора</w:t>
            </w:r>
          </w:p>
        </w:tc>
        <w:tc>
          <w:tcPr>
            <w:tcW w:w="7762" w:type="dxa"/>
          </w:tcPr>
          <w:p w:rsidR="00537510" w:rsidRPr="00123724" w:rsidRDefault="00537510" w:rsidP="00537510">
            <w:pPr>
              <w:rPr>
                <w:rFonts w:cs="Times New Roman"/>
                <w:szCs w:val="24"/>
              </w:rPr>
            </w:pPr>
            <w:r w:rsidRPr="00537510">
              <w:rPr>
                <w:rFonts w:cs="Times New Roman"/>
                <w:szCs w:val="24"/>
              </w:rPr>
              <w:t>Процент женщин в возрасте 15-49 лет, родивших живыми за определенный период времени, которые получали дородовую помощь четыре или более раз</w:t>
            </w:r>
          </w:p>
        </w:tc>
      </w:tr>
      <w:tr w:rsidR="00537510" w:rsidRPr="00123724" w:rsidTr="00537510">
        <w:tc>
          <w:tcPr>
            <w:tcW w:w="1809" w:type="dxa"/>
          </w:tcPr>
          <w:p w:rsidR="00537510" w:rsidRPr="00123724" w:rsidRDefault="00537510" w:rsidP="00537510">
            <w:pPr>
              <w:rPr>
                <w:rFonts w:cs="Times New Roman"/>
                <w:szCs w:val="24"/>
              </w:rPr>
            </w:pPr>
            <w:r w:rsidRPr="00123724">
              <w:rPr>
                <w:rFonts w:cs="Times New Roman"/>
                <w:szCs w:val="24"/>
              </w:rPr>
              <w:t>Числитель</w:t>
            </w:r>
          </w:p>
        </w:tc>
        <w:tc>
          <w:tcPr>
            <w:tcW w:w="7762" w:type="dxa"/>
          </w:tcPr>
          <w:p w:rsidR="00537510" w:rsidRPr="00123724" w:rsidRDefault="00537510" w:rsidP="00537510">
            <w:pPr>
              <w:rPr>
                <w:rFonts w:cs="Times New Roman"/>
                <w:szCs w:val="24"/>
              </w:rPr>
            </w:pPr>
            <w:r w:rsidRPr="00537510">
              <w:rPr>
                <w:rFonts w:cs="Times New Roman"/>
                <w:szCs w:val="24"/>
              </w:rPr>
              <w:t>Число женщин в возрасте 15-49 лет, родивших живыми за определенный период времени, которые получали дородовую помощь четыре или более раз</w:t>
            </w:r>
          </w:p>
        </w:tc>
      </w:tr>
      <w:tr w:rsidR="00537510" w:rsidRPr="00123724" w:rsidTr="00537510">
        <w:tc>
          <w:tcPr>
            <w:tcW w:w="1809" w:type="dxa"/>
          </w:tcPr>
          <w:p w:rsidR="00537510" w:rsidRPr="00123724" w:rsidRDefault="00537510" w:rsidP="00537510">
            <w:pPr>
              <w:rPr>
                <w:rFonts w:cs="Times New Roman"/>
                <w:szCs w:val="24"/>
              </w:rPr>
            </w:pPr>
            <w:r w:rsidRPr="00123724">
              <w:rPr>
                <w:rFonts w:cs="Times New Roman"/>
                <w:szCs w:val="24"/>
              </w:rPr>
              <w:t>Знаменатель</w:t>
            </w:r>
          </w:p>
        </w:tc>
        <w:tc>
          <w:tcPr>
            <w:tcW w:w="7762" w:type="dxa"/>
          </w:tcPr>
          <w:p w:rsidR="00537510" w:rsidRPr="00123724" w:rsidRDefault="00537510" w:rsidP="00537510">
            <w:pPr>
              <w:rPr>
                <w:rFonts w:cs="Times New Roman"/>
                <w:szCs w:val="24"/>
              </w:rPr>
            </w:pPr>
            <w:r w:rsidRPr="00537510">
              <w:rPr>
                <w:rFonts w:cs="Times New Roman"/>
                <w:szCs w:val="24"/>
              </w:rPr>
              <w:t>Общее число женщин в возрасте 15-49 лет, р</w:t>
            </w:r>
            <w:r>
              <w:rPr>
                <w:rFonts w:cs="Times New Roman"/>
                <w:szCs w:val="24"/>
              </w:rPr>
              <w:t>одивших живыми за тот же период</w:t>
            </w:r>
          </w:p>
        </w:tc>
      </w:tr>
      <w:tr w:rsidR="00537510" w:rsidRPr="00123724" w:rsidTr="00537510">
        <w:tc>
          <w:tcPr>
            <w:tcW w:w="1809" w:type="dxa"/>
          </w:tcPr>
          <w:p w:rsidR="00537510" w:rsidRPr="00123724" w:rsidRDefault="00537510" w:rsidP="00537510">
            <w:pPr>
              <w:rPr>
                <w:rFonts w:cs="Times New Roman"/>
                <w:szCs w:val="24"/>
              </w:rPr>
            </w:pPr>
            <w:r w:rsidRPr="00123724">
              <w:rPr>
                <w:rFonts w:cs="Times New Roman"/>
                <w:szCs w:val="24"/>
              </w:rPr>
              <w:t>Основные источники данных</w:t>
            </w:r>
          </w:p>
        </w:tc>
        <w:tc>
          <w:tcPr>
            <w:tcW w:w="7762" w:type="dxa"/>
          </w:tcPr>
          <w:p w:rsidR="00537510" w:rsidRPr="00123724" w:rsidRDefault="00537510" w:rsidP="00537510">
            <w:pPr>
              <w:rPr>
                <w:rFonts w:cs="Times New Roman"/>
                <w:szCs w:val="24"/>
              </w:rPr>
            </w:pPr>
            <w:r w:rsidRPr="00537510">
              <w:rPr>
                <w:rFonts w:cs="Times New Roman"/>
                <w:szCs w:val="24"/>
              </w:rPr>
              <w:t>Обследования домашних хозяйств и обычные ин</w:t>
            </w:r>
            <w:r>
              <w:rPr>
                <w:rFonts w:cs="Times New Roman"/>
                <w:szCs w:val="24"/>
              </w:rPr>
              <w:t>формационные системы учреждений</w:t>
            </w:r>
          </w:p>
        </w:tc>
      </w:tr>
      <w:tr w:rsidR="00537510" w:rsidRPr="00123724" w:rsidTr="00537510">
        <w:tc>
          <w:tcPr>
            <w:tcW w:w="1809" w:type="dxa"/>
          </w:tcPr>
          <w:p w:rsidR="00537510" w:rsidRPr="00123724" w:rsidRDefault="00537510" w:rsidP="00537510">
            <w:pPr>
              <w:rPr>
                <w:rFonts w:cs="Times New Roman"/>
                <w:szCs w:val="24"/>
              </w:rPr>
            </w:pPr>
            <w:r w:rsidRPr="00123724">
              <w:rPr>
                <w:rFonts w:cs="Times New Roman"/>
                <w:szCs w:val="24"/>
              </w:rPr>
              <w:t>Метод</w:t>
            </w:r>
          </w:p>
          <w:p w:rsidR="00537510" w:rsidRPr="00123724" w:rsidRDefault="00537510" w:rsidP="00537510">
            <w:pPr>
              <w:rPr>
                <w:rFonts w:cs="Times New Roman"/>
                <w:szCs w:val="24"/>
              </w:rPr>
            </w:pPr>
            <w:r w:rsidRPr="00123724">
              <w:rPr>
                <w:rFonts w:cs="Times New Roman"/>
                <w:szCs w:val="24"/>
              </w:rPr>
              <w:t>расчета</w:t>
            </w:r>
          </w:p>
        </w:tc>
        <w:tc>
          <w:tcPr>
            <w:tcW w:w="7762" w:type="dxa"/>
          </w:tcPr>
          <w:p w:rsidR="00537510" w:rsidRPr="00537510" w:rsidRDefault="00537510" w:rsidP="00537510">
            <w:pPr>
              <w:rPr>
                <w:rFonts w:cs="Times New Roman"/>
                <w:szCs w:val="24"/>
              </w:rPr>
            </w:pPr>
            <w:r w:rsidRPr="00537510">
              <w:rPr>
                <w:rFonts w:cs="Times New Roman"/>
                <w:szCs w:val="24"/>
              </w:rPr>
              <w:t>Данные о четырех или более посещений дородового наблюдения основаны на вопросах, касающихся того, проверялось ли и сколько раз состояние здоровья женщины во время беременности. Обследования домохозяйств, которые могут генерирова</w:t>
            </w:r>
            <w:r>
              <w:rPr>
                <w:rFonts w:cs="Times New Roman"/>
                <w:szCs w:val="24"/>
              </w:rPr>
              <w:t xml:space="preserve">ть этот показатель, включают </w:t>
            </w:r>
            <w:r w:rsidR="00F7481A">
              <w:rPr>
                <w:rFonts w:cs="Times New Roman"/>
                <w:szCs w:val="24"/>
                <w:lang w:val="en-US"/>
              </w:rPr>
              <w:t>DHS</w:t>
            </w:r>
            <w:r w:rsidR="00F7481A">
              <w:rPr>
                <w:rFonts w:cs="Times New Roman"/>
                <w:szCs w:val="24"/>
              </w:rPr>
              <w:t>, MICS</w:t>
            </w:r>
            <w:r w:rsidRPr="00537510">
              <w:rPr>
                <w:rFonts w:cs="Times New Roman"/>
                <w:szCs w:val="24"/>
              </w:rPr>
              <w:t xml:space="preserve">, </w:t>
            </w:r>
            <w:r w:rsidR="00F7481A" w:rsidRPr="00F7481A">
              <w:rPr>
                <w:rFonts w:cs="Times New Roman"/>
                <w:szCs w:val="24"/>
              </w:rPr>
              <w:t>RHS</w:t>
            </w:r>
            <w:r w:rsidRPr="00537510">
              <w:rPr>
                <w:rFonts w:cs="Times New Roman"/>
                <w:szCs w:val="24"/>
              </w:rPr>
              <w:t xml:space="preserve"> и другие обследования, основанные на аналогичных методологиях.</w:t>
            </w:r>
          </w:p>
          <w:p w:rsidR="00537510" w:rsidRPr="00123724" w:rsidRDefault="00537510" w:rsidP="00537510">
            <w:pPr>
              <w:rPr>
                <w:rFonts w:cs="Times New Roman"/>
                <w:szCs w:val="24"/>
              </w:rPr>
            </w:pPr>
            <w:r w:rsidRPr="00537510">
              <w:rPr>
                <w:rFonts w:cs="Times New Roman"/>
                <w:szCs w:val="24"/>
              </w:rPr>
              <w:t>Системы отчетности об услугах/средствах можно использовать там, где охват высок, обычно в странах с более высоким уровнем дохода.</w:t>
            </w:r>
          </w:p>
        </w:tc>
      </w:tr>
      <w:tr w:rsidR="00537510" w:rsidRPr="00123724" w:rsidTr="00537510">
        <w:tc>
          <w:tcPr>
            <w:tcW w:w="1809" w:type="dxa"/>
          </w:tcPr>
          <w:p w:rsidR="00537510" w:rsidRPr="00123724" w:rsidRDefault="00537510" w:rsidP="00537510">
            <w:pPr>
              <w:rPr>
                <w:rFonts w:cs="Times New Roman"/>
                <w:szCs w:val="24"/>
              </w:rPr>
            </w:pPr>
            <w:r w:rsidRPr="00123724">
              <w:rPr>
                <w:rFonts w:cs="Times New Roman"/>
                <w:szCs w:val="24"/>
              </w:rPr>
              <w:t>Метод оценки</w:t>
            </w:r>
          </w:p>
        </w:tc>
        <w:tc>
          <w:tcPr>
            <w:tcW w:w="7762" w:type="dxa"/>
          </w:tcPr>
          <w:p w:rsidR="00537510" w:rsidRPr="00123724" w:rsidRDefault="00F7481A" w:rsidP="00F7481A">
            <w:pPr>
              <w:rPr>
                <w:rFonts w:cs="Times New Roman"/>
                <w:szCs w:val="24"/>
              </w:rPr>
            </w:pPr>
            <w:r w:rsidRPr="00F7481A">
              <w:rPr>
                <w:rFonts w:cs="Times New Roman"/>
                <w:szCs w:val="24"/>
              </w:rPr>
              <w:t>ВОЗ ведет базу данн</w:t>
            </w:r>
            <w:r>
              <w:rPr>
                <w:rFonts w:cs="Times New Roman"/>
                <w:szCs w:val="24"/>
              </w:rPr>
              <w:t>ых об охвате дородовой помощью:</w:t>
            </w:r>
            <w:r w:rsidRPr="00F7481A">
              <w:rPr>
                <w:rFonts w:cs="Times New Roman"/>
                <w:szCs w:val="24"/>
              </w:rPr>
              <w:t xml:space="preserve"> </w:t>
            </w:r>
            <w:hyperlink r:id="rId24" w:history="1">
              <w:r w:rsidR="00FE26E9" w:rsidRPr="00BE3D09">
                <w:rPr>
                  <w:rStyle w:val="ac"/>
                </w:rPr>
                <w:t>http://apps.who.int/gho/data/node.main.ANTENATALCARECOVERAGE4</w:t>
              </w:r>
            </w:hyperlink>
          </w:p>
        </w:tc>
      </w:tr>
      <w:tr w:rsidR="00537510" w:rsidRPr="00123724" w:rsidTr="00537510">
        <w:tc>
          <w:tcPr>
            <w:tcW w:w="1809" w:type="dxa"/>
          </w:tcPr>
          <w:p w:rsidR="00537510" w:rsidRPr="00123724" w:rsidRDefault="00537510" w:rsidP="00537510">
            <w:pPr>
              <w:rPr>
                <w:rFonts w:cs="Times New Roman"/>
                <w:szCs w:val="24"/>
              </w:rPr>
            </w:pPr>
            <w:r w:rsidRPr="00123724">
              <w:rPr>
                <w:rFonts w:cs="Times New Roman"/>
                <w:szCs w:val="24"/>
              </w:rPr>
              <w:t xml:space="preserve">Заметки по </w:t>
            </w:r>
            <w:r w:rsidRPr="00123724">
              <w:rPr>
                <w:rFonts w:cs="Times New Roman"/>
                <w:szCs w:val="24"/>
                <w:lang w:val="en-US"/>
              </w:rPr>
              <w:t>UHC</w:t>
            </w:r>
          </w:p>
        </w:tc>
        <w:tc>
          <w:tcPr>
            <w:tcW w:w="7762" w:type="dxa"/>
          </w:tcPr>
          <w:p w:rsidR="00537510" w:rsidRPr="00123724" w:rsidRDefault="00F7481A" w:rsidP="00537510">
            <w:pPr>
              <w:rPr>
                <w:rFonts w:cs="Times New Roman"/>
                <w:szCs w:val="24"/>
              </w:rPr>
            </w:pPr>
            <w:r w:rsidRPr="00F7481A">
              <w:rPr>
                <w:rFonts w:cs="Times New Roman"/>
                <w:szCs w:val="24"/>
              </w:rPr>
              <w:t>В идеале этот показатель можно было бы заменить более комплексным показателем помощи при беременности и родах, например, долей женщин, у которых есть квалифицированный медработник, принимающий роды или роды в специализированных учреждениях. Проблема измерения квалифицированного родовспоможения заключается в том, чтобы определить, какие медработники являются «квалифицированными».</w:t>
            </w:r>
          </w:p>
        </w:tc>
      </w:tr>
    </w:tbl>
    <w:p w:rsidR="00537510" w:rsidRDefault="00537510">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p w:rsidR="00F7481A" w:rsidRDefault="00F7481A">
      <w:pPr>
        <w:jc w:val="left"/>
        <w:rPr>
          <w:rFonts w:cs="Times New Roman"/>
          <w:szCs w:val="24"/>
        </w:rPr>
      </w:pPr>
    </w:p>
    <w:p w:rsidR="00537510" w:rsidRPr="00123724" w:rsidRDefault="00537510" w:rsidP="00537510">
      <w:pPr>
        <w:rPr>
          <w:rFonts w:cs="Times New Roman"/>
          <w:szCs w:val="24"/>
        </w:rPr>
      </w:pPr>
    </w:p>
    <w:tbl>
      <w:tblPr>
        <w:tblStyle w:val="aa"/>
        <w:tblW w:w="10664" w:type="dxa"/>
        <w:tblInd w:w="-856" w:type="dxa"/>
        <w:tblLook w:val="04A0" w:firstRow="1" w:lastRow="0" w:firstColumn="1" w:lastColumn="0" w:noHBand="0" w:noVBand="1"/>
      </w:tblPr>
      <w:tblGrid>
        <w:gridCol w:w="1563"/>
        <w:gridCol w:w="9101"/>
      </w:tblGrid>
      <w:tr w:rsidR="00537510" w:rsidRPr="00123724" w:rsidTr="00F7481A">
        <w:tc>
          <w:tcPr>
            <w:tcW w:w="1563" w:type="dxa"/>
          </w:tcPr>
          <w:p w:rsidR="00537510" w:rsidRPr="00123724" w:rsidRDefault="00537510" w:rsidP="00537510">
            <w:pPr>
              <w:rPr>
                <w:rFonts w:cs="Times New Roman"/>
                <w:szCs w:val="24"/>
              </w:rPr>
            </w:pPr>
            <w:r w:rsidRPr="00123724">
              <w:rPr>
                <w:rFonts w:cs="Times New Roman"/>
                <w:szCs w:val="24"/>
              </w:rPr>
              <w:t>Область индикатора</w:t>
            </w:r>
          </w:p>
        </w:tc>
        <w:tc>
          <w:tcPr>
            <w:tcW w:w="9101" w:type="dxa"/>
          </w:tcPr>
          <w:p w:rsidR="00537510" w:rsidRPr="00123724" w:rsidRDefault="00537510" w:rsidP="00537510">
            <w:pPr>
              <w:rPr>
                <w:rFonts w:cs="Times New Roman"/>
                <w:szCs w:val="24"/>
              </w:rPr>
            </w:pPr>
            <w:r w:rsidRPr="00123724">
              <w:rPr>
                <w:rFonts w:cs="Times New Roman"/>
                <w:szCs w:val="24"/>
              </w:rPr>
              <w:t>Детская иммунизация</w:t>
            </w:r>
          </w:p>
        </w:tc>
      </w:tr>
      <w:tr w:rsidR="00537510" w:rsidRPr="00123724" w:rsidTr="00F7481A">
        <w:tc>
          <w:tcPr>
            <w:tcW w:w="1563" w:type="dxa"/>
          </w:tcPr>
          <w:p w:rsidR="00537510" w:rsidRPr="00123724" w:rsidRDefault="00537510" w:rsidP="00537510">
            <w:pPr>
              <w:rPr>
                <w:rFonts w:cs="Times New Roman"/>
                <w:szCs w:val="24"/>
              </w:rPr>
            </w:pPr>
            <w:r w:rsidRPr="00123724">
              <w:rPr>
                <w:rFonts w:cs="Times New Roman"/>
                <w:szCs w:val="24"/>
              </w:rPr>
              <w:t>Определение индикатора</w:t>
            </w:r>
          </w:p>
        </w:tc>
        <w:tc>
          <w:tcPr>
            <w:tcW w:w="9101" w:type="dxa"/>
          </w:tcPr>
          <w:p w:rsidR="00537510" w:rsidRPr="00123724" w:rsidRDefault="00537510" w:rsidP="00F7481A">
            <w:pPr>
              <w:rPr>
                <w:rFonts w:cs="Times New Roman"/>
                <w:szCs w:val="24"/>
              </w:rPr>
            </w:pPr>
            <w:r w:rsidRPr="00123724">
              <w:rPr>
                <w:rFonts w:cs="Times New Roman"/>
                <w:szCs w:val="24"/>
              </w:rPr>
              <w:t>Процент младенцев, получавших три дозы вакцины против дифтерии-столбняка-коклюша</w:t>
            </w:r>
          </w:p>
        </w:tc>
      </w:tr>
      <w:tr w:rsidR="00537510" w:rsidRPr="00123724" w:rsidTr="00F7481A">
        <w:tc>
          <w:tcPr>
            <w:tcW w:w="1563" w:type="dxa"/>
          </w:tcPr>
          <w:p w:rsidR="00537510" w:rsidRPr="00123724" w:rsidRDefault="00537510" w:rsidP="00537510">
            <w:pPr>
              <w:rPr>
                <w:rFonts w:cs="Times New Roman"/>
                <w:szCs w:val="24"/>
              </w:rPr>
            </w:pPr>
            <w:r w:rsidRPr="00123724">
              <w:rPr>
                <w:rFonts w:cs="Times New Roman"/>
                <w:szCs w:val="24"/>
              </w:rPr>
              <w:t>Числитель</w:t>
            </w:r>
          </w:p>
        </w:tc>
        <w:tc>
          <w:tcPr>
            <w:tcW w:w="9101" w:type="dxa"/>
          </w:tcPr>
          <w:p w:rsidR="00537510" w:rsidRPr="00123724" w:rsidRDefault="00537510" w:rsidP="00F7481A">
            <w:pPr>
              <w:ind w:right="637"/>
              <w:rPr>
                <w:rFonts w:cs="Times New Roman"/>
                <w:szCs w:val="24"/>
              </w:rPr>
            </w:pPr>
            <w:r w:rsidRPr="00123724">
              <w:rPr>
                <w:rFonts w:cs="Times New Roman"/>
                <w:szCs w:val="24"/>
              </w:rPr>
              <w:t>Дети в возрасте 1 года, которые получили три дозы вакцины против дифтерии-столбняка-коклюша</w:t>
            </w:r>
          </w:p>
        </w:tc>
      </w:tr>
      <w:tr w:rsidR="00537510" w:rsidRPr="00123724" w:rsidTr="00F7481A">
        <w:tc>
          <w:tcPr>
            <w:tcW w:w="1563" w:type="dxa"/>
          </w:tcPr>
          <w:p w:rsidR="00537510" w:rsidRPr="00123724" w:rsidRDefault="00537510" w:rsidP="00537510">
            <w:pPr>
              <w:rPr>
                <w:rFonts w:cs="Times New Roman"/>
                <w:szCs w:val="24"/>
              </w:rPr>
            </w:pPr>
            <w:r w:rsidRPr="00123724">
              <w:rPr>
                <w:rFonts w:cs="Times New Roman"/>
                <w:szCs w:val="24"/>
              </w:rPr>
              <w:t>Знаменатель</w:t>
            </w:r>
          </w:p>
        </w:tc>
        <w:tc>
          <w:tcPr>
            <w:tcW w:w="9101" w:type="dxa"/>
          </w:tcPr>
          <w:p w:rsidR="00537510" w:rsidRPr="00123724" w:rsidRDefault="00537510" w:rsidP="00537510">
            <w:pPr>
              <w:rPr>
                <w:rFonts w:cs="Times New Roman"/>
                <w:szCs w:val="24"/>
              </w:rPr>
            </w:pPr>
            <w:r w:rsidRPr="00123724">
              <w:rPr>
                <w:rFonts w:cs="Times New Roman"/>
                <w:szCs w:val="24"/>
              </w:rPr>
              <w:t>Все дети в возрасте 1 года</w:t>
            </w:r>
          </w:p>
        </w:tc>
      </w:tr>
      <w:tr w:rsidR="00537510" w:rsidRPr="00123724" w:rsidTr="00F7481A">
        <w:tc>
          <w:tcPr>
            <w:tcW w:w="1563" w:type="dxa"/>
          </w:tcPr>
          <w:p w:rsidR="00537510" w:rsidRPr="00123724" w:rsidRDefault="00537510" w:rsidP="00537510">
            <w:pPr>
              <w:rPr>
                <w:rFonts w:cs="Times New Roman"/>
                <w:szCs w:val="24"/>
              </w:rPr>
            </w:pPr>
            <w:r w:rsidRPr="00123724">
              <w:rPr>
                <w:rFonts w:cs="Times New Roman"/>
                <w:szCs w:val="24"/>
              </w:rPr>
              <w:t>Основные источники данных</w:t>
            </w:r>
          </w:p>
        </w:tc>
        <w:tc>
          <w:tcPr>
            <w:tcW w:w="9101" w:type="dxa"/>
          </w:tcPr>
          <w:p w:rsidR="00537510" w:rsidRPr="00123724" w:rsidRDefault="00537510" w:rsidP="00537510">
            <w:pPr>
              <w:rPr>
                <w:rFonts w:cs="Times New Roman"/>
                <w:szCs w:val="24"/>
              </w:rPr>
            </w:pPr>
            <w:r w:rsidRPr="00123724">
              <w:rPr>
                <w:rFonts w:cs="Times New Roman"/>
                <w:szCs w:val="24"/>
              </w:rPr>
              <w:t>Обследования домашних хозяйств и информационные системы объектов.</w:t>
            </w:r>
          </w:p>
        </w:tc>
      </w:tr>
      <w:tr w:rsidR="00537510" w:rsidRPr="00123724" w:rsidTr="00F7481A">
        <w:tc>
          <w:tcPr>
            <w:tcW w:w="1563" w:type="dxa"/>
          </w:tcPr>
          <w:p w:rsidR="00537510" w:rsidRPr="00123724" w:rsidRDefault="00537510" w:rsidP="00537510">
            <w:pPr>
              <w:rPr>
                <w:rFonts w:cs="Times New Roman"/>
                <w:szCs w:val="24"/>
              </w:rPr>
            </w:pPr>
            <w:r w:rsidRPr="00123724">
              <w:rPr>
                <w:rFonts w:cs="Times New Roman"/>
                <w:szCs w:val="24"/>
              </w:rPr>
              <w:t>Метод</w:t>
            </w:r>
          </w:p>
          <w:p w:rsidR="00537510" w:rsidRPr="00123724" w:rsidRDefault="00537510" w:rsidP="00537510">
            <w:pPr>
              <w:rPr>
                <w:rFonts w:cs="Times New Roman"/>
                <w:szCs w:val="24"/>
              </w:rPr>
            </w:pPr>
            <w:r w:rsidRPr="00123724">
              <w:rPr>
                <w:rFonts w:cs="Times New Roman"/>
                <w:szCs w:val="24"/>
              </w:rPr>
              <w:t>расчета</w:t>
            </w:r>
          </w:p>
        </w:tc>
        <w:tc>
          <w:tcPr>
            <w:tcW w:w="9101" w:type="dxa"/>
          </w:tcPr>
          <w:p w:rsidR="00537510" w:rsidRPr="00123724" w:rsidRDefault="00537510" w:rsidP="00537510">
            <w:pPr>
              <w:rPr>
                <w:rFonts w:cs="Times New Roman"/>
                <w:szCs w:val="24"/>
              </w:rPr>
            </w:pPr>
            <w:r w:rsidRPr="00123724">
              <w:rPr>
                <w:rFonts w:cs="Times New Roman"/>
                <w:szCs w:val="24"/>
              </w:rPr>
              <w:t>Для данных обследований статус вакцинации детей в возрасте от 12 до 23 месяцев собирается из карт здоровья ребенка или, если нет карты, из отзыва со стороны опекуна. Для административных данных извлекается общее количество доз, назначаемых целевой группе.</w:t>
            </w:r>
          </w:p>
        </w:tc>
      </w:tr>
      <w:tr w:rsidR="00537510" w:rsidRPr="00123724" w:rsidTr="00F7481A">
        <w:tc>
          <w:tcPr>
            <w:tcW w:w="1563" w:type="dxa"/>
          </w:tcPr>
          <w:p w:rsidR="00537510" w:rsidRPr="00123724" w:rsidRDefault="00537510" w:rsidP="00537510">
            <w:pPr>
              <w:rPr>
                <w:rFonts w:cs="Times New Roman"/>
                <w:szCs w:val="24"/>
              </w:rPr>
            </w:pPr>
            <w:r w:rsidRPr="00123724">
              <w:rPr>
                <w:rFonts w:cs="Times New Roman"/>
                <w:szCs w:val="24"/>
              </w:rPr>
              <w:t>Метод оценки</w:t>
            </w:r>
          </w:p>
        </w:tc>
        <w:tc>
          <w:tcPr>
            <w:tcW w:w="9101" w:type="dxa"/>
          </w:tcPr>
          <w:p w:rsidR="00537510" w:rsidRPr="00123724" w:rsidRDefault="00537510" w:rsidP="00537510">
            <w:pPr>
              <w:rPr>
                <w:rFonts w:cs="Times New Roman"/>
                <w:szCs w:val="24"/>
              </w:rPr>
            </w:pPr>
            <w:r w:rsidRPr="00123724">
              <w:rPr>
                <w:rFonts w:cs="Times New Roman"/>
                <w:szCs w:val="24"/>
              </w:rPr>
              <w:t xml:space="preserve">Вместе ВОЗ и ЮНИСЕФ получают оценки охвата DTP3 на основе данных, официально сообщенных ВОЗ и ЮНИСЕФ государствами-членами, а также данных, </w:t>
            </w:r>
            <w:r w:rsidR="00781203">
              <w:rPr>
                <w:rFonts w:cs="Times New Roman"/>
                <w:szCs w:val="24"/>
              </w:rPr>
              <w:t>представленных</w:t>
            </w:r>
            <w:r w:rsidRPr="00123724">
              <w:rPr>
                <w:rFonts w:cs="Times New Roman"/>
                <w:szCs w:val="24"/>
              </w:rPr>
              <w:t xml:space="preserve"> в опубликованной и серой литературе. Они также консультируются с местными экспертами </w:t>
            </w:r>
            <w:r w:rsidR="00131E1A">
              <w:rPr>
                <w:rFonts w:cs="Times New Roman"/>
                <w:szCs w:val="24"/>
              </w:rPr>
              <w:t>–</w:t>
            </w:r>
            <w:r w:rsidRPr="00123724">
              <w:rPr>
                <w:rFonts w:cs="Times New Roman"/>
                <w:szCs w:val="24"/>
              </w:rPr>
              <w:t xml:space="preserve"> в первую очередь с национальными менеджерами по охране окружающей среды и сотрудниками региональных отделений ВОЗ </w:t>
            </w:r>
            <w:r w:rsidR="00131E1A">
              <w:rPr>
                <w:rFonts w:cs="Times New Roman"/>
                <w:szCs w:val="24"/>
              </w:rPr>
              <w:t>–</w:t>
            </w:r>
            <w:r w:rsidRPr="00123724">
              <w:rPr>
                <w:rFonts w:cs="Times New Roman"/>
                <w:szCs w:val="24"/>
              </w:rPr>
              <w:t xml:space="preserve"> за дополнительной информацией о выполнении конкретных местных служб иммунизации. Исходя из имеющихся данных, рассмотрения потенциальных предвзятостей и вкладов местных экспертов, ВОЗ/ЮНИСЕФ определяет наиболее вероятный истинный уровень охвата иммунизацией.</w:t>
            </w:r>
          </w:p>
          <w:p w:rsidR="00537510" w:rsidRPr="00123724" w:rsidRDefault="00537510" w:rsidP="00537510">
            <w:pPr>
              <w:rPr>
                <w:rFonts w:cs="Times New Roman"/>
                <w:szCs w:val="24"/>
              </w:rPr>
            </w:pPr>
            <w:r w:rsidRPr="00123724">
              <w:rPr>
                <w:rFonts w:cs="Times New Roman"/>
                <w:szCs w:val="24"/>
              </w:rPr>
              <w:t>Более подробную информацию смотрите здесь:</w:t>
            </w:r>
          </w:p>
          <w:p w:rsidR="00537510" w:rsidRPr="00131E1A" w:rsidRDefault="00276122" w:rsidP="00537510">
            <w:pPr>
              <w:rPr>
                <w:rFonts w:cs="Times New Roman"/>
                <w:szCs w:val="24"/>
              </w:rPr>
            </w:pPr>
            <w:hyperlink r:id="rId25" w:history="1">
              <w:r w:rsidR="00131E1A" w:rsidRPr="00131E1A">
                <w:rPr>
                  <w:rStyle w:val="ac"/>
                  <w:rFonts w:cs="Times New Roman"/>
                  <w:szCs w:val="24"/>
                  <w:lang w:val="en-GB"/>
                </w:rPr>
                <w:t>https</w:t>
              </w:r>
              <w:r w:rsidR="00131E1A" w:rsidRPr="00131E1A">
                <w:rPr>
                  <w:rStyle w:val="ac"/>
                  <w:rFonts w:cs="Times New Roman"/>
                  <w:szCs w:val="24"/>
                </w:rPr>
                <w:t>://</w:t>
              </w:r>
              <w:r w:rsidR="00131E1A" w:rsidRPr="00131E1A">
                <w:rPr>
                  <w:rStyle w:val="ac"/>
                  <w:rFonts w:cs="Times New Roman"/>
                  <w:szCs w:val="24"/>
                  <w:lang w:val="en-GB"/>
                </w:rPr>
                <w:t>www</w:t>
              </w:r>
              <w:r w:rsidR="00131E1A" w:rsidRPr="00131E1A">
                <w:rPr>
                  <w:rStyle w:val="ac"/>
                  <w:rFonts w:cs="Times New Roman"/>
                  <w:szCs w:val="24"/>
                </w:rPr>
                <w:t>.</w:t>
              </w:r>
              <w:r w:rsidR="00131E1A" w:rsidRPr="00131E1A">
                <w:rPr>
                  <w:rStyle w:val="ac"/>
                  <w:rFonts w:cs="Times New Roman"/>
                  <w:szCs w:val="24"/>
                  <w:lang w:val="en-GB"/>
                </w:rPr>
                <w:t>who</w:t>
              </w:r>
              <w:r w:rsidR="00131E1A" w:rsidRPr="00131E1A">
                <w:rPr>
                  <w:rStyle w:val="ac"/>
                  <w:rFonts w:cs="Times New Roman"/>
                  <w:szCs w:val="24"/>
                </w:rPr>
                <w:t>.</w:t>
              </w:r>
              <w:proofErr w:type="spellStart"/>
              <w:r w:rsidR="00131E1A" w:rsidRPr="00131E1A">
                <w:rPr>
                  <w:rStyle w:val="ac"/>
                  <w:rFonts w:cs="Times New Roman"/>
                  <w:szCs w:val="24"/>
                  <w:lang w:val="en-GB"/>
                </w:rPr>
                <w:t>int</w:t>
              </w:r>
              <w:proofErr w:type="spellEnd"/>
              <w:r w:rsidR="00131E1A" w:rsidRPr="00131E1A">
                <w:rPr>
                  <w:rStyle w:val="ac"/>
                  <w:rFonts w:cs="Times New Roman"/>
                  <w:szCs w:val="24"/>
                </w:rPr>
                <w:t>/</w:t>
              </w:r>
              <w:r w:rsidR="00131E1A" w:rsidRPr="00131E1A">
                <w:rPr>
                  <w:rStyle w:val="ac"/>
                  <w:rFonts w:cs="Times New Roman"/>
                  <w:szCs w:val="24"/>
                  <w:lang w:val="en-GB"/>
                </w:rPr>
                <w:t>teams</w:t>
              </w:r>
              <w:r w:rsidR="00131E1A" w:rsidRPr="00131E1A">
                <w:rPr>
                  <w:rStyle w:val="ac"/>
                  <w:rFonts w:cs="Times New Roman"/>
                  <w:szCs w:val="24"/>
                </w:rPr>
                <w:t>/</w:t>
              </w:r>
              <w:r w:rsidR="00131E1A" w:rsidRPr="00131E1A">
                <w:rPr>
                  <w:rStyle w:val="ac"/>
                  <w:rFonts w:cs="Times New Roman"/>
                  <w:szCs w:val="24"/>
                  <w:lang w:val="en-GB"/>
                </w:rPr>
                <w:t>immunization</w:t>
              </w:r>
              <w:r w:rsidR="00131E1A" w:rsidRPr="00131E1A">
                <w:rPr>
                  <w:rStyle w:val="ac"/>
                  <w:rFonts w:cs="Times New Roman"/>
                  <w:szCs w:val="24"/>
                </w:rPr>
                <w:t>-</w:t>
              </w:r>
              <w:r w:rsidR="00131E1A" w:rsidRPr="00131E1A">
                <w:rPr>
                  <w:rStyle w:val="ac"/>
                  <w:rFonts w:cs="Times New Roman"/>
                  <w:szCs w:val="24"/>
                  <w:lang w:val="en-GB"/>
                </w:rPr>
                <w:t>vaccines</w:t>
              </w:r>
              <w:r w:rsidR="00131E1A" w:rsidRPr="00131E1A">
                <w:rPr>
                  <w:rStyle w:val="ac"/>
                  <w:rFonts w:cs="Times New Roman"/>
                  <w:szCs w:val="24"/>
                </w:rPr>
                <w:t>-</w:t>
              </w:r>
              <w:r w:rsidR="00131E1A" w:rsidRPr="00131E1A">
                <w:rPr>
                  <w:rStyle w:val="ac"/>
                  <w:rFonts w:cs="Times New Roman"/>
                  <w:szCs w:val="24"/>
                  <w:lang w:val="en-GB"/>
                </w:rPr>
                <w:t>and</w:t>
              </w:r>
              <w:r w:rsidR="00131E1A" w:rsidRPr="00131E1A">
                <w:rPr>
                  <w:rStyle w:val="ac"/>
                  <w:rFonts w:cs="Times New Roman"/>
                  <w:szCs w:val="24"/>
                </w:rPr>
                <w:t>-</w:t>
              </w:r>
              <w:r w:rsidR="00131E1A" w:rsidRPr="00131E1A">
                <w:rPr>
                  <w:rStyle w:val="ac"/>
                  <w:rFonts w:cs="Times New Roman"/>
                  <w:szCs w:val="24"/>
                  <w:lang w:val="en-GB"/>
                </w:rPr>
                <w:t>biologicals</w:t>
              </w:r>
              <w:r w:rsidR="00131E1A" w:rsidRPr="00131E1A">
                <w:rPr>
                  <w:rStyle w:val="ac"/>
                  <w:rFonts w:cs="Times New Roman"/>
                  <w:szCs w:val="24"/>
                </w:rPr>
                <w:t>/</w:t>
              </w:r>
              <w:r w:rsidR="00131E1A" w:rsidRPr="00131E1A">
                <w:rPr>
                  <w:rStyle w:val="ac"/>
                  <w:rFonts w:cs="Times New Roman"/>
                  <w:szCs w:val="24"/>
                  <w:lang w:val="en-GB"/>
                </w:rPr>
                <w:t>immunization</w:t>
              </w:r>
              <w:r w:rsidR="00131E1A" w:rsidRPr="00131E1A">
                <w:rPr>
                  <w:rStyle w:val="ac"/>
                  <w:rFonts w:cs="Times New Roman"/>
                  <w:szCs w:val="24"/>
                </w:rPr>
                <w:t>-</w:t>
              </w:r>
              <w:r w:rsidR="00131E1A" w:rsidRPr="00131E1A">
                <w:rPr>
                  <w:rStyle w:val="ac"/>
                  <w:rFonts w:cs="Times New Roman"/>
                  <w:szCs w:val="24"/>
                  <w:lang w:val="en-GB"/>
                </w:rPr>
                <w:t>analysis</w:t>
              </w:r>
              <w:r w:rsidR="00131E1A" w:rsidRPr="00131E1A">
                <w:rPr>
                  <w:rStyle w:val="ac"/>
                  <w:rFonts w:cs="Times New Roman"/>
                  <w:szCs w:val="24"/>
                </w:rPr>
                <w:t>-</w:t>
              </w:r>
              <w:r w:rsidR="00131E1A" w:rsidRPr="00131E1A">
                <w:rPr>
                  <w:rStyle w:val="ac"/>
                  <w:rFonts w:cs="Times New Roman"/>
                  <w:szCs w:val="24"/>
                  <w:lang w:val="en-GB"/>
                </w:rPr>
                <w:t>and</w:t>
              </w:r>
              <w:r w:rsidR="00131E1A" w:rsidRPr="00131E1A">
                <w:rPr>
                  <w:rStyle w:val="ac"/>
                  <w:rFonts w:cs="Times New Roman"/>
                  <w:szCs w:val="24"/>
                </w:rPr>
                <w:t>-</w:t>
              </w:r>
              <w:r w:rsidR="00131E1A" w:rsidRPr="00131E1A">
                <w:rPr>
                  <w:rStyle w:val="ac"/>
                  <w:rFonts w:cs="Times New Roman"/>
                  <w:szCs w:val="24"/>
                  <w:lang w:val="en-GB"/>
                </w:rPr>
                <w:t>insights</w:t>
              </w:r>
              <w:r w:rsidR="00131E1A" w:rsidRPr="00131E1A">
                <w:rPr>
                  <w:rStyle w:val="ac"/>
                  <w:rFonts w:cs="Times New Roman"/>
                  <w:szCs w:val="24"/>
                </w:rPr>
                <w:t>/</w:t>
              </w:r>
              <w:r w:rsidR="00131E1A" w:rsidRPr="00131E1A">
                <w:rPr>
                  <w:rStyle w:val="ac"/>
                  <w:rFonts w:cs="Times New Roman"/>
                  <w:szCs w:val="24"/>
                  <w:lang w:val="en-GB"/>
                </w:rPr>
                <w:t>global</w:t>
              </w:r>
              <w:r w:rsidR="00131E1A" w:rsidRPr="00131E1A">
                <w:rPr>
                  <w:rStyle w:val="ac"/>
                  <w:rFonts w:cs="Times New Roman"/>
                  <w:szCs w:val="24"/>
                </w:rPr>
                <w:t>-</w:t>
              </w:r>
              <w:r w:rsidR="00131E1A" w:rsidRPr="00131E1A">
                <w:rPr>
                  <w:rStyle w:val="ac"/>
                  <w:rFonts w:cs="Times New Roman"/>
                  <w:szCs w:val="24"/>
                  <w:lang w:val="en-GB"/>
                </w:rPr>
                <w:t>monitoring</w:t>
              </w:r>
              <w:r w:rsidR="00131E1A" w:rsidRPr="00131E1A">
                <w:rPr>
                  <w:rStyle w:val="ac"/>
                  <w:rFonts w:cs="Times New Roman"/>
                  <w:szCs w:val="24"/>
                </w:rPr>
                <w:t>/</w:t>
              </w:r>
              <w:r w:rsidR="00131E1A" w:rsidRPr="00131E1A">
                <w:rPr>
                  <w:rStyle w:val="ac"/>
                  <w:rFonts w:cs="Times New Roman"/>
                  <w:szCs w:val="24"/>
                  <w:lang w:val="en-GB"/>
                </w:rPr>
                <w:t>immunization</w:t>
              </w:r>
              <w:r w:rsidR="00131E1A" w:rsidRPr="00131E1A">
                <w:rPr>
                  <w:rStyle w:val="ac"/>
                  <w:rFonts w:cs="Times New Roman"/>
                  <w:szCs w:val="24"/>
                </w:rPr>
                <w:t>-</w:t>
              </w:r>
              <w:r w:rsidR="00131E1A" w:rsidRPr="00131E1A">
                <w:rPr>
                  <w:rStyle w:val="ac"/>
                  <w:rFonts w:cs="Times New Roman"/>
                  <w:szCs w:val="24"/>
                  <w:lang w:val="en-GB"/>
                </w:rPr>
                <w:t>coverage</w:t>
              </w:r>
              <w:r w:rsidR="00131E1A" w:rsidRPr="00131E1A">
                <w:rPr>
                  <w:rStyle w:val="ac"/>
                  <w:rFonts w:cs="Times New Roman"/>
                  <w:szCs w:val="24"/>
                </w:rPr>
                <w:t>/</w:t>
              </w:r>
              <w:r w:rsidR="00131E1A" w:rsidRPr="00131E1A">
                <w:rPr>
                  <w:rStyle w:val="ac"/>
                  <w:rFonts w:cs="Times New Roman"/>
                  <w:szCs w:val="24"/>
                  <w:lang w:val="en-GB"/>
                </w:rPr>
                <w:t>who</w:t>
              </w:r>
              <w:r w:rsidR="00131E1A" w:rsidRPr="00131E1A">
                <w:rPr>
                  <w:rStyle w:val="ac"/>
                  <w:rFonts w:cs="Times New Roman"/>
                  <w:szCs w:val="24"/>
                </w:rPr>
                <w:t>-</w:t>
              </w:r>
              <w:proofErr w:type="spellStart"/>
              <w:r w:rsidR="00131E1A" w:rsidRPr="00131E1A">
                <w:rPr>
                  <w:rStyle w:val="ac"/>
                  <w:rFonts w:cs="Times New Roman"/>
                  <w:szCs w:val="24"/>
                  <w:lang w:val="en-GB"/>
                </w:rPr>
                <w:t>unicef</w:t>
              </w:r>
              <w:proofErr w:type="spellEnd"/>
              <w:r w:rsidR="00131E1A" w:rsidRPr="00131E1A">
                <w:rPr>
                  <w:rStyle w:val="ac"/>
                  <w:rFonts w:cs="Times New Roman"/>
                  <w:szCs w:val="24"/>
                </w:rPr>
                <w:t>-</w:t>
              </w:r>
              <w:r w:rsidR="00131E1A" w:rsidRPr="00131E1A">
                <w:rPr>
                  <w:rStyle w:val="ac"/>
                  <w:rFonts w:cs="Times New Roman"/>
                  <w:szCs w:val="24"/>
                  <w:lang w:val="en-GB"/>
                </w:rPr>
                <w:t>estimates</w:t>
              </w:r>
              <w:r w:rsidR="00131E1A" w:rsidRPr="00131E1A">
                <w:rPr>
                  <w:rStyle w:val="ac"/>
                  <w:rFonts w:cs="Times New Roman"/>
                  <w:szCs w:val="24"/>
                </w:rPr>
                <w:t>-</w:t>
              </w:r>
              <w:r w:rsidR="00131E1A" w:rsidRPr="00131E1A">
                <w:rPr>
                  <w:rStyle w:val="ac"/>
                  <w:rFonts w:cs="Times New Roman"/>
                  <w:szCs w:val="24"/>
                  <w:lang w:val="en-GB"/>
                </w:rPr>
                <w:t>of</w:t>
              </w:r>
              <w:r w:rsidR="00131E1A" w:rsidRPr="00131E1A">
                <w:rPr>
                  <w:rStyle w:val="ac"/>
                  <w:rFonts w:cs="Times New Roman"/>
                  <w:szCs w:val="24"/>
                </w:rPr>
                <w:t>-</w:t>
              </w:r>
              <w:r w:rsidR="00131E1A" w:rsidRPr="00131E1A">
                <w:rPr>
                  <w:rStyle w:val="ac"/>
                  <w:rFonts w:cs="Times New Roman"/>
                  <w:szCs w:val="24"/>
                  <w:lang w:val="en-GB"/>
                </w:rPr>
                <w:t>national</w:t>
              </w:r>
              <w:r w:rsidR="00131E1A" w:rsidRPr="00131E1A">
                <w:rPr>
                  <w:rStyle w:val="ac"/>
                  <w:rFonts w:cs="Times New Roman"/>
                  <w:szCs w:val="24"/>
                </w:rPr>
                <w:t>-</w:t>
              </w:r>
              <w:r w:rsidR="00131E1A" w:rsidRPr="00131E1A">
                <w:rPr>
                  <w:rStyle w:val="ac"/>
                  <w:rFonts w:cs="Times New Roman"/>
                  <w:szCs w:val="24"/>
                  <w:lang w:val="en-GB"/>
                </w:rPr>
                <w:t>immunization</w:t>
              </w:r>
              <w:r w:rsidR="00131E1A" w:rsidRPr="00131E1A">
                <w:rPr>
                  <w:rStyle w:val="ac"/>
                  <w:rFonts w:cs="Times New Roman"/>
                  <w:szCs w:val="24"/>
                </w:rPr>
                <w:t>-</w:t>
              </w:r>
              <w:r w:rsidR="00131E1A" w:rsidRPr="00131E1A">
                <w:rPr>
                  <w:rStyle w:val="ac"/>
                  <w:rFonts w:cs="Times New Roman"/>
                  <w:szCs w:val="24"/>
                  <w:lang w:val="en-GB"/>
                </w:rPr>
                <w:t>coverage</w:t>
              </w:r>
            </w:hyperlink>
          </w:p>
        </w:tc>
      </w:tr>
      <w:tr w:rsidR="00537510" w:rsidRPr="00123724" w:rsidTr="00F7481A">
        <w:tc>
          <w:tcPr>
            <w:tcW w:w="1563" w:type="dxa"/>
          </w:tcPr>
          <w:p w:rsidR="00537510" w:rsidRPr="00123724" w:rsidRDefault="00537510" w:rsidP="00537510">
            <w:pPr>
              <w:rPr>
                <w:rFonts w:cs="Times New Roman"/>
                <w:szCs w:val="24"/>
              </w:rPr>
            </w:pPr>
            <w:r w:rsidRPr="00123724">
              <w:rPr>
                <w:rFonts w:cs="Times New Roman"/>
                <w:szCs w:val="24"/>
              </w:rPr>
              <w:t xml:space="preserve">Заметки по </w:t>
            </w:r>
            <w:r w:rsidRPr="00123724">
              <w:rPr>
                <w:rFonts w:cs="Times New Roman"/>
                <w:szCs w:val="24"/>
                <w:lang w:val="en-US"/>
              </w:rPr>
              <w:t>UHC</w:t>
            </w:r>
          </w:p>
        </w:tc>
        <w:tc>
          <w:tcPr>
            <w:tcW w:w="9101" w:type="dxa"/>
          </w:tcPr>
          <w:p w:rsidR="00537510" w:rsidRPr="00123724" w:rsidRDefault="002B1365" w:rsidP="00F7481A">
            <w:pPr>
              <w:rPr>
                <w:rFonts w:cs="Times New Roman"/>
                <w:szCs w:val="24"/>
              </w:rPr>
            </w:pPr>
            <w:r>
              <w:rPr>
                <w:rFonts w:cs="Times New Roman"/>
                <w:szCs w:val="24"/>
              </w:rPr>
              <w:t xml:space="preserve">Существует </w:t>
            </w:r>
            <w:r w:rsidR="00537510" w:rsidRPr="00123724">
              <w:rPr>
                <w:rFonts w:cs="Times New Roman"/>
                <w:szCs w:val="24"/>
              </w:rPr>
              <w:t xml:space="preserve">изменчивость национальных графиков вакцинации в разных странах. Учитывая это, одним из вариантов мониторинга полной иммунизации детей является мониторинг доли детей, получающих вакцины, включенных в национальный график своей страны. Второй вариант, который может быть более сопоставим по странам и времени, заключается в мониторинге покрытия DTP3 в качестве прокси для полной иммунизации детей. </w:t>
            </w:r>
            <w:r w:rsidR="00F7481A" w:rsidRPr="00123724">
              <w:rPr>
                <w:rFonts w:cs="Times New Roman"/>
                <w:szCs w:val="24"/>
              </w:rPr>
              <w:t>Вакцина, содержащая дифтерий-столбняк-коклюш, часто включает в себя другие вакцины, например, против гепатита В и гемофильного гриппа типа В, и является разумным показателем того, в какой степени в стране существует надежная платформа доставки вакцин.</w:t>
            </w:r>
          </w:p>
        </w:tc>
      </w:tr>
    </w:tbl>
    <w:p w:rsidR="00537510" w:rsidRPr="00123724" w:rsidRDefault="00537510" w:rsidP="00537510">
      <w:pPr>
        <w:rPr>
          <w:rFonts w:cs="Times New Roman"/>
          <w:szCs w:val="24"/>
        </w:rPr>
      </w:pPr>
    </w:p>
    <w:p w:rsidR="00537510" w:rsidRPr="00123724" w:rsidRDefault="00537510" w:rsidP="00537510">
      <w:pPr>
        <w:rPr>
          <w:rFonts w:cs="Times New Roman"/>
          <w:szCs w:val="24"/>
        </w:rPr>
      </w:pPr>
      <w:r w:rsidRPr="00123724">
        <w:rPr>
          <w:rFonts w:cs="Times New Roman"/>
          <w:szCs w:val="24"/>
        </w:rPr>
        <w:br w:type="page"/>
      </w:r>
    </w:p>
    <w:tbl>
      <w:tblPr>
        <w:tblStyle w:val="aa"/>
        <w:tblW w:w="9571" w:type="dxa"/>
        <w:tblLayout w:type="fixed"/>
        <w:tblLook w:val="04A0" w:firstRow="1" w:lastRow="0" w:firstColumn="1" w:lastColumn="0" w:noHBand="0" w:noVBand="1"/>
      </w:tblPr>
      <w:tblGrid>
        <w:gridCol w:w="1668"/>
        <w:gridCol w:w="7903"/>
      </w:tblGrid>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lastRenderedPageBreak/>
              <w:t>Область индикатора</w:t>
            </w:r>
          </w:p>
        </w:tc>
        <w:tc>
          <w:tcPr>
            <w:tcW w:w="7903" w:type="dxa"/>
          </w:tcPr>
          <w:p w:rsidR="00537510" w:rsidRPr="00123724" w:rsidRDefault="00537510" w:rsidP="00537510">
            <w:pPr>
              <w:rPr>
                <w:rFonts w:cs="Times New Roman"/>
                <w:szCs w:val="24"/>
              </w:rPr>
            </w:pPr>
            <w:r w:rsidRPr="00123724">
              <w:rPr>
                <w:rFonts w:cs="Times New Roman"/>
                <w:szCs w:val="24"/>
              </w:rPr>
              <w:t>Лечение детей (уход за симптомами пневмонии)</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Определение индикатора</w:t>
            </w:r>
          </w:p>
        </w:tc>
        <w:tc>
          <w:tcPr>
            <w:tcW w:w="7903" w:type="dxa"/>
          </w:tcPr>
          <w:p w:rsidR="00537510" w:rsidRPr="00123724" w:rsidRDefault="00537510" w:rsidP="00A61938">
            <w:pPr>
              <w:rPr>
                <w:rFonts w:cs="Times New Roman"/>
                <w:szCs w:val="24"/>
              </w:rPr>
            </w:pPr>
            <w:r w:rsidRPr="00123724">
              <w:rPr>
                <w:rFonts w:cs="Times New Roman"/>
                <w:szCs w:val="24"/>
              </w:rPr>
              <w:t>Процент детей в возрасте до 5 лет с подозрением на пневмонию (кашель и затрудненное дыхание</w:t>
            </w:r>
            <w:r w:rsidR="00852B4E">
              <w:rPr>
                <w:rFonts w:cs="Times New Roman"/>
                <w:szCs w:val="24"/>
              </w:rPr>
              <w:t xml:space="preserve"> </w:t>
            </w:r>
            <w:r w:rsidR="00852B4E" w:rsidRPr="00852B4E">
              <w:rPr>
                <w:rFonts w:cs="Times New Roman"/>
                <w:b/>
                <w:color w:val="FF0000"/>
                <w:szCs w:val="24"/>
              </w:rPr>
              <w:t>из-за проблемы с грудью, а не только из-за заложенного носа</w:t>
            </w:r>
            <w:r w:rsidRPr="00123724">
              <w:rPr>
                <w:rFonts w:cs="Times New Roman"/>
                <w:szCs w:val="24"/>
              </w:rPr>
              <w:t xml:space="preserve">) за </w:t>
            </w:r>
            <w:r w:rsidR="00CC0F96">
              <w:rPr>
                <w:rFonts w:cs="Times New Roman"/>
                <w:szCs w:val="24"/>
              </w:rPr>
              <w:t>2</w:t>
            </w:r>
            <w:r w:rsidRPr="00123724">
              <w:rPr>
                <w:rFonts w:cs="Times New Roman"/>
                <w:szCs w:val="24"/>
              </w:rPr>
              <w:t xml:space="preserve"> недели, предшествовавшие обследованию, </w:t>
            </w:r>
            <w:r w:rsidR="00A61938" w:rsidRPr="00A61938">
              <w:rPr>
                <w:rFonts w:cs="Times New Roman"/>
                <w:szCs w:val="24"/>
              </w:rPr>
              <w:t xml:space="preserve">которым была необходима консультация или лечение в медицинском учреждении или </w:t>
            </w:r>
            <w:r w:rsidR="00A61938">
              <w:rPr>
                <w:rFonts w:cs="Times New Roman"/>
                <w:szCs w:val="24"/>
              </w:rPr>
              <w:t>от медицинского работника</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Числитель</w:t>
            </w:r>
          </w:p>
        </w:tc>
        <w:tc>
          <w:tcPr>
            <w:tcW w:w="7903" w:type="dxa"/>
          </w:tcPr>
          <w:p w:rsidR="00537510" w:rsidRPr="00123724" w:rsidRDefault="00537510" w:rsidP="00CC0F96">
            <w:pPr>
              <w:rPr>
                <w:rFonts w:cs="Times New Roman"/>
                <w:szCs w:val="24"/>
              </w:rPr>
            </w:pPr>
            <w:r w:rsidRPr="00123724">
              <w:rPr>
                <w:rFonts w:cs="Times New Roman"/>
                <w:szCs w:val="24"/>
              </w:rPr>
              <w:t xml:space="preserve">Число детей с подозрением на пневмонию </w:t>
            </w:r>
            <w:r w:rsidR="00CC0F96" w:rsidRPr="00123724">
              <w:rPr>
                <w:rFonts w:cs="Times New Roman"/>
                <w:szCs w:val="24"/>
              </w:rPr>
              <w:t>(кашель и затрудненное дыхание</w:t>
            </w:r>
            <w:r w:rsidR="00CC0F96">
              <w:rPr>
                <w:rFonts w:cs="Times New Roman"/>
                <w:szCs w:val="24"/>
              </w:rPr>
              <w:t xml:space="preserve"> </w:t>
            </w:r>
            <w:r w:rsidR="00CC0F96" w:rsidRPr="00852B4E">
              <w:rPr>
                <w:rFonts w:cs="Times New Roman"/>
                <w:b/>
                <w:color w:val="FF0000"/>
                <w:szCs w:val="24"/>
              </w:rPr>
              <w:t>из-за проблемы с грудью, а не только из-за заложенного носа</w:t>
            </w:r>
            <w:r w:rsidR="00CC0F96" w:rsidRPr="00123724">
              <w:rPr>
                <w:rFonts w:cs="Times New Roman"/>
                <w:szCs w:val="24"/>
              </w:rPr>
              <w:t>)</w:t>
            </w:r>
            <w:r w:rsidR="00CC0F96">
              <w:rPr>
                <w:rFonts w:cs="Times New Roman"/>
                <w:szCs w:val="24"/>
              </w:rPr>
              <w:t xml:space="preserve"> </w:t>
            </w:r>
            <w:r w:rsidRPr="00123724">
              <w:rPr>
                <w:rFonts w:cs="Times New Roman"/>
                <w:szCs w:val="24"/>
              </w:rPr>
              <w:t xml:space="preserve">за </w:t>
            </w:r>
            <w:r w:rsidR="00CC0F96">
              <w:rPr>
                <w:rFonts w:cs="Times New Roman"/>
                <w:szCs w:val="24"/>
              </w:rPr>
              <w:t>2</w:t>
            </w:r>
            <w:r w:rsidRPr="00123724">
              <w:rPr>
                <w:rFonts w:cs="Times New Roman"/>
                <w:szCs w:val="24"/>
              </w:rPr>
              <w:t xml:space="preserve"> недели, предшествующие обследованию, </w:t>
            </w:r>
            <w:r w:rsidR="00A61938" w:rsidRPr="00123724">
              <w:rPr>
                <w:rFonts w:cs="Times New Roman"/>
                <w:szCs w:val="24"/>
              </w:rPr>
              <w:t xml:space="preserve">предшествовавшие обследованию, </w:t>
            </w:r>
            <w:r w:rsidR="00A61938" w:rsidRPr="00A61938">
              <w:rPr>
                <w:rFonts w:cs="Times New Roman"/>
                <w:szCs w:val="24"/>
              </w:rPr>
              <w:t xml:space="preserve">которым была необходима консультация или лечение в медицинском учреждении или </w:t>
            </w:r>
            <w:r w:rsidR="00A61938">
              <w:rPr>
                <w:rFonts w:cs="Times New Roman"/>
                <w:szCs w:val="24"/>
              </w:rPr>
              <w:t>от медицинского работника</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Знаменатель</w:t>
            </w:r>
          </w:p>
        </w:tc>
        <w:tc>
          <w:tcPr>
            <w:tcW w:w="7903" w:type="dxa"/>
          </w:tcPr>
          <w:p w:rsidR="00537510" w:rsidRPr="00123724" w:rsidRDefault="00A54553" w:rsidP="00537510">
            <w:pPr>
              <w:rPr>
                <w:rFonts w:cs="Times New Roman"/>
                <w:szCs w:val="24"/>
              </w:rPr>
            </w:pPr>
            <w:r w:rsidRPr="00123724">
              <w:rPr>
                <w:rFonts w:cs="Times New Roman"/>
                <w:szCs w:val="24"/>
              </w:rPr>
              <w:t>Число детей с подозрением на пневмонию (кашель и затрудненное дыхание</w:t>
            </w:r>
            <w:r>
              <w:rPr>
                <w:rFonts w:cs="Times New Roman"/>
                <w:szCs w:val="24"/>
              </w:rPr>
              <w:t xml:space="preserve"> </w:t>
            </w:r>
            <w:r w:rsidRPr="00852B4E">
              <w:rPr>
                <w:rFonts w:cs="Times New Roman"/>
                <w:b/>
                <w:color w:val="FF0000"/>
                <w:szCs w:val="24"/>
              </w:rPr>
              <w:t>из-за проблемы с грудью, а не только из-за заложенного носа</w:t>
            </w:r>
            <w:r w:rsidRPr="00123724">
              <w:rPr>
                <w:rFonts w:cs="Times New Roman"/>
                <w:szCs w:val="24"/>
              </w:rPr>
              <w:t>)</w:t>
            </w:r>
            <w:r>
              <w:rPr>
                <w:rFonts w:cs="Times New Roman"/>
                <w:szCs w:val="24"/>
              </w:rPr>
              <w:t xml:space="preserve"> </w:t>
            </w:r>
            <w:r w:rsidRPr="00123724">
              <w:rPr>
                <w:rFonts w:cs="Times New Roman"/>
                <w:szCs w:val="24"/>
              </w:rPr>
              <w:t xml:space="preserve">за </w:t>
            </w:r>
            <w:r>
              <w:rPr>
                <w:rFonts w:cs="Times New Roman"/>
                <w:szCs w:val="24"/>
              </w:rPr>
              <w:t>2</w:t>
            </w:r>
            <w:r w:rsidRPr="00123724">
              <w:rPr>
                <w:rFonts w:cs="Times New Roman"/>
                <w:szCs w:val="24"/>
              </w:rPr>
              <w:t xml:space="preserve"> недели, предшествующие обследованию, предшествовавшие обследованию</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Основные источники данных</w:t>
            </w:r>
          </w:p>
        </w:tc>
        <w:tc>
          <w:tcPr>
            <w:tcW w:w="7903" w:type="dxa"/>
          </w:tcPr>
          <w:p w:rsidR="00537510" w:rsidRPr="00123724" w:rsidRDefault="00EC38BC" w:rsidP="00537510">
            <w:pPr>
              <w:rPr>
                <w:rFonts w:cs="Times New Roman"/>
                <w:szCs w:val="24"/>
              </w:rPr>
            </w:pPr>
            <w:r w:rsidRPr="00EC38BC">
              <w:rPr>
                <w:rFonts w:cs="Times New Roman"/>
                <w:szCs w:val="24"/>
              </w:rPr>
              <w:t>Обследования домохозяйств</w:t>
            </w:r>
          </w:p>
        </w:tc>
      </w:tr>
      <w:tr w:rsidR="00537510" w:rsidRPr="00EC38BC" w:rsidTr="00537510">
        <w:tc>
          <w:tcPr>
            <w:tcW w:w="1668" w:type="dxa"/>
          </w:tcPr>
          <w:p w:rsidR="00537510" w:rsidRPr="00123724" w:rsidRDefault="00537510" w:rsidP="00537510">
            <w:pPr>
              <w:rPr>
                <w:rFonts w:cs="Times New Roman"/>
                <w:szCs w:val="24"/>
              </w:rPr>
            </w:pPr>
            <w:r w:rsidRPr="00123724">
              <w:rPr>
                <w:rFonts w:cs="Times New Roman"/>
                <w:szCs w:val="24"/>
              </w:rPr>
              <w:t>Метод</w:t>
            </w:r>
          </w:p>
          <w:p w:rsidR="00537510" w:rsidRPr="00123724" w:rsidRDefault="00537510" w:rsidP="00537510">
            <w:pPr>
              <w:rPr>
                <w:rFonts w:cs="Times New Roman"/>
                <w:szCs w:val="24"/>
              </w:rPr>
            </w:pPr>
            <w:r w:rsidRPr="00123724">
              <w:rPr>
                <w:rFonts w:cs="Times New Roman"/>
                <w:szCs w:val="24"/>
              </w:rPr>
              <w:t>расчета</w:t>
            </w:r>
          </w:p>
        </w:tc>
        <w:tc>
          <w:tcPr>
            <w:tcW w:w="7903" w:type="dxa"/>
          </w:tcPr>
          <w:p w:rsidR="00F35DDD" w:rsidRDefault="00F35DDD" w:rsidP="00537510">
            <w:pPr>
              <w:rPr>
                <w:rFonts w:cs="Times New Roman"/>
                <w:szCs w:val="24"/>
              </w:rPr>
            </w:pPr>
            <w:proofErr w:type="gramStart"/>
            <w:r w:rsidRPr="00F35DDD">
              <w:rPr>
                <w:rFonts w:cs="Times New Roman"/>
                <w:szCs w:val="24"/>
              </w:rPr>
              <w:t>Этот показатель учитывается в ходе обследований домохозяйств, включая DHS, MICS и другие общенациональные обследования населения, и предназначен для использования в условиях высокой смертности среди детей в возрасте до 5 лет для мониторинга усилий по снижению смертности от острых респираторных инфекций (включая пневмонию), которые являются основной причиной смерть детей в возрасте до 5 лет.</w:t>
            </w:r>
            <w:proofErr w:type="gramEnd"/>
            <w:r w:rsidRPr="00F35DDD">
              <w:rPr>
                <w:rFonts w:cs="Times New Roman"/>
                <w:szCs w:val="24"/>
              </w:rPr>
              <w:t xml:space="preserve"> Техническая консультативная группа по отслеживанию подотчетности в отношении здоровья детей (CHAT TAG), созданная ВОЗ и ЮНИСЕФ, ратифицировала этот показатель и работает над стандартизацией его использования в обследованиях домохозяйств.</w:t>
            </w:r>
          </w:p>
          <w:p w:rsidR="00EC38BC" w:rsidRDefault="00EC38BC" w:rsidP="00537510">
            <w:pPr>
              <w:rPr>
                <w:rFonts w:cs="Times New Roman"/>
                <w:szCs w:val="24"/>
              </w:rPr>
            </w:pPr>
            <w:r w:rsidRPr="00EC38BC">
              <w:rPr>
                <w:rFonts w:cs="Times New Roman"/>
                <w:szCs w:val="24"/>
              </w:rPr>
              <w:t>ВОЗ</w:t>
            </w:r>
            <w:r w:rsidR="00074F26">
              <w:rPr>
                <w:rFonts w:cs="Times New Roman"/>
                <w:szCs w:val="24"/>
              </w:rPr>
              <w:t>/ЮНИСЕФ</w:t>
            </w:r>
            <w:r w:rsidRPr="00EC38BC">
              <w:rPr>
                <w:rFonts w:cs="Times New Roman"/>
                <w:szCs w:val="24"/>
              </w:rPr>
              <w:t xml:space="preserve"> ведет базу данных наблюдений на уровне стран по результатам обследований домохозяйств, доступ к которым можно получить здесь:</w:t>
            </w:r>
          </w:p>
          <w:p w:rsidR="00537510" w:rsidRPr="007777D0" w:rsidRDefault="00276122" w:rsidP="00537510">
            <w:pPr>
              <w:rPr>
                <w:rFonts w:cs="Times New Roman"/>
                <w:szCs w:val="24"/>
              </w:rPr>
            </w:pPr>
            <w:hyperlink r:id="rId26" w:history="1">
              <w:r w:rsidR="00074F26" w:rsidRPr="00074F26">
                <w:rPr>
                  <w:rStyle w:val="ac"/>
                  <w:lang w:val="en-GB"/>
                </w:rPr>
                <w:t>https</w:t>
              </w:r>
              <w:r w:rsidR="00074F26" w:rsidRPr="00074F26">
                <w:rPr>
                  <w:rStyle w:val="ac"/>
                </w:rPr>
                <w:t>://</w:t>
              </w:r>
              <w:r w:rsidR="00074F26" w:rsidRPr="00074F26">
                <w:rPr>
                  <w:rStyle w:val="ac"/>
                  <w:lang w:val="en-GB"/>
                </w:rPr>
                <w:t>data</w:t>
              </w:r>
              <w:r w:rsidR="00074F26" w:rsidRPr="00074F26">
                <w:rPr>
                  <w:rStyle w:val="ac"/>
                </w:rPr>
                <w:t>.</w:t>
              </w:r>
              <w:proofErr w:type="spellStart"/>
              <w:r w:rsidR="00074F26" w:rsidRPr="00074F26">
                <w:rPr>
                  <w:rStyle w:val="ac"/>
                  <w:lang w:val="en-GB"/>
                </w:rPr>
                <w:t>unicef</w:t>
              </w:r>
              <w:proofErr w:type="spellEnd"/>
              <w:r w:rsidR="00074F26" w:rsidRPr="00074F26">
                <w:rPr>
                  <w:rStyle w:val="ac"/>
                </w:rPr>
                <w:t>.</w:t>
              </w:r>
              <w:r w:rsidR="00074F26" w:rsidRPr="00074F26">
                <w:rPr>
                  <w:rStyle w:val="ac"/>
                  <w:lang w:val="en-GB"/>
                </w:rPr>
                <w:t>org</w:t>
              </w:r>
              <w:r w:rsidR="00074F26" w:rsidRPr="00074F26">
                <w:rPr>
                  <w:rStyle w:val="ac"/>
                </w:rPr>
                <w:t>/</w:t>
              </w:r>
              <w:r w:rsidR="00074F26" w:rsidRPr="00074F26">
                <w:rPr>
                  <w:rStyle w:val="ac"/>
                  <w:lang w:val="en-GB"/>
                </w:rPr>
                <w:t>topic</w:t>
              </w:r>
              <w:r w:rsidR="00074F26" w:rsidRPr="00074F26">
                <w:rPr>
                  <w:rStyle w:val="ac"/>
                </w:rPr>
                <w:t>/</w:t>
              </w:r>
              <w:r w:rsidR="00074F26" w:rsidRPr="00074F26">
                <w:rPr>
                  <w:rStyle w:val="ac"/>
                  <w:lang w:val="en-GB"/>
                </w:rPr>
                <w:t>child</w:t>
              </w:r>
              <w:r w:rsidR="00074F26" w:rsidRPr="00074F26">
                <w:rPr>
                  <w:rStyle w:val="ac"/>
                </w:rPr>
                <w:t>-</w:t>
              </w:r>
              <w:r w:rsidR="00074F26" w:rsidRPr="00074F26">
                <w:rPr>
                  <w:rStyle w:val="ac"/>
                  <w:lang w:val="en-GB"/>
                </w:rPr>
                <w:t>health</w:t>
              </w:r>
              <w:r w:rsidR="00074F26" w:rsidRPr="00074F26">
                <w:rPr>
                  <w:rStyle w:val="ac"/>
                </w:rPr>
                <w:t>/</w:t>
              </w:r>
              <w:r w:rsidR="00074F26" w:rsidRPr="00074F26">
                <w:rPr>
                  <w:rStyle w:val="ac"/>
                  <w:lang w:val="en-GB"/>
                </w:rPr>
                <w:t>pneumonia</w:t>
              </w:r>
              <w:r w:rsidR="00074F26" w:rsidRPr="00074F26">
                <w:rPr>
                  <w:rStyle w:val="ac"/>
                </w:rPr>
                <w:t>/</w:t>
              </w:r>
            </w:hyperlink>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Метод оценки</w:t>
            </w:r>
          </w:p>
        </w:tc>
        <w:tc>
          <w:tcPr>
            <w:tcW w:w="7903" w:type="dxa"/>
          </w:tcPr>
          <w:p w:rsidR="00537510" w:rsidRPr="00123724" w:rsidRDefault="00977496" w:rsidP="00537510">
            <w:pPr>
              <w:rPr>
                <w:rFonts w:cs="Times New Roman"/>
                <w:szCs w:val="24"/>
              </w:rPr>
            </w:pPr>
            <w:r w:rsidRPr="00977496">
              <w:rPr>
                <w:rFonts w:cs="Times New Roman"/>
                <w:szCs w:val="24"/>
              </w:rPr>
              <w:t>ЮНИСЕФ и ВОЗ поддерживают базу данных по этому показателю и работают над обеспечением сопоставимости представленных значений, используя одно и то же определение показателя.</w:t>
            </w:r>
          </w:p>
        </w:tc>
      </w:tr>
      <w:tr w:rsidR="00537510" w:rsidRPr="0012534E" w:rsidTr="00537510">
        <w:tc>
          <w:tcPr>
            <w:tcW w:w="1668" w:type="dxa"/>
          </w:tcPr>
          <w:p w:rsidR="00537510" w:rsidRPr="00123724" w:rsidRDefault="00537510" w:rsidP="00537510">
            <w:pPr>
              <w:rPr>
                <w:rFonts w:cs="Times New Roman"/>
                <w:szCs w:val="24"/>
              </w:rPr>
            </w:pPr>
            <w:r w:rsidRPr="00123724">
              <w:rPr>
                <w:rFonts w:cs="Times New Roman"/>
                <w:szCs w:val="24"/>
              </w:rPr>
              <w:t xml:space="preserve">Заметки по </w:t>
            </w:r>
            <w:r w:rsidRPr="00123724">
              <w:rPr>
                <w:rFonts w:cs="Times New Roman"/>
                <w:szCs w:val="24"/>
                <w:lang w:val="en-US"/>
              </w:rPr>
              <w:t>UHC</w:t>
            </w:r>
          </w:p>
        </w:tc>
        <w:tc>
          <w:tcPr>
            <w:tcW w:w="7903" w:type="dxa"/>
          </w:tcPr>
          <w:p w:rsidR="00537510" w:rsidRPr="00C74BF2" w:rsidRDefault="00537510" w:rsidP="00EC38BC">
            <w:r w:rsidRPr="00123724">
              <w:rPr>
                <w:rFonts w:cs="Times New Roman"/>
                <w:szCs w:val="24"/>
              </w:rPr>
              <w:t xml:space="preserve">Этот показатель обычно не измеряется в странах с более высоким уровнем дохода с хорошо зарекомендовавшими себя системами здравоохранения. </w:t>
            </w:r>
            <w:proofErr w:type="gramStart"/>
            <w:r w:rsidRPr="00123724">
              <w:rPr>
                <w:rFonts w:cs="Times New Roman"/>
                <w:szCs w:val="24"/>
              </w:rPr>
              <w:t xml:space="preserve">Для стран, не имеющих наблюдаемых данных, охват оценивался по регрессии, которая предсказывает охват по уходу за симптомами пневмонии (по шкале </w:t>
            </w:r>
            <w:proofErr w:type="spellStart"/>
            <w:r w:rsidRPr="00123724">
              <w:rPr>
                <w:rFonts w:cs="Times New Roman"/>
                <w:szCs w:val="24"/>
              </w:rPr>
              <w:t>logit</w:t>
            </w:r>
            <w:proofErr w:type="spellEnd"/>
            <w:r w:rsidRPr="00123724">
              <w:rPr>
                <w:rFonts w:cs="Times New Roman"/>
                <w:szCs w:val="24"/>
              </w:rPr>
              <w:t>), полученной из базы данных ВОЗ, описанной выше, в зависимости от журнала</w:t>
            </w:r>
            <w:r w:rsidR="00C74BF2">
              <w:rPr>
                <w:rFonts w:cs="Times New Roman"/>
                <w:szCs w:val="24"/>
              </w:rPr>
              <w:t xml:space="preserve"> оценочных данных, пять смертей от </w:t>
            </w:r>
            <w:r w:rsidRPr="00123724">
              <w:rPr>
                <w:rFonts w:cs="Times New Roman"/>
                <w:szCs w:val="24"/>
              </w:rPr>
              <w:t>пне</w:t>
            </w:r>
            <w:r w:rsidR="00C74BF2">
              <w:rPr>
                <w:rFonts w:cs="Times New Roman"/>
                <w:szCs w:val="24"/>
              </w:rPr>
              <w:t>вмонии, которые можно найти </w:t>
            </w:r>
            <w:r w:rsidRPr="00123724">
              <w:rPr>
                <w:rFonts w:cs="Times New Roman"/>
                <w:szCs w:val="24"/>
              </w:rPr>
              <w:t>здесь:</w:t>
            </w:r>
            <w:r w:rsidR="0012534E">
              <w:t xml:space="preserve"> </w:t>
            </w:r>
            <w:hyperlink r:id="rId27" w:history="1">
              <w:r w:rsidR="00C74BF2" w:rsidRPr="00C74BF2">
                <w:rPr>
                  <w:rStyle w:val="ac"/>
                  <w:lang w:val="en-US"/>
                </w:rPr>
                <w:t>https</w:t>
              </w:r>
              <w:r w:rsidR="00C74BF2" w:rsidRPr="0012534E">
                <w:rPr>
                  <w:rStyle w:val="ac"/>
                </w:rPr>
                <w:t>://</w:t>
              </w:r>
              <w:r w:rsidR="00C74BF2" w:rsidRPr="00C74BF2">
                <w:rPr>
                  <w:rStyle w:val="ac"/>
                  <w:lang w:val="en-US"/>
                </w:rPr>
                <w:t>www</w:t>
              </w:r>
              <w:r w:rsidR="00C74BF2" w:rsidRPr="0012534E">
                <w:rPr>
                  <w:rStyle w:val="ac"/>
                </w:rPr>
                <w:t>.</w:t>
              </w:r>
              <w:r w:rsidR="00C74BF2" w:rsidRPr="00C74BF2">
                <w:rPr>
                  <w:rStyle w:val="ac"/>
                  <w:lang w:val="en-US"/>
                </w:rPr>
                <w:t>who</w:t>
              </w:r>
              <w:r w:rsidR="00C74BF2" w:rsidRPr="0012534E">
                <w:rPr>
                  <w:rStyle w:val="ac"/>
                </w:rPr>
                <w:t>.</w:t>
              </w:r>
              <w:proofErr w:type="spellStart"/>
              <w:r w:rsidR="00C74BF2" w:rsidRPr="00C74BF2">
                <w:rPr>
                  <w:rStyle w:val="ac"/>
                  <w:lang w:val="en-US"/>
                </w:rPr>
                <w:t>int</w:t>
              </w:r>
              <w:proofErr w:type="spellEnd"/>
              <w:r w:rsidR="00C74BF2" w:rsidRPr="0012534E">
                <w:rPr>
                  <w:rStyle w:val="ac"/>
                </w:rPr>
                <w:t>/</w:t>
              </w:r>
              <w:proofErr w:type="spellStart"/>
              <w:r w:rsidR="00C74BF2" w:rsidRPr="00C74BF2">
                <w:rPr>
                  <w:rStyle w:val="ac"/>
                  <w:lang w:val="en-US"/>
                </w:rPr>
                <w:t>healthinfo</w:t>
              </w:r>
              <w:proofErr w:type="spellEnd"/>
              <w:r w:rsidR="00C74BF2" w:rsidRPr="0012534E">
                <w:rPr>
                  <w:rStyle w:val="ac"/>
                </w:rPr>
                <w:t>/</w:t>
              </w:r>
              <w:r w:rsidR="00C74BF2" w:rsidRPr="00C74BF2">
                <w:rPr>
                  <w:rStyle w:val="ac"/>
                  <w:lang w:val="en-US"/>
                </w:rPr>
                <w:t>global</w:t>
              </w:r>
              <w:r w:rsidR="00C74BF2" w:rsidRPr="0012534E">
                <w:rPr>
                  <w:rStyle w:val="ac"/>
                </w:rPr>
                <w:t>_</w:t>
              </w:r>
              <w:r w:rsidR="00C74BF2" w:rsidRPr="00C74BF2">
                <w:rPr>
                  <w:rStyle w:val="ac"/>
                  <w:lang w:val="en-US"/>
                </w:rPr>
                <w:t>burden</w:t>
              </w:r>
              <w:r w:rsidR="00C74BF2" w:rsidRPr="0012534E">
                <w:rPr>
                  <w:rStyle w:val="ac"/>
                </w:rPr>
                <w:t>_</w:t>
              </w:r>
              <w:r w:rsidR="00C74BF2" w:rsidRPr="00C74BF2">
                <w:rPr>
                  <w:rStyle w:val="ac"/>
                  <w:lang w:val="en-US"/>
                </w:rPr>
                <w:t>disease</w:t>
              </w:r>
              <w:r w:rsidR="00C74BF2" w:rsidRPr="0012534E">
                <w:rPr>
                  <w:rStyle w:val="ac"/>
                </w:rPr>
                <w:t>/</w:t>
              </w:r>
              <w:r w:rsidR="00C74BF2" w:rsidRPr="00C74BF2">
                <w:rPr>
                  <w:rStyle w:val="ac"/>
                  <w:lang w:val="en-US"/>
                </w:rPr>
                <w:t>estimates</w:t>
              </w:r>
              <w:r w:rsidR="00C74BF2" w:rsidRPr="0012534E">
                <w:rPr>
                  <w:rStyle w:val="ac"/>
                </w:rPr>
                <w:t>/</w:t>
              </w:r>
              <w:proofErr w:type="spellStart"/>
              <w:r w:rsidR="00C74BF2" w:rsidRPr="00C74BF2">
                <w:rPr>
                  <w:rStyle w:val="ac"/>
                  <w:lang w:val="en-US"/>
                </w:rPr>
                <w:t>en</w:t>
              </w:r>
              <w:proofErr w:type="spellEnd"/>
              <w:r w:rsidR="00C74BF2" w:rsidRPr="0012534E">
                <w:rPr>
                  <w:rStyle w:val="ac"/>
                </w:rPr>
                <w:t>/</w:t>
              </w:r>
              <w:proofErr w:type="spellStart"/>
              <w:r w:rsidR="00C74BF2" w:rsidRPr="00C74BF2">
                <w:rPr>
                  <w:rStyle w:val="ac"/>
                  <w:lang w:val="en-US"/>
                </w:rPr>
                <w:t>ind</w:t>
              </w:r>
              <w:proofErr w:type="spellEnd"/>
              <w:r w:rsidR="00C74BF2" w:rsidRPr="0012534E">
                <w:rPr>
                  <w:rStyle w:val="ac"/>
                </w:rPr>
                <w:t xml:space="preserve"> </w:t>
              </w:r>
              <w:r w:rsidR="00C74BF2" w:rsidRPr="00C74BF2">
                <w:rPr>
                  <w:rStyle w:val="ac"/>
                  <w:lang w:val="en-US"/>
                </w:rPr>
                <w:t>ex</w:t>
              </w:r>
              <w:r w:rsidR="00C74BF2" w:rsidRPr="0012534E">
                <w:rPr>
                  <w:rStyle w:val="ac"/>
                </w:rPr>
                <w:t>2.</w:t>
              </w:r>
              <w:r w:rsidR="00C74BF2" w:rsidRPr="00C74BF2">
                <w:rPr>
                  <w:rStyle w:val="ac"/>
                  <w:lang w:val="en-US"/>
                </w:rPr>
                <w:t>html</w:t>
              </w:r>
            </w:hyperlink>
            <w:proofErr w:type="gramEnd"/>
          </w:p>
        </w:tc>
      </w:tr>
    </w:tbl>
    <w:p w:rsidR="00537510" w:rsidRPr="0012534E" w:rsidRDefault="00537510" w:rsidP="00537510">
      <w:pPr>
        <w:rPr>
          <w:rFonts w:cs="Times New Roman"/>
          <w:szCs w:val="24"/>
        </w:rPr>
      </w:pPr>
    </w:p>
    <w:p w:rsidR="00537510" w:rsidRPr="0012534E" w:rsidRDefault="00537510" w:rsidP="00537510">
      <w:pPr>
        <w:rPr>
          <w:rFonts w:cs="Times New Roman"/>
          <w:szCs w:val="24"/>
        </w:rPr>
      </w:pPr>
      <w:r w:rsidRPr="0012534E">
        <w:rPr>
          <w:rFonts w:cs="Times New Roman"/>
          <w:szCs w:val="24"/>
        </w:rPr>
        <w:br w:type="page"/>
      </w:r>
    </w:p>
    <w:tbl>
      <w:tblPr>
        <w:tblStyle w:val="aa"/>
        <w:tblW w:w="9571" w:type="dxa"/>
        <w:tblLook w:val="04A0" w:firstRow="1" w:lastRow="0" w:firstColumn="1" w:lastColumn="0" w:noHBand="0" w:noVBand="1"/>
      </w:tblPr>
      <w:tblGrid>
        <w:gridCol w:w="1668"/>
        <w:gridCol w:w="7903"/>
      </w:tblGrid>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lastRenderedPageBreak/>
              <w:t>Область индикатора</w:t>
            </w:r>
          </w:p>
        </w:tc>
        <w:tc>
          <w:tcPr>
            <w:tcW w:w="7903" w:type="dxa"/>
          </w:tcPr>
          <w:p w:rsidR="00537510" w:rsidRPr="00123724" w:rsidRDefault="00537510" w:rsidP="00537510">
            <w:pPr>
              <w:tabs>
                <w:tab w:val="left" w:pos="1080"/>
              </w:tabs>
              <w:rPr>
                <w:rFonts w:cs="Times New Roman"/>
                <w:szCs w:val="24"/>
              </w:rPr>
            </w:pPr>
            <w:r w:rsidRPr="00123724">
              <w:rPr>
                <w:rFonts w:cs="Times New Roman"/>
                <w:szCs w:val="24"/>
              </w:rPr>
              <w:t>Лечение туберкулеза</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Определение индикатора</w:t>
            </w:r>
          </w:p>
        </w:tc>
        <w:tc>
          <w:tcPr>
            <w:tcW w:w="7903" w:type="dxa"/>
          </w:tcPr>
          <w:p w:rsidR="00537510" w:rsidRPr="00123724" w:rsidRDefault="00537510" w:rsidP="00EA0B68">
            <w:pPr>
              <w:rPr>
                <w:rFonts w:cs="Times New Roman"/>
                <w:szCs w:val="24"/>
              </w:rPr>
            </w:pPr>
            <w:r w:rsidRPr="00123724">
              <w:rPr>
                <w:rFonts w:cs="Times New Roman"/>
                <w:szCs w:val="24"/>
              </w:rPr>
              <w:t xml:space="preserve">Процент случаев заболевания </w:t>
            </w:r>
            <w:r w:rsidR="00EA24F9">
              <w:rPr>
                <w:rFonts w:cs="Times New Roman"/>
                <w:szCs w:val="24"/>
              </w:rPr>
              <w:t>туберкулезом</w:t>
            </w:r>
            <w:r w:rsidRPr="00123724">
              <w:rPr>
                <w:rFonts w:cs="Times New Roman"/>
                <w:szCs w:val="24"/>
              </w:rPr>
              <w:t xml:space="preserve">, которые были обнаружены и </w:t>
            </w:r>
            <w:r w:rsidR="00EA0B68">
              <w:rPr>
                <w:rFonts w:cs="Times New Roman"/>
                <w:szCs w:val="24"/>
              </w:rPr>
              <w:t>вы</w:t>
            </w:r>
            <w:r w:rsidRPr="00123724">
              <w:rPr>
                <w:rFonts w:cs="Times New Roman"/>
                <w:szCs w:val="24"/>
              </w:rPr>
              <w:t>лечены в течение данного года</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Числитель</w:t>
            </w:r>
          </w:p>
        </w:tc>
        <w:tc>
          <w:tcPr>
            <w:tcW w:w="7903" w:type="dxa"/>
          </w:tcPr>
          <w:p w:rsidR="00537510" w:rsidRPr="00123724" w:rsidRDefault="00537510" w:rsidP="00EA0B68">
            <w:pPr>
              <w:rPr>
                <w:rFonts w:cs="Times New Roman"/>
                <w:szCs w:val="24"/>
              </w:rPr>
            </w:pPr>
            <w:r w:rsidRPr="00123724">
              <w:rPr>
                <w:rFonts w:cs="Times New Roman"/>
                <w:szCs w:val="24"/>
              </w:rPr>
              <w:t xml:space="preserve">Число новых случаев и </w:t>
            </w:r>
            <w:r w:rsidR="00EA0B68">
              <w:rPr>
                <w:rFonts w:cs="Times New Roman"/>
                <w:szCs w:val="24"/>
              </w:rPr>
              <w:t xml:space="preserve">случаев рецидивов, выявленных </w:t>
            </w:r>
            <w:r w:rsidRPr="00123724">
              <w:rPr>
                <w:rFonts w:cs="Times New Roman"/>
                <w:szCs w:val="24"/>
              </w:rPr>
              <w:t xml:space="preserve">и </w:t>
            </w:r>
            <w:r w:rsidR="00EA0B68">
              <w:rPr>
                <w:rFonts w:cs="Times New Roman"/>
                <w:szCs w:val="24"/>
              </w:rPr>
              <w:t>вы</w:t>
            </w:r>
            <w:r w:rsidRPr="00123724">
              <w:rPr>
                <w:rFonts w:cs="Times New Roman"/>
                <w:szCs w:val="24"/>
              </w:rPr>
              <w:t>леченных</w:t>
            </w:r>
            <w:r w:rsidR="00EA0B68">
              <w:rPr>
                <w:rFonts w:cs="Times New Roman"/>
                <w:szCs w:val="24"/>
              </w:rPr>
              <w:t xml:space="preserve"> </w:t>
            </w:r>
            <w:r w:rsidR="00EA0B68" w:rsidRPr="00123724">
              <w:rPr>
                <w:rFonts w:cs="Times New Roman"/>
                <w:szCs w:val="24"/>
              </w:rPr>
              <w:t>в течение данного года</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Знаменатель</w:t>
            </w:r>
          </w:p>
        </w:tc>
        <w:tc>
          <w:tcPr>
            <w:tcW w:w="7903" w:type="dxa"/>
          </w:tcPr>
          <w:p w:rsidR="00537510" w:rsidRPr="00123724" w:rsidRDefault="00537510" w:rsidP="00537510">
            <w:pPr>
              <w:rPr>
                <w:rFonts w:cs="Times New Roman"/>
                <w:szCs w:val="24"/>
              </w:rPr>
            </w:pPr>
            <w:r w:rsidRPr="00123724">
              <w:rPr>
                <w:rFonts w:cs="Times New Roman"/>
                <w:szCs w:val="24"/>
              </w:rPr>
              <w:t xml:space="preserve">Количество новых </w:t>
            </w:r>
            <w:r w:rsidR="00E26B1A">
              <w:rPr>
                <w:rFonts w:cs="Times New Roman"/>
                <w:szCs w:val="24"/>
              </w:rPr>
              <w:t xml:space="preserve">случаев </w:t>
            </w:r>
            <w:r w:rsidRPr="00123724">
              <w:rPr>
                <w:rFonts w:cs="Times New Roman"/>
                <w:szCs w:val="24"/>
              </w:rPr>
              <w:t>и рецидивов в том же году</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Основные источники данных</w:t>
            </w:r>
          </w:p>
        </w:tc>
        <w:tc>
          <w:tcPr>
            <w:tcW w:w="7903" w:type="dxa"/>
          </w:tcPr>
          <w:p w:rsidR="00537510" w:rsidRPr="00123724" w:rsidRDefault="00537510" w:rsidP="00537510">
            <w:pPr>
              <w:rPr>
                <w:rFonts w:cs="Times New Roman"/>
                <w:szCs w:val="24"/>
              </w:rPr>
            </w:pPr>
            <w:r w:rsidRPr="00123724">
              <w:rPr>
                <w:rFonts w:cs="Times New Roman"/>
                <w:szCs w:val="24"/>
              </w:rPr>
              <w:t xml:space="preserve">Информационные системы, системы </w:t>
            </w:r>
            <w:proofErr w:type="spellStart"/>
            <w:r w:rsidRPr="00123724">
              <w:rPr>
                <w:rFonts w:cs="Times New Roman"/>
                <w:szCs w:val="24"/>
              </w:rPr>
              <w:t>эпиднадзора</w:t>
            </w:r>
            <w:proofErr w:type="spellEnd"/>
            <w:r w:rsidRPr="00123724">
              <w:rPr>
                <w:rFonts w:cs="Times New Roman"/>
                <w:szCs w:val="24"/>
              </w:rPr>
              <w:t xml:space="preserve">, демографические обследования населения с диагностическим тестом на туберкулез, регистрацию </w:t>
            </w:r>
            <w:r w:rsidR="00EA24F9">
              <w:rPr>
                <w:rFonts w:cs="Times New Roman"/>
                <w:szCs w:val="24"/>
              </w:rPr>
              <w:t>туберкулеза</w:t>
            </w:r>
            <w:r w:rsidRPr="00123724">
              <w:rPr>
                <w:rFonts w:cs="Times New Roman"/>
                <w:szCs w:val="24"/>
              </w:rPr>
              <w:t xml:space="preserve"> и соответствующую квартальную систему отчетности (или электронные регистраторы </w:t>
            </w:r>
            <w:r w:rsidR="00EA24F9">
              <w:rPr>
                <w:rFonts w:cs="Times New Roman"/>
                <w:szCs w:val="24"/>
              </w:rPr>
              <w:t>туберкулеза</w:t>
            </w:r>
            <w:r w:rsidRPr="00123724">
              <w:rPr>
                <w:rFonts w:cs="Times New Roman"/>
                <w:szCs w:val="24"/>
              </w:rPr>
              <w:t>)</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Метод</w:t>
            </w:r>
          </w:p>
          <w:p w:rsidR="00537510" w:rsidRPr="00123724" w:rsidRDefault="00537510" w:rsidP="00537510">
            <w:pPr>
              <w:rPr>
                <w:rFonts w:cs="Times New Roman"/>
                <w:szCs w:val="24"/>
              </w:rPr>
            </w:pPr>
            <w:r w:rsidRPr="00123724">
              <w:rPr>
                <w:rFonts w:cs="Times New Roman"/>
                <w:szCs w:val="24"/>
              </w:rPr>
              <w:t>расчета</w:t>
            </w:r>
          </w:p>
        </w:tc>
        <w:tc>
          <w:tcPr>
            <w:tcW w:w="7903" w:type="dxa"/>
          </w:tcPr>
          <w:p w:rsidR="00537510" w:rsidRPr="00123724" w:rsidRDefault="00537510" w:rsidP="00537510">
            <w:pPr>
              <w:rPr>
                <w:rFonts w:cs="Times New Roman"/>
                <w:szCs w:val="24"/>
              </w:rPr>
            </w:pPr>
            <w:r w:rsidRPr="00123724">
              <w:rPr>
                <w:rFonts w:cs="Times New Roman"/>
                <w:szCs w:val="24"/>
              </w:rPr>
              <w:t xml:space="preserve">Для этого индикатора требуются </w:t>
            </w:r>
            <w:r w:rsidR="009E16C4">
              <w:rPr>
                <w:rFonts w:cs="Times New Roman"/>
                <w:szCs w:val="24"/>
              </w:rPr>
              <w:t>два</w:t>
            </w:r>
            <w:r w:rsidRPr="00123724">
              <w:rPr>
                <w:rFonts w:cs="Times New Roman"/>
                <w:szCs w:val="24"/>
              </w:rPr>
              <w:t xml:space="preserve"> основных входа:</w:t>
            </w:r>
          </w:p>
          <w:p w:rsidR="00537510" w:rsidRPr="00123724" w:rsidRDefault="00537510" w:rsidP="00537510">
            <w:pPr>
              <w:rPr>
                <w:rFonts w:cs="Times New Roman"/>
                <w:szCs w:val="24"/>
              </w:rPr>
            </w:pPr>
            <w:r w:rsidRPr="00123724">
              <w:rPr>
                <w:rFonts w:cs="Times New Roman"/>
                <w:szCs w:val="24"/>
              </w:rPr>
              <w:t>(1) Число новых и рецидивирующих случаев туберкулеза диагностировано и лечится в национальных программах борьбы с туберкулезом и уведомлено ВОЗ в конкретном году.</w:t>
            </w:r>
          </w:p>
          <w:p w:rsidR="00537510" w:rsidRDefault="00537510" w:rsidP="00537510">
            <w:pPr>
              <w:rPr>
                <w:rFonts w:cs="Times New Roman"/>
                <w:szCs w:val="24"/>
              </w:rPr>
            </w:pPr>
            <w:r w:rsidRPr="00123724">
              <w:rPr>
                <w:rFonts w:cs="Times New Roman"/>
                <w:szCs w:val="24"/>
              </w:rPr>
              <w:t xml:space="preserve">(2) Число случаев заболевания </w:t>
            </w:r>
            <w:r w:rsidR="00EA24F9">
              <w:rPr>
                <w:rFonts w:cs="Times New Roman"/>
                <w:szCs w:val="24"/>
              </w:rPr>
              <w:t>туберкулезом</w:t>
            </w:r>
            <w:r w:rsidRPr="00123724">
              <w:rPr>
                <w:rFonts w:cs="Times New Roman"/>
                <w:szCs w:val="24"/>
              </w:rPr>
              <w:t xml:space="preserve"> в том же году, как правило, оценивается ВОЗ.</w:t>
            </w:r>
          </w:p>
          <w:p w:rsidR="00912A48" w:rsidRPr="00123724" w:rsidRDefault="00912A48" w:rsidP="00537510">
            <w:pPr>
              <w:rPr>
                <w:rFonts w:cs="Times New Roman"/>
                <w:szCs w:val="24"/>
              </w:rPr>
            </w:pPr>
          </w:p>
          <w:p w:rsidR="00537510" w:rsidRDefault="00912A48" w:rsidP="00255011">
            <w:pPr>
              <w:rPr>
                <w:rFonts w:cs="Times New Roman"/>
                <w:szCs w:val="24"/>
              </w:rPr>
            </w:pPr>
            <w:r>
              <w:rPr>
                <w:rFonts w:cs="Times New Roman"/>
                <w:szCs w:val="24"/>
              </w:rPr>
              <w:t>Конечный индикатор = (1) / (2)</w:t>
            </w:r>
          </w:p>
          <w:p w:rsidR="00912A48" w:rsidRPr="00123724" w:rsidRDefault="00912A48" w:rsidP="00255011">
            <w:pPr>
              <w:rPr>
                <w:rFonts w:cs="Times New Roman"/>
                <w:szCs w:val="24"/>
              </w:rPr>
            </w:pP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Метод оценки</w:t>
            </w:r>
          </w:p>
        </w:tc>
        <w:tc>
          <w:tcPr>
            <w:tcW w:w="7903" w:type="dxa"/>
          </w:tcPr>
          <w:p w:rsidR="00537510" w:rsidRPr="00123724" w:rsidRDefault="00537510" w:rsidP="00537510">
            <w:pPr>
              <w:rPr>
                <w:rFonts w:cs="Times New Roman"/>
                <w:szCs w:val="24"/>
              </w:rPr>
            </w:pPr>
            <w:r w:rsidRPr="00123724">
              <w:rPr>
                <w:rFonts w:cs="Times New Roman"/>
                <w:szCs w:val="24"/>
              </w:rPr>
              <w:t xml:space="preserve">Оценки заболеваемости </w:t>
            </w:r>
            <w:r w:rsidR="00912A48">
              <w:rPr>
                <w:rFonts w:cs="Times New Roman"/>
                <w:szCs w:val="24"/>
              </w:rPr>
              <w:t>туберкулезом</w:t>
            </w:r>
            <w:r w:rsidRPr="00123724">
              <w:rPr>
                <w:rFonts w:cs="Times New Roman"/>
                <w:szCs w:val="24"/>
              </w:rPr>
              <w:t xml:space="preserve"> производятся в рамках консультативного и аналитического процесса, возглавляемого ВОЗ, и публикуются ежегодно. Эти оценки основаны на ежегодных уведомлениях о случаях, оценках качества и охвата данных уведомления о туберкулезе, национальных обследованиях распространенности заболевания </w:t>
            </w:r>
            <w:r w:rsidR="00EA24F9">
              <w:rPr>
                <w:rFonts w:cs="Times New Roman"/>
                <w:szCs w:val="24"/>
              </w:rPr>
              <w:t>туберкулезом</w:t>
            </w:r>
            <w:r w:rsidRPr="00123724">
              <w:rPr>
                <w:rFonts w:cs="Times New Roman"/>
                <w:szCs w:val="24"/>
              </w:rPr>
              <w:t xml:space="preserve"> и информации о смертельных (жизненно важных) системах регистрации. Оценки заболеваемости для каждой страны производятся с использованием одного или нескольких из следующих подходов в зависимости от имеющихся данных:</w:t>
            </w:r>
          </w:p>
          <w:p w:rsidR="00537510" w:rsidRPr="00123724" w:rsidRDefault="00537510" w:rsidP="00537510">
            <w:pPr>
              <w:rPr>
                <w:rFonts w:cs="Times New Roman"/>
                <w:szCs w:val="24"/>
              </w:rPr>
            </w:pPr>
            <w:r w:rsidRPr="00123724">
              <w:rPr>
                <w:rFonts w:cs="Times New Roman"/>
                <w:szCs w:val="24"/>
              </w:rPr>
              <w:t>1. заболеваемость = уведомления о случаях/оценочная доля выявленных случаев;</w:t>
            </w:r>
          </w:p>
          <w:p w:rsidR="00537510" w:rsidRPr="00123724" w:rsidRDefault="00537510" w:rsidP="00537510">
            <w:pPr>
              <w:rPr>
                <w:rFonts w:cs="Times New Roman"/>
                <w:szCs w:val="24"/>
              </w:rPr>
            </w:pPr>
            <w:r w:rsidRPr="00123724">
              <w:rPr>
                <w:rFonts w:cs="Times New Roman"/>
                <w:szCs w:val="24"/>
              </w:rPr>
              <w:t>2. заболеваемость = распространенность/продолжительность заболевания;</w:t>
            </w:r>
          </w:p>
          <w:p w:rsidR="00537510" w:rsidRDefault="00537510" w:rsidP="00537510">
            <w:pPr>
              <w:rPr>
                <w:rFonts w:cs="Times New Roman"/>
                <w:szCs w:val="24"/>
              </w:rPr>
            </w:pPr>
            <w:r w:rsidRPr="00123724">
              <w:rPr>
                <w:rFonts w:cs="Times New Roman"/>
                <w:szCs w:val="24"/>
              </w:rPr>
              <w:t>3. заболеваемость = смертность/доля случаев инцидентов, которые умирают.</w:t>
            </w:r>
          </w:p>
          <w:p w:rsidR="001B6976" w:rsidRPr="00123724" w:rsidRDefault="001B6976" w:rsidP="00537510">
            <w:pPr>
              <w:rPr>
                <w:rFonts w:cs="Times New Roman"/>
                <w:szCs w:val="24"/>
              </w:rPr>
            </w:pPr>
          </w:p>
          <w:p w:rsidR="001B6976" w:rsidRPr="001B6976" w:rsidRDefault="001B6976" w:rsidP="001B6976">
            <w:pPr>
              <w:rPr>
                <w:rFonts w:cs="Times New Roman"/>
                <w:szCs w:val="24"/>
              </w:rPr>
            </w:pPr>
            <w:r w:rsidRPr="001B6976">
              <w:rPr>
                <w:rFonts w:cs="Times New Roman"/>
                <w:szCs w:val="24"/>
              </w:rPr>
              <w:t xml:space="preserve">Были внедрены динамические и статистические модели для получения оценок на 2020 и 2021 годы, которые учитывают основные нарушения в предоставлении и доступе к услугам по диагностике и лечению туберкулеза, которые произошли в контексте пандемии </w:t>
            </w:r>
            <w:proofErr w:type="spellStart"/>
            <w:r w:rsidRPr="001B6976">
              <w:rPr>
                <w:rFonts w:cs="Times New Roman"/>
                <w:szCs w:val="24"/>
              </w:rPr>
              <w:t>коронавируса</w:t>
            </w:r>
            <w:proofErr w:type="spellEnd"/>
            <w:r w:rsidRPr="001B6976">
              <w:rPr>
                <w:rFonts w:cs="Times New Roman"/>
                <w:szCs w:val="24"/>
              </w:rPr>
              <w:t xml:space="preserve"> (COVID-19).</w:t>
            </w:r>
          </w:p>
          <w:p w:rsidR="001B6976" w:rsidRPr="001B6976" w:rsidRDefault="001B6976" w:rsidP="001B6976">
            <w:pPr>
              <w:rPr>
                <w:rFonts w:cs="Times New Roman"/>
                <w:szCs w:val="24"/>
              </w:rPr>
            </w:pPr>
          </w:p>
          <w:p w:rsidR="00537510" w:rsidRPr="00123724" w:rsidRDefault="001B6976" w:rsidP="001B6976">
            <w:pPr>
              <w:rPr>
                <w:rFonts w:cs="Times New Roman"/>
                <w:szCs w:val="24"/>
              </w:rPr>
            </w:pPr>
            <w:r w:rsidRPr="001B6976">
              <w:rPr>
                <w:rFonts w:cs="Times New Roman"/>
                <w:szCs w:val="24"/>
              </w:rPr>
              <w:t xml:space="preserve">Эти оценки заболеваемости туберкулезом сочетаются с предоставленными </w:t>
            </w:r>
            <w:proofErr w:type="gramStart"/>
            <w:r w:rsidRPr="001B6976">
              <w:rPr>
                <w:rFonts w:cs="Times New Roman"/>
                <w:szCs w:val="24"/>
              </w:rPr>
              <w:t>странами</w:t>
            </w:r>
            <w:proofErr w:type="gramEnd"/>
            <w:r w:rsidRPr="001B6976">
              <w:rPr>
                <w:rFonts w:cs="Times New Roman"/>
                <w:szCs w:val="24"/>
              </w:rPr>
              <w:t xml:space="preserve"> данными о количестве выявленных и пролеченных случаев, а также проценте успешно вылеченных случаев, как описано выше.</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 xml:space="preserve">Заметки по </w:t>
            </w:r>
            <w:r w:rsidRPr="00123724">
              <w:rPr>
                <w:rFonts w:cs="Times New Roman"/>
                <w:szCs w:val="24"/>
                <w:lang w:val="en-US"/>
              </w:rPr>
              <w:t>UHC</w:t>
            </w:r>
          </w:p>
        </w:tc>
        <w:tc>
          <w:tcPr>
            <w:tcW w:w="7903" w:type="dxa"/>
          </w:tcPr>
          <w:p w:rsidR="00537510" w:rsidRPr="00123724" w:rsidRDefault="00537510" w:rsidP="00537510">
            <w:pPr>
              <w:rPr>
                <w:rFonts w:cs="Times New Roman"/>
                <w:szCs w:val="24"/>
              </w:rPr>
            </w:pPr>
            <w:r w:rsidRPr="00123724">
              <w:rPr>
                <w:rFonts w:cs="Times New Roman"/>
                <w:szCs w:val="24"/>
              </w:rPr>
              <w:t xml:space="preserve">Чтобы вычислить </w:t>
            </w:r>
            <w:r>
              <w:rPr>
                <w:rFonts w:cs="Times New Roman"/>
                <w:szCs w:val="24"/>
              </w:rPr>
              <w:t>индикатор</w:t>
            </w:r>
            <w:r w:rsidRPr="00123724">
              <w:rPr>
                <w:rFonts w:cs="Times New Roman"/>
                <w:szCs w:val="24"/>
              </w:rPr>
              <w:t xml:space="preserve"> с использованием оценок ВОЗ, можно получить доступ к необходимым файлам здесь: </w:t>
            </w:r>
            <w:hyperlink r:id="rId28" w:history="1">
              <w:r w:rsidR="005B14E9" w:rsidRPr="00BE3D09">
                <w:rPr>
                  <w:rStyle w:val="ac"/>
                  <w:rFonts w:cs="Times New Roman"/>
                  <w:szCs w:val="24"/>
                </w:rPr>
                <w:t>http://www.who.int/tb/country/data/download/en/</w:t>
              </w:r>
            </w:hyperlink>
            <w:r w:rsidR="005B14E9">
              <w:rPr>
                <w:rFonts w:cs="Times New Roman"/>
                <w:szCs w:val="24"/>
              </w:rPr>
              <w:t xml:space="preserve">, </w:t>
            </w:r>
            <w:r w:rsidRPr="00123724">
              <w:rPr>
                <w:rFonts w:cs="Times New Roman"/>
                <w:szCs w:val="24"/>
              </w:rPr>
              <w:t>и вычислит</w:t>
            </w:r>
            <w:r w:rsidR="00255011">
              <w:rPr>
                <w:rFonts w:cs="Times New Roman"/>
                <w:szCs w:val="24"/>
              </w:rPr>
              <w:t xml:space="preserve">ь индикатор как </w:t>
            </w:r>
            <w:proofErr w:type="spellStart"/>
            <w:r w:rsidR="00255011">
              <w:t>as</w:t>
            </w:r>
            <w:proofErr w:type="spellEnd"/>
            <w:r w:rsidR="00255011">
              <w:t xml:space="preserve"> = </w:t>
            </w:r>
            <w:proofErr w:type="spellStart"/>
            <w:r w:rsidR="00255011">
              <w:t>c_cdr</w:t>
            </w:r>
            <w:proofErr w:type="spellEnd"/>
          </w:p>
        </w:tc>
      </w:tr>
    </w:tbl>
    <w:p w:rsidR="00537510" w:rsidRPr="00123724" w:rsidRDefault="00537510" w:rsidP="00537510">
      <w:pPr>
        <w:rPr>
          <w:rFonts w:cs="Times New Roman"/>
          <w:szCs w:val="24"/>
        </w:rPr>
      </w:pPr>
    </w:p>
    <w:tbl>
      <w:tblPr>
        <w:tblStyle w:val="aa"/>
        <w:tblW w:w="9571" w:type="dxa"/>
        <w:tblLook w:val="04A0" w:firstRow="1" w:lastRow="0" w:firstColumn="1" w:lastColumn="0" w:noHBand="0" w:noVBand="1"/>
      </w:tblPr>
      <w:tblGrid>
        <w:gridCol w:w="1668"/>
        <w:gridCol w:w="7903"/>
      </w:tblGrid>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lastRenderedPageBreak/>
              <w:t>Область индикатора</w:t>
            </w:r>
          </w:p>
        </w:tc>
        <w:tc>
          <w:tcPr>
            <w:tcW w:w="7903" w:type="dxa"/>
          </w:tcPr>
          <w:p w:rsidR="00537510" w:rsidRPr="00123724" w:rsidRDefault="00537510" w:rsidP="00537510">
            <w:pPr>
              <w:rPr>
                <w:rFonts w:cs="Times New Roman"/>
                <w:szCs w:val="24"/>
              </w:rPr>
            </w:pPr>
            <w:r w:rsidRPr="00123724">
              <w:rPr>
                <w:rFonts w:cs="Times New Roman"/>
                <w:szCs w:val="24"/>
              </w:rPr>
              <w:t>Лечение ВИЧ</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Определение индикатора</w:t>
            </w:r>
          </w:p>
        </w:tc>
        <w:tc>
          <w:tcPr>
            <w:tcW w:w="7903" w:type="dxa"/>
          </w:tcPr>
          <w:p w:rsidR="00537510" w:rsidRPr="00123724" w:rsidRDefault="00537510" w:rsidP="00537510">
            <w:pPr>
              <w:rPr>
                <w:rFonts w:cs="Times New Roman"/>
                <w:szCs w:val="24"/>
              </w:rPr>
            </w:pPr>
            <w:r w:rsidRPr="00123724">
              <w:rPr>
                <w:rFonts w:cs="Times New Roman"/>
                <w:szCs w:val="24"/>
              </w:rPr>
              <w:t>Процент людей, живущих с ВИЧ, в настоящее время получающих антиретровирусную терапию (АРТ)</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Числитель</w:t>
            </w:r>
          </w:p>
        </w:tc>
        <w:tc>
          <w:tcPr>
            <w:tcW w:w="7903" w:type="dxa"/>
          </w:tcPr>
          <w:p w:rsidR="00537510" w:rsidRPr="00123724" w:rsidRDefault="00537510" w:rsidP="00537510">
            <w:pPr>
              <w:rPr>
                <w:rFonts w:cs="Times New Roman"/>
                <w:szCs w:val="24"/>
              </w:rPr>
            </w:pPr>
            <w:r w:rsidRPr="00123724">
              <w:rPr>
                <w:rFonts w:cs="Times New Roman"/>
                <w:szCs w:val="24"/>
              </w:rPr>
              <w:t>Число взрослых и детей, которые в настоящее время получают АРТ на конец отчетного периода</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Знаменатель</w:t>
            </w:r>
          </w:p>
        </w:tc>
        <w:tc>
          <w:tcPr>
            <w:tcW w:w="7903" w:type="dxa"/>
          </w:tcPr>
          <w:p w:rsidR="00537510" w:rsidRPr="00123724" w:rsidRDefault="00537510" w:rsidP="00537510">
            <w:pPr>
              <w:rPr>
                <w:rFonts w:cs="Times New Roman"/>
                <w:szCs w:val="24"/>
              </w:rPr>
            </w:pPr>
            <w:r w:rsidRPr="00123724">
              <w:rPr>
                <w:rFonts w:cs="Times New Roman"/>
                <w:szCs w:val="24"/>
              </w:rPr>
              <w:t>Число взрослых и детей, живущих с ВИЧ, за тот же период</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Основные источники данных</w:t>
            </w:r>
          </w:p>
        </w:tc>
        <w:tc>
          <w:tcPr>
            <w:tcW w:w="7903" w:type="dxa"/>
          </w:tcPr>
          <w:p w:rsidR="00537510" w:rsidRPr="00123724" w:rsidRDefault="00537510" w:rsidP="00537510">
            <w:pPr>
              <w:rPr>
                <w:rFonts w:cs="Times New Roman"/>
                <w:szCs w:val="24"/>
              </w:rPr>
            </w:pPr>
            <w:r w:rsidRPr="00123724">
              <w:rPr>
                <w:rFonts w:cs="Times New Roman"/>
                <w:szCs w:val="24"/>
              </w:rPr>
              <w:t xml:space="preserve">Системы отчетности по объектам, дозорные пункты </w:t>
            </w:r>
            <w:proofErr w:type="spellStart"/>
            <w:r w:rsidRPr="00123724">
              <w:rPr>
                <w:rFonts w:cs="Times New Roman"/>
                <w:szCs w:val="24"/>
              </w:rPr>
              <w:t>эпиднадзора</w:t>
            </w:r>
            <w:proofErr w:type="spellEnd"/>
            <w:r w:rsidRPr="00123724">
              <w:rPr>
                <w:rFonts w:cs="Times New Roman"/>
                <w:szCs w:val="24"/>
              </w:rPr>
              <w:t>, обследования населения</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Метод</w:t>
            </w:r>
          </w:p>
          <w:p w:rsidR="00537510" w:rsidRPr="00123724" w:rsidRDefault="00537510" w:rsidP="00537510">
            <w:pPr>
              <w:rPr>
                <w:rFonts w:cs="Times New Roman"/>
                <w:szCs w:val="24"/>
              </w:rPr>
            </w:pPr>
            <w:r w:rsidRPr="00123724">
              <w:rPr>
                <w:rFonts w:cs="Times New Roman"/>
                <w:szCs w:val="24"/>
              </w:rPr>
              <w:t>расчета</w:t>
            </w:r>
          </w:p>
        </w:tc>
        <w:tc>
          <w:tcPr>
            <w:tcW w:w="7903" w:type="dxa"/>
          </w:tcPr>
          <w:p w:rsidR="00537510" w:rsidRDefault="00537510" w:rsidP="00537510">
            <w:pPr>
              <w:rPr>
                <w:rFonts w:cs="Times New Roman"/>
                <w:szCs w:val="24"/>
              </w:rPr>
            </w:pPr>
            <w:r w:rsidRPr="00123724">
              <w:rPr>
                <w:rFonts w:cs="Times New Roman"/>
                <w:szCs w:val="24"/>
              </w:rPr>
              <w:t xml:space="preserve">Числитель: числитель может быть сгенерирован путем подсчета числа взрослых и детей, которые получили антиретровирусную комбинированную терапию в конце отчетного периода. Данные можно собирать из реестров АРТ, основанных на объектах, или систем управления лекарственными средствами. Затем они подсчитываются и переводятся в ежемесячные или квартальные отчеты в поперечном разрезе, которые затем могут быть объединены для национальных итогов. Пациенты, получающие АРТ в частном секторе и в государственном секторе, должны быть включены в числитель. </w:t>
            </w:r>
          </w:p>
          <w:p w:rsidR="00537510" w:rsidRPr="00123724" w:rsidRDefault="0084087A" w:rsidP="0084087A">
            <w:pPr>
              <w:rPr>
                <w:rFonts w:cs="Times New Roman"/>
                <w:szCs w:val="24"/>
              </w:rPr>
            </w:pPr>
            <w:r>
              <w:rPr>
                <w:rFonts w:cs="Times New Roman"/>
                <w:szCs w:val="24"/>
              </w:rPr>
              <w:t>Знаменатель:</w:t>
            </w:r>
            <w:r w:rsidR="00537510" w:rsidRPr="00123724">
              <w:rPr>
                <w:rFonts w:cs="Times New Roman"/>
                <w:szCs w:val="24"/>
              </w:rPr>
              <w:t xml:space="preserve"> </w:t>
            </w:r>
            <w:r>
              <w:rPr>
                <w:rFonts w:cs="Times New Roman"/>
                <w:szCs w:val="24"/>
              </w:rPr>
              <w:t>д</w:t>
            </w:r>
            <w:r w:rsidR="00537510" w:rsidRPr="00123724">
              <w:rPr>
                <w:rFonts w:cs="Times New Roman"/>
                <w:szCs w:val="24"/>
              </w:rPr>
              <w:t xml:space="preserve">анные о числе людей с ВИЧ-инфекцией могут поступать из опросов населения или, как это принято в странах Африки к югу от Сахары, систем </w:t>
            </w:r>
            <w:proofErr w:type="spellStart"/>
            <w:r w:rsidR="00537510" w:rsidRPr="00123724">
              <w:rPr>
                <w:rFonts w:cs="Times New Roman"/>
                <w:szCs w:val="24"/>
              </w:rPr>
              <w:t>эпиднадзора</w:t>
            </w:r>
            <w:proofErr w:type="spellEnd"/>
            <w:r w:rsidR="00537510" w:rsidRPr="00123724">
              <w:rPr>
                <w:rFonts w:cs="Times New Roman"/>
                <w:szCs w:val="24"/>
              </w:rPr>
              <w:t xml:space="preserve"> на базе клиник дородовой помощи.</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Метод оценки</w:t>
            </w:r>
          </w:p>
        </w:tc>
        <w:tc>
          <w:tcPr>
            <w:tcW w:w="7903" w:type="dxa"/>
          </w:tcPr>
          <w:p w:rsidR="008D5C9C" w:rsidRDefault="00255011" w:rsidP="00537510">
            <w:pPr>
              <w:rPr>
                <w:rFonts w:cs="Times New Roman"/>
                <w:szCs w:val="24"/>
              </w:rPr>
            </w:pPr>
            <w:r w:rsidRPr="00255011">
              <w:rPr>
                <w:rFonts w:cs="Times New Roman"/>
                <w:szCs w:val="24"/>
              </w:rPr>
              <w:t>Оценки охвата антиретровирусным лечением людей, живущих с ВИЧ, за 2000–2018 годы получены в рамках раунда оценки ЮНЭЙДС 2019 года.</w:t>
            </w:r>
          </w:p>
          <w:p w:rsidR="00CF286C" w:rsidRDefault="00537510" w:rsidP="00537510">
            <w:pPr>
              <w:rPr>
                <w:rFonts w:cs="Times New Roman"/>
                <w:szCs w:val="24"/>
              </w:rPr>
            </w:pPr>
            <w:r w:rsidRPr="00123724">
              <w:rPr>
                <w:rFonts w:cs="Times New Roman"/>
                <w:szCs w:val="24"/>
              </w:rPr>
              <w:t>Чтобы оценить количество людей, живущих с ВИЧ, во время пребывания в странах с высоким бременем, ЮНЭЙДС в сотрудничестве со странами использует эпидемическую модель (</w:t>
            </w:r>
            <w:proofErr w:type="spellStart"/>
            <w:r w:rsidRPr="00123724">
              <w:rPr>
                <w:rFonts w:cs="Times New Roman"/>
                <w:szCs w:val="24"/>
              </w:rPr>
              <w:t>Spectrum</w:t>
            </w:r>
            <w:proofErr w:type="spellEnd"/>
            <w:r w:rsidRPr="00123724">
              <w:rPr>
                <w:rFonts w:cs="Times New Roman"/>
                <w:szCs w:val="24"/>
              </w:rPr>
              <w:t xml:space="preserve">), которая объединяет данные </w:t>
            </w:r>
            <w:proofErr w:type="spellStart"/>
            <w:r w:rsidRPr="00123724">
              <w:rPr>
                <w:rFonts w:cs="Times New Roman"/>
                <w:szCs w:val="24"/>
              </w:rPr>
              <w:t>эпиднадзора</w:t>
            </w:r>
            <w:proofErr w:type="spellEnd"/>
            <w:r w:rsidRPr="00123724">
              <w:rPr>
                <w:rFonts w:cs="Times New Roman"/>
                <w:szCs w:val="24"/>
              </w:rPr>
              <w:t xml:space="preserve"> о распространенности с текущим числом пациентов, получающих </w:t>
            </w:r>
            <w:proofErr w:type="gramStart"/>
            <w:r w:rsidRPr="00123724">
              <w:rPr>
                <w:rFonts w:cs="Times New Roman"/>
                <w:szCs w:val="24"/>
              </w:rPr>
              <w:t>АРТ</w:t>
            </w:r>
            <w:proofErr w:type="gramEnd"/>
            <w:r w:rsidRPr="00123724">
              <w:rPr>
                <w:rFonts w:cs="Times New Roman"/>
                <w:szCs w:val="24"/>
              </w:rPr>
              <w:t>, и предположения о естественной истори</w:t>
            </w:r>
            <w:r w:rsidR="00CF286C">
              <w:rPr>
                <w:rFonts w:cs="Times New Roman"/>
                <w:szCs w:val="24"/>
              </w:rPr>
              <w:t>и прогрессирования болезни ВИЧ.</w:t>
            </w:r>
          </w:p>
          <w:p w:rsidR="00537510" w:rsidRPr="00123724" w:rsidRDefault="00537510" w:rsidP="00537510">
            <w:pPr>
              <w:rPr>
                <w:rFonts w:cs="Times New Roman"/>
                <w:szCs w:val="24"/>
              </w:rPr>
            </w:pPr>
            <w:r w:rsidRPr="00123724">
              <w:rPr>
                <w:rFonts w:cs="Times New Roman"/>
                <w:szCs w:val="24"/>
              </w:rPr>
              <w:t xml:space="preserve">Поскольку </w:t>
            </w:r>
            <w:proofErr w:type="gramStart"/>
            <w:r w:rsidRPr="00123724">
              <w:rPr>
                <w:rFonts w:cs="Times New Roman"/>
                <w:szCs w:val="24"/>
              </w:rPr>
              <w:t>АРТ</w:t>
            </w:r>
            <w:proofErr w:type="gramEnd"/>
            <w:r w:rsidRPr="00123724">
              <w:rPr>
                <w:rFonts w:cs="Times New Roman"/>
                <w:szCs w:val="24"/>
              </w:rPr>
              <w:t xml:space="preserve"> сейчас рекомендуется для всех людей, живущих с ВИЧ, мониторинг АРТ менее сложный, чем раньше, когда только те, у кого определенный уровень тяжести заболевания, имеют право на получение АРТ.</w:t>
            </w:r>
          </w:p>
          <w:p w:rsidR="008B6E1D" w:rsidRPr="00123724" w:rsidRDefault="00537510" w:rsidP="008B6E1D">
            <w:pPr>
              <w:rPr>
                <w:rFonts w:cs="Times New Roman"/>
                <w:szCs w:val="24"/>
              </w:rPr>
            </w:pPr>
            <w:r w:rsidRPr="00123724">
              <w:rPr>
                <w:rFonts w:cs="Times New Roman"/>
                <w:szCs w:val="24"/>
              </w:rPr>
              <w:t>Оценк</w:t>
            </w:r>
            <w:r w:rsidR="008B6E1D">
              <w:rPr>
                <w:rFonts w:cs="Times New Roman"/>
                <w:szCs w:val="24"/>
              </w:rPr>
              <w:t xml:space="preserve">и охвата </w:t>
            </w:r>
            <w:proofErr w:type="gramStart"/>
            <w:r w:rsidR="008B6E1D">
              <w:rPr>
                <w:rFonts w:cs="Times New Roman"/>
                <w:szCs w:val="24"/>
              </w:rPr>
              <w:t>АРТ</w:t>
            </w:r>
            <w:proofErr w:type="gramEnd"/>
            <w:r w:rsidR="008B6E1D">
              <w:rPr>
                <w:rFonts w:cs="Times New Roman"/>
                <w:szCs w:val="24"/>
              </w:rPr>
              <w:t xml:space="preserve"> можно найти здесь: </w:t>
            </w:r>
            <w:hyperlink r:id="rId29" w:history="1">
              <w:r w:rsidR="008B6E1D" w:rsidRPr="008B6E1D">
                <w:rPr>
                  <w:rStyle w:val="ac"/>
                  <w:rFonts w:cs="Times New Roman"/>
                  <w:szCs w:val="24"/>
                  <w:lang w:val="en-GB"/>
                </w:rPr>
                <w:t>https</w:t>
              </w:r>
              <w:r w:rsidR="008B6E1D" w:rsidRPr="008B6E1D">
                <w:rPr>
                  <w:rStyle w:val="ac"/>
                  <w:rFonts w:cs="Times New Roman"/>
                  <w:szCs w:val="24"/>
                </w:rPr>
                <w:t>://</w:t>
              </w:r>
              <w:r w:rsidR="008B6E1D" w:rsidRPr="008B6E1D">
                <w:rPr>
                  <w:rStyle w:val="ac"/>
                  <w:rFonts w:cs="Times New Roman"/>
                  <w:szCs w:val="24"/>
                  <w:lang w:val="en-GB"/>
                </w:rPr>
                <w:t>www</w:t>
              </w:r>
              <w:r w:rsidR="008B6E1D" w:rsidRPr="008B6E1D">
                <w:rPr>
                  <w:rStyle w:val="ac"/>
                  <w:rFonts w:cs="Times New Roman"/>
                  <w:szCs w:val="24"/>
                </w:rPr>
                <w:t>.</w:t>
              </w:r>
              <w:r w:rsidR="008B6E1D" w:rsidRPr="008B6E1D">
                <w:rPr>
                  <w:rStyle w:val="ac"/>
                  <w:rFonts w:cs="Times New Roman"/>
                  <w:szCs w:val="24"/>
                  <w:lang w:val="en-GB"/>
                </w:rPr>
                <w:t>who</w:t>
              </w:r>
              <w:r w:rsidR="008B6E1D" w:rsidRPr="008B6E1D">
                <w:rPr>
                  <w:rStyle w:val="ac"/>
                  <w:rFonts w:cs="Times New Roman"/>
                  <w:szCs w:val="24"/>
                </w:rPr>
                <w:t>.</w:t>
              </w:r>
              <w:proofErr w:type="spellStart"/>
              <w:r w:rsidR="008B6E1D" w:rsidRPr="008B6E1D">
                <w:rPr>
                  <w:rStyle w:val="ac"/>
                  <w:rFonts w:cs="Times New Roman"/>
                  <w:szCs w:val="24"/>
                  <w:lang w:val="en-GB"/>
                </w:rPr>
                <w:t>int</w:t>
              </w:r>
              <w:proofErr w:type="spellEnd"/>
              <w:r w:rsidR="008B6E1D" w:rsidRPr="008B6E1D">
                <w:rPr>
                  <w:rStyle w:val="ac"/>
                  <w:rFonts w:cs="Times New Roman"/>
                  <w:szCs w:val="24"/>
                </w:rPr>
                <w:t>/</w:t>
              </w:r>
              <w:r w:rsidR="008B6E1D" w:rsidRPr="008B6E1D">
                <w:rPr>
                  <w:rStyle w:val="ac"/>
                  <w:rFonts w:cs="Times New Roman"/>
                  <w:szCs w:val="24"/>
                  <w:lang w:val="en-GB"/>
                </w:rPr>
                <w:t>data</w:t>
              </w:r>
              <w:r w:rsidR="008B6E1D" w:rsidRPr="008B6E1D">
                <w:rPr>
                  <w:rStyle w:val="ac"/>
                  <w:rFonts w:cs="Times New Roman"/>
                  <w:szCs w:val="24"/>
                </w:rPr>
                <w:t>/</w:t>
              </w:r>
              <w:proofErr w:type="spellStart"/>
              <w:r w:rsidR="008B6E1D" w:rsidRPr="008B6E1D">
                <w:rPr>
                  <w:rStyle w:val="ac"/>
                  <w:rFonts w:cs="Times New Roman"/>
                  <w:szCs w:val="24"/>
                  <w:lang w:val="en-GB"/>
                </w:rPr>
                <w:t>gho</w:t>
              </w:r>
              <w:proofErr w:type="spellEnd"/>
              <w:r w:rsidR="008B6E1D" w:rsidRPr="008B6E1D">
                <w:rPr>
                  <w:rStyle w:val="ac"/>
                  <w:rFonts w:cs="Times New Roman"/>
                  <w:szCs w:val="24"/>
                </w:rPr>
                <w:t>/</w:t>
              </w:r>
              <w:r w:rsidR="008B6E1D" w:rsidRPr="008B6E1D">
                <w:rPr>
                  <w:rStyle w:val="ac"/>
                  <w:rFonts w:cs="Times New Roman"/>
                  <w:szCs w:val="24"/>
                  <w:lang w:val="en-GB"/>
                </w:rPr>
                <w:t>data</w:t>
              </w:r>
              <w:r w:rsidR="008B6E1D" w:rsidRPr="008B6E1D">
                <w:rPr>
                  <w:rStyle w:val="ac"/>
                  <w:rFonts w:cs="Times New Roman"/>
                  <w:szCs w:val="24"/>
                </w:rPr>
                <w:t>/</w:t>
              </w:r>
              <w:r w:rsidR="008B6E1D" w:rsidRPr="008B6E1D">
                <w:rPr>
                  <w:rStyle w:val="ac"/>
                  <w:rFonts w:cs="Times New Roman"/>
                  <w:szCs w:val="24"/>
                  <w:lang w:val="en-GB"/>
                </w:rPr>
                <w:t>indicators</w:t>
              </w:r>
              <w:r w:rsidR="008B6E1D" w:rsidRPr="008B6E1D">
                <w:rPr>
                  <w:rStyle w:val="ac"/>
                  <w:rFonts w:cs="Times New Roman"/>
                  <w:szCs w:val="24"/>
                </w:rPr>
                <w:t>/</w:t>
              </w:r>
              <w:r w:rsidR="008B6E1D" w:rsidRPr="008B6E1D">
                <w:rPr>
                  <w:rStyle w:val="ac"/>
                  <w:rFonts w:cs="Times New Roman"/>
                  <w:szCs w:val="24"/>
                  <w:lang w:val="en-GB"/>
                </w:rPr>
                <w:t>indicator</w:t>
              </w:r>
              <w:r w:rsidR="008B6E1D" w:rsidRPr="008B6E1D">
                <w:rPr>
                  <w:rStyle w:val="ac"/>
                  <w:rFonts w:cs="Times New Roman"/>
                  <w:szCs w:val="24"/>
                </w:rPr>
                <w:t>-</w:t>
              </w:r>
              <w:r w:rsidR="008B6E1D" w:rsidRPr="008B6E1D">
                <w:rPr>
                  <w:rStyle w:val="ac"/>
                  <w:rFonts w:cs="Times New Roman"/>
                  <w:szCs w:val="24"/>
                  <w:lang w:val="en-GB"/>
                </w:rPr>
                <w:t>details</w:t>
              </w:r>
              <w:r w:rsidR="008B6E1D" w:rsidRPr="008B6E1D">
                <w:rPr>
                  <w:rStyle w:val="ac"/>
                  <w:rFonts w:cs="Times New Roman"/>
                  <w:szCs w:val="24"/>
                </w:rPr>
                <w:t>/</w:t>
              </w:r>
              <w:r w:rsidR="008B6E1D" w:rsidRPr="008B6E1D">
                <w:rPr>
                  <w:rStyle w:val="ac"/>
                  <w:rFonts w:cs="Times New Roman"/>
                  <w:szCs w:val="24"/>
                  <w:lang w:val="en-GB"/>
                </w:rPr>
                <w:t>GHO</w:t>
              </w:r>
              <w:r w:rsidR="008B6E1D" w:rsidRPr="008B6E1D">
                <w:rPr>
                  <w:rStyle w:val="ac"/>
                  <w:rFonts w:cs="Times New Roman"/>
                  <w:szCs w:val="24"/>
                </w:rPr>
                <w:t>/</w:t>
              </w:r>
              <w:r w:rsidR="008B6E1D" w:rsidRPr="008B6E1D">
                <w:rPr>
                  <w:rStyle w:val="ac"/>
                  <w:rFonts w:cs="Times New Roman"/>
                  <w:szCs w:val="24"/>
                  <w:lang w:val="en-GB"/>
                </w:rPr>
                <w:t>estimated</w:t>
              </w:r>
              <w:r w:rsidR="008B6E1D" w:rsidRPr="008B6E1D">
                <w:rPr>
                  <w:rStyle w:val="ac"/>
                  <w:rFonts w:cs="Times New Roman"/>
                  <w:szCs w:val="24"/>
                </w:rPr>
                <w:t>-</w:t>
              </w:r>
              <w:r w:rsidR="008B6E1D" w:rsidRPr="008B6E1D">
                <w:rPr>
                  <w:rStyle w:val="ac"/>
                  <w:rFonts w:cs="Times New Roman"/>
                  <w:szCs w:val="24"/>
                  <w:lang w:val="en-GB"/>
                </w:rPr>
                <w:t>antiretroviral</w:t>
              </w:r>
              <w:r w:rsidR="008B6E1D" w:rsidRPr="008B6E1D">
                <w:rPr>
                  <w:rStyle w:val="ac"/>
                  <w:rFonts w:cs="Times New Roman"/>
                  <w:szCs w:val="24"/>
                </w:rPr>
                <w:t>-</w:t>
              </w:r>
              <w:r w:rsidR="008B6E1D" w:rsidRPr="008B6E1D">
                <w:rPr>
                  <w:rStyle w:val="ac"/>
                  <w:rFonts w:cs="Times New Roman"/>
                  <w:szCs w:val="24"/>
                  <w:lang w:val="en-GB"/>
                </w:rPr>
                <w:t>therapy</w:t>
              </w:r>
              <w:r w:rsidR="008B6E1D" w:rsidRPr="008B6E1D">
                <w:rPr>
                  <w:rStyle w:val="ac"/>
                  <w:rFonts w:cs="Times New Roman"/>
                  <w:szCs w:val="24"/>
                </w:rPr>
                <w:t>-</w:t>
              </w:r>
              <w:r w:rsidR="008B6E1D" w:rsidRPr="008B6E1D">
                <w:rPr>
                  <w:rStyle w:val="ac"/>
                  <w:rFonts w:cs="Times New Roman"/>
                  <w:szCs w:val="24"/>
                  <w:lang w:val="en-GB"/>
                </w:rPr>
                <w:t>coverage</w:t>
              </w:r>
              <w:r w:rsidR="008B6E1D" w:rsidRPr="008B6E1D">
                <w:rPr>
                  <w:rStyle w:val="ac"/>
                  <w:rFonts w:cs="Times New Roman"/>
                  <w:szCs w:val="24"/>
                </w:rPr>
                <w:t>-</w:t>
              </w:r>
              <w:r w:rsidR="008B6E1D" w:rsidRPr="008B6E1D">
                <w:rPr>
                  <w:rStyle w:val="ac"/>
                  <w:rFonts w:cs="Times New Roman"/>
                  <w:szCs w:val="24"/>
                  <w:lang w:val="en-GB"/>
                </w:rPr>
                <w:t>among</w:t>
              </w:r>
              <w:r w:rsidR="008B6E1D" w:rsidRPr="008B6E1D">
                <w:rPr>
                  <w:rStyle w:val="ac"/>
                  <w:rFonts w:cs="Times New Roman"/>
                  <w:szCs w:val="24"/>
                </w:rPr>
                <w:t>-</w:t>
              </w:r>
              <w:r w:rsidR="008B6E1D" w:rsidRPr="008B6E1D">
                <w:rPr>
                  <w:rStyle w:val="ac"/>
                  <w:rFonts w:cs="Times New Roman"/>
                  <w:szCs w:val="24"/>
                  <w:lang w:val="en-GB"/>
                </w:rPr>
                <w:t>people</w:t>
              </w:r>
              <w:r w:rsidR="008B6E1D" w:rsidRPr="008B6E1D">
                <w:rPr>
                  <w:rStyle w:val="ac"/>
                  <w:rFonts w:cs="Times New Roman"/>
                  <w:szCs w:val="24"/>
                </w:rPr>
                <w:t>-</w:t>
              </w:r>
              <w:r w:rsidR="008B6E1D" w:rsidRPr="008B6E1D">
                <w:rPr>
                  <w:rStyle w:val="ac"/>
                  <w:rFonts w:cs="Times New Roman"/>
                  <w:szCs w:val="24"/>
                  <w:lang w:val="en-GB"/>
                </w:rPr>
                <w:t>living</w:t>
              </w:r>
              <w:r w:rsidR="008B6E1D" w:rsidRPr="008B6E1D">
                <w:rPr>
                  <w:rStyle w:val="ac"/>
                  <w:rFonts w:cs="Times New Roman"/>
                  <w:szCs w:val="24"/>
                </w:rPr>
                <w:t>-</w:t>
              </w:r>
              <w:r w:rsidR="008B6E1D" w:rsidRPr="008B6E1D">
                <w:rPr>
                  <w:rStyle w:val="ac"/>
                  <w:rFonts w:cs="Times New Roman"/>
                  <w:szCs w:val="24"/>
                  <w:lang w:val="en-GB"/>
                </w:rPr>
                <w:t>with</w:t>
              </w:r>
              <w:r w:rsidR="008B6E1D" w:rsidRPr="008B6E1D">
                <w:rPr>
                  <w:rStyle w:val="ac"/>
                  <w:rFonts w:cs="Times New Roman"/>
                  <w:szCs w:val="24"/>
                </w:rPr>
                <w:t>-</w:t>
              </w:r>
              <w:proofErr w:type="spellStart"/>
              <w:r w:rsidR="008B6E1D" w:rsidRPr="008B6E1D">
                <w:rPr>
                  <w:rStyle w:val="ac"/>
                  <w:rFonts w:cs="Times New Roman"/>
                  <w:szCs w:val="24"/>
                  <w:lang w:val="en-GB"/>
                </w:rPr>
                <w:t>hiv</w:t>
              </w:r>
              <w:proofErr w:type="spellEnd"/>
              <w:r w:rsidR="008B6E1D" w:rsidRPr="008B6E1D">
                <w:rPr>
                  <w:rStyle w:val="ac"/>
                  <w:rFonts w:cs="Times New Roman"/>
                  <w:szCs w:val="24"/>
                </w:rPr>
                <w:t>-(-)</w:t>
              </w:r>
            </w:hyperlink>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 xml:space="preserve">Заметки по </w:t>
            </w:r>
            <w:r w:rsidRPr="00123724">
              <w:rPr>
                <w:rFonts w:cs="Times New Roman"/>
                <w:szCs w:val="24"/>
                <w:lang w:val="en-US"/>
              </w:rPr>
              <w:t>UHC</w:t>
            </w:r>
          </w:p>
        </w:tc>
        <w:tc>
          <w:tcPr>
            <w:tcW w:w="7903" w:type="dxa"/>
          </w:tcPr>
          <w:p w:rsidR="00537510" w:rsidRPr="00123724" w:rsidRDefault="00537510" w:rsidP="00537510">
            <w:pPr>
              <w:rPr>
                <w:rFonts w:cs="Times New Roman"/>
                <w:szCs w:val="24"/>
              </w:rPr>
            </w:pPr>
            <w:r w:rsidRPr="00123724">
              <w:rPr>
                <w:rFonts w:cs="Times New Roman"/>
                <w:szCs w:val="24"/>
              </w:rPr>
              <w:t>Сопоставимые оценки охвата АРТ в странах с высокими доходами, в частности временные тенденции, не всегда доступны.</w:t>
            </w:r>
          </w:p>
        </w:tc>
      </w:tr>
    </w:tbl>
    <w:p w:rsidR="00537510" w:rsidRPr="00123724" w:rsidRDefault="00537510" w:rsidP="00537510">
      <w:pPr>
        <w:rPr>
          <w:rFonts w:cs="Times New Roman"/>
          <w:szCs w:val="24"/>
        </w:rPr>
      </w:pPr>
    </w:p>
    <w:p w:rsidR="00537510" w:rsidRPr="00123724" w:rsidRDefault="00537510" w:rsidP="00537510">
      <w:pPr>
        <w:rPr>
          <w:rFonts w:cs="Times New Roman"/>
          <w:szCs w:val="24"/>
        </w:rPr>
      </w:pPr>
      <w:r w:rsidRPr="00123724">
        <w:rPr>
          <w:rFonts w:cs="Times New Roman"/>
          <w:szCs w:val="24"/>
        </w:rPr>
        <w:br w:type="page"/>
      </w:r>
    </w:p>
    <w:tbl>
      <w:tblPr>
        <w:tblStyle w:val="aa"/>
        <w:tblW w:w="9571" w:type="dxa"/>
        <w:tblLook w:val="04A0" w:firstRow="1" w:lastRow="0" w:firstColumn="1" w:lastColumn="0" w:noHBand="0" w:noVBand="1"/>
      </w:tblPr>
      <w:tblGrid>
        <w:gridCol w:w="1668"/>
        <w:gridCol w:w="7903"/>
      </w:tblGrid>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lastRenderedPageBreak/>
              <w:t>Область индикатора</w:t>
            </w:r>
          </w:p>
        </w:tc>
        <w:tc>
          <w:tcPr>
            <w:tcW w:w="7903" w:type="dxa"/>
          </w:tcPr>
          <w:p w:rsidR="00537510" w:rsidRPr="00123724" w:rsidRDefault="00537510" w:rsidP="00537510">
            <w:pPr>
              <w:rPr>
                <w:rFonts w:cs="Times New Roman"/>
                <w:szCs w:val="24"/>
              </w:rPr>
            </w:pPr>
            <w:r w:rsidRPr="00123724">
              <w:rPr>
                <w:rFonts w:cs="Times New Roman"/>
                <w:szCs w:val="24"/>
              </w:rPr>
              <w:t>Предотвращение малярии</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Определение индикатора</w:t>
            </w:r>
          </w:p>
        </w:tc>
        <w:tc>
          <w:tcPr>
            <w:tcW w:w="7903" w:type="dxa"/>
          </w:tcPr>
          <w:p w:rsidR="00537510" w:rsidRPr="00123724" w:rsidRDefault="00537510" w:rsidP="00537510">
            <w:pPr>
              <w:rPr>
                <w:rFonts w:cs="Times New Roman"/>
                <w:szCs w:val="24"/>
              </w:rPr>
            </w:pPr>
            <w:r w:rsidRPr="00123724">
              <w:rPr>
                <w:rFonts w:cs="Times New Roman"/>
                <w:szCs w:val="24"/>
              </w:rPr>
              <w:t>Процент населения в эндемичных по малярии районах, которые спали под ITN накануне вечером.</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Числитель</w:t>
            </w:r>
          </w:p>
        </w:tc>
        <w:tc>
          <w:tcPr>
            <w:tcW w:w="7903" w:type="dxa"/>
          </w:tcPr>
          <w:p w:rsidR="00537510" w:rsidRPr="00123724" w:rsidRDefault="00537510" w:rsidP="00537510">
            <w:pPr>
              <w:rPr>
                <w:rFonts w:cs="Times New Roman"/>
                <w:szCs w:val="24"/>
              </w:rPr>
            </w:pPr>
            <w:r w:rsidRPr="00123724">
              <w:rPr>
                <w:rFonts w:cs="Times New Roman"/>
                <w:szCs w:val="24"/>
              </w:rPr>
              <w:t>Число людей в эндемичных по малярии областях, которые спали под ITN.</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Знаменатель</w:t>
            </w:r>
          </w:p>
        </w:tc>
        <w:tc>
          <w:tcPr>
            <w:tcW w:w="7903" w:type="dxa"/>
          </w:tcPr>
          <w:p w:rsidR="00537510" w:rsidRPr="00123724" w:rsidRDefault="00537510" w:rsidP="00537510">
            <w:pPr>
              <w:rPr>
                <w:rFonts w:cs="Times New Roman"/>
                <w:szCs w:val="24"/>
              </w:rPr>
            </w:pPr>
            <w:r w:rsidRPr="00123724">
              <w:rPr>
                <w:rFonts w:cs="Times New Roman"/>
                <w:szCs w:val="24"/>
              </w:rPr>
              <w:t>Общее количество людей в эндемичных районах малярии.</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Основные источники данных</w:t>
            </w:r>
          </w:p>
        </w:tc>
        <w:tc>
          <w:tcPr>
            <w:tcW w:w="7903" w:type="dxa"/>
          </w:tcPr>
          <w:p w:rsidR="00537510" w:rsidRPr="00123724" w:rsidRDefault="00537510" w:rsidP="00537510">
            <w:pPr>
              <w:rPr>
                <w:rFonts w:cs="Times New Roman"/>
                <w:szCs w:val="24"/>
              </w:rPr>
            </w:pPr>
            <w:r w:rsidRPr="00123724">
              <w:rPr>
                <w:rFonts w:cs="Times New Roman"/>
                <w:szCs w:val="24"/>
              </w:rPr>
              <w:t xml:space="preserve">Данные о доступе к домохозяйству и использовании ITN поступают из общенациональных репрезентативных обследований домашних хозяйств, таких как демографические и медицинские обследования, групповые обследования с несколькими показателями и обследования показателей по малярии. Данные о количестве ITN, поставляемых производителями в страны, составляются </w:t>
            </w:r>
            <w:proofErr w:type="spellStart"/>
            <w:r w:rsidRPr="00123724">
              <w:rPr>
                <w:rFonts w:cs="Times New Roman"/>
                <w:szCs w:val="24"/>
              </w:rPr>
              <w:t>Milliner</w:t>
            </w:r>
            <w:proofErr w:type="spellEnd"/>
            <w:r w:rsidRPr="00123724">
              <w:rPr>
                <w:rFonts w:cs="Times New Roman"/>
                <w:szCs w:val="24"/>
              </w:rPr>
              <w:t xml:space="preserve"> </w:t>
            </w:r>
            <w:proofErr w:type="spellStart"/>
            <w:r w:rsidRPr="00123724">
              <w:rPr>
                <w:rFonts w:cs="Times New Roman"/>
                <w:szCs w:val="24"/>
              </w:rPr>
              <w:t>Global</w:t>
            </w:r>
            <w:proofErr w:type="spellEnd"/>
            <w:r w:rsidRPr="00123724">
              <w:rPr>
                <w:rFonts w:cs="Times New Roman"/>
                <w:szCs w:val="24"/>
              </w:rPr>
              <w:t xml:space="preserve"> </w:t>
            </w:r>
            <w:proofErr w:type="spellStart"/>
            <w:r w:rsidRPr="00123724">
              <w:rPr>
                <w:rFonts w:cs="Times New Roman"/>
                <w:szCs w:val="24"/>
              </w:rPr>
              <w:t>Associates</w:t>
            </w:r>
            <w:proofErr w:type="spellEnd"/>
            <w:r w:rsidRPr="00123724">
              <w:rPr>
                <w:rFonts w:cs="Times New Roman"/>
                <w:szCs w:val="24"/>
              </w:rPr>
              <w:t>, а данные о количестве ITN, распространяемых внутри стран, сообщаются Национальными программами борьбы с малярией.</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Метод</w:t>
            </w:r>
          </w:p>
          <w:p w:rsidR="00537510" w:rsidRPr="00123724" w:rsidRDefault="00537510" w:rsidP="00537510">
            <w:pPr>
              <w:rPr>
                <w:rFonts w:cs="Times New Roman"/>
                <w:szCs w:val="24"/>
              </w:rPr>
            </w:pPr>
            <w:r w:rsidRPr="00123724">
              <w:rPr>
                <w:rFonts w:cs="Times New Roman"/>
                <w:szCs w:val="24"/>
              </w:rPr>
              <w:t>расчета</w:t>
            </w:r>
          </w:p>
        </w:tc>
        <w:tc>
          <w:tcPr>
            <w:tcW w:w="7903" w:type="dxa"/>
          </w:tcPr>
          <w:p w:rsidR="00537510" w:rsidRPr="00123724" w:rsidRDefault="00537510" w:rsidP="00537510">
            <w:pPr>
              <w:rPr>
                <w:rFonts w:cs="Times New Roman"/>
                <w:szCs w:val="24"/>
              </w:rPr>
            </w:pPr>
            <w:r w:rsidRPr="00123724">
              <w:rPr>
                <w:rFonts w:cs="Times New Roman"/>
                <w:szCs w:val="24"/>
              </w:rPr>
              <w:t xml:space="preserve">Во многих недавних национальных обследованиях сообщается о количестве ITN, наблюдаемых в каждом домохозяйстве-респонденте. </w:t>
            </w:r>
            <w:r>
              <w:rPr>
                <w:rFonts w:cs="Times New Roman"/>
                <w:szCs w:val="24"/>
              </w:rPr>
              <w:t>Оценки</w:t>
            </w:r>
            <w:r w:rsidRPr="00123724">
              <w:rPr>
                <w:rFonts w:cs="Times New Roman"/>
                <w:szCs w:val="24"/>
              </w:rPr>
              <w:t xml:space="preserve"> владения могут быть преобразованы в долю людей, спящих в ITN, используя линейную зависимость между доступом и использованием, полученную из 62 опросов, которые собирают информацию по обоим показателям.</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Метод оценки</w:t>
            </w:r>
          </w:p>
        </w:tc>
        <w:tc>
          <w:tcPr>
            <w:tcW w:w="7903" w:type="dxa"/>
          </w:tcPr>
          <w:p w:rsidR="00537510" w:rsidRPr="007F6931" w:rsidRDefault="00537510" w:rsidP="007F6931">
            <w:pPr>
              <w:rPr>
                <w:rFonts w:cs="Times New Roman"/>
                <w:b/>
                <w:szCs w:val="24"/>
              </w:rPr>
            </w:pPr>
            <w:r w:rsidRPr="00123724">
              <w:rPr>
                <w:rFonts w:cs="Times New Roman"/>
                <w:szCs w:val="24"/>
              </w:rPr>
              <w:t xml:space="preserve">Математические модели могут использоваться для объединения данных обследований домашних хозяйств по доступу и использованию с информацией о поставках ITN от производителей и распределении ITN по национальным программам борьбы с малярией для получения ежегодных оценок охвата ITN. ВОЗ использует этот подход в сотрудничестве с проектом «Атлас малярии». Методологические подробности можно найти </w:t>
            </w:r>
            <w:r w:rsidR="007F6931">
              <w:rPr>
                <w:rFonts w:cs="Times New Roman"/>
                <w:szCs w:val="24"/>
              </w:rPr>
              <w:t>на 122-123</w:t>
            </w:r>
            <w:r w:rsidRPr="00123724">
              <w:rPr>
                <w:rFonts w:cs="Times New Roman"/>
                <w:szCs w:val="24"/>
              </w:rPr>
              <w:t xml:space="preserve"> Всемирно</w:t>
            </w:r>
            <w:r w:rsidR="007F6931">
              <w:rPr>
                <w:rFonts w:cs="Times New Roman"/>
                <w:szCs w:val="24"/>
              </w:rPr>
              <w:t>го</w:t>
            </w:r>
            <w:r w:rsidRPr="00123724">
              <w:rPr>
                <w:rFonts w:cs="Times New Roman"/>
                <w:szCs w:val="24"/>
              </w:rPr>
              <w:t xml:space="preserve"> доклад</w:t>
            </w:r>
            <w:r w:rsidR="007F6931">
              <w:rPr>
                <w:rFonts w:cs="Times New Roman"/>
                <w:szCs w:val="24"/>
              </w:rPr>
              <w:t>а</w:t>
            </w:r>
            <w:r w:rsidRPr="00123724">
              <w:rPr>
                <w:rFonts w:cs="Times New Roman"/>
                <w:szCs w:val="24"/>
              </w:rPr>
              <w:t xml:space="preserve"> о малярии </w:t>
            </w:r>
            <w:r w:rsidR="007F6931">
              <w:rPr>
                <w:rFonts w:cs="Times New Roman"/>
                <w:szCs w:val="24"/>
              </w:rPr>
              <w:t xml:space="preserve">2021 </w:t>
            </w:r>
            <w:r w:rsidRPr="00123724">
              <w:rPr>
                <w:rFonts w:cs="Times New Roman"/>
                <w:szCs w:val="24"/>
              </w:rPr>
              <w:t>год</w:t>
            </w:r>
            <w:r w:rsidR="007F6931">
              <w:rPr>
                <w:rFonts w:cs="Times New Roman"/>
                <w:szCs w:val="24"/>
              </w:rPr>
              <w:t>а</w:t>
            </w:r>
            <w:r w:rsidRPr="00123724">
              <w:rPr>
                <w:rFonts w:cs="Times New Roman"/>
                <w:szCs w:val="24"/>
              </w:rPr>
              <w:t xml:space="preserve">: </w:t>
            </w:r>
            <w:hyperlink r:id="rId30" w:history="1">
              <w:r w:rsidR="007F6931" w:rsidRPr="007F6931">
                <w:rPr>
                  <w:rStyle w:val="ac"/>
                  <w:rFonts w:cs="Times New Roman"/>
                  <w:szCs w:val="24"/>
                  <w:lang w:val="en-GB"/>
                </w:rPr>
                <w:t>https</w:t>
              </w:r>
              <w:r w:rsidR="007F6931" w:rsidRPr="007F6931">
                <w:rPr>
                  <w:rStyle w:val="ac"/>
                  <w:rFonts w:cs="Times New Roman"/>
                  <w:szCs w:val="24"/>
                </w:rPr>
                <w:t>://</w:t>
              </w:r>
              <w:r w:rsidR="007F6931" w:rsidRPr="007F6931">
                <w:rPr>
                  <w:rStyle w:val="ac"/>
                  <w:rFonts w:cs="Times New Roman"/>
                  <w:szCs w:val="24"/>
                  <w:lang w:val="en-GB"/>
                </w:rPr>
                <w:t>www</w:t>
              </w:r>
              <w:r w:rsidR="007F6931" w:rsidRPr="007F6931">
                <w:rPr>
                  <w:rStyle w:val="ac"/>
                  <w:rFonts w:cs="Times New Roman"/>
                  <w:szCs w:val="24"/>
                </w:rPr>
                <w:t>.</w:t>
              </w:r>
              <w:r w:rsidR="007F6931" w:rsidRPr="007F6931">
                <w:rPr>
                  <w:rStyle w:val="ac"/>
                  <w:rFonts w:cs="Times New Roman"/>
                  <w:szCs w:val="24"/>
                  <w:lang w:val="en-GB"/>
                </w:rPr>
                <w:t>who</w:t>
              </w:r>
              <w:r w:rsidR="007F6931" w:rsidRPr="007F6931">
                <w:rPr>
                  <w:rStyle w:val="ac"/>
                  <w:rFonts w:cs="Times New Roman"/>
                  <w:szCs w:val="24"/>
                </w:rPr>
                <w:t>.</w:t>
              </w:r>
              <w:proofErr w:type="spellStart"/>
              <w:r w:rsidR="007F6931" w:rsidRPr="007F6931">
                <w:rPr>
                  <w:rStyle w:val="ac"/>
                  <w:rFonts w:cs="Times New Roman"/>
                  <w:szCs w:val="24"/>
                  <w:lang w:val="en-GB"/>
                </w:rPr>
                <w:t>int</w:t>
              </w:r>
              <w:proofErr w:type="spellEnd"/>
              <w:r w:rsidR="007F6931" w:rsidRPr="007F6931">
                <w:rPr>
                  <w:rStyle w:val="ac"/>
                  <w:rFonts w:cs="Times New Roman"/>
                  <w:szCs w:val="24"/>
                </w:rPr>
                <w:t>/</w:t>
              </w:r>
              <w:r w:rsidR="007F6931" w:rsidRPr="007F6931">
                <w:rPr>
                  <w:rStyle w:val="ac"/>
                  <w:rFonts w:cs="Times New Roman"/>
                  <w:szCs w:val="24"/>
                  <w:lang w:val="en-GB"/>
                </w:rPr>
                <w:t>publications</w:t>
              </w:r>
              <w:r w:rsidR="007F6931" w:rsidRPr="007F6931">
                <w:rPr>
                  <w:rStyle w:val="ac"/>
                  <w:rFonts w:cs="Times New Roman"/>
                  <w:szCs w:val="24"/>
                </w:rPr>
                <w:t>/</w:t>
              </w:r>
              <w:proofErr w:type="spellStart"/>
              <w:r w:rsidR="007F6931" w:rsidRPr="007F6931">
                <w:rPr>
                  <w:rStyle w:val="ac"/>
                  <w:rFonts w:cs="Times New Roman"/>
                  <w:szCs w:val="24"/>
                  <w:lang w:val="en-GB"/>
                </w:rPr>
                <w:t>i</w:t>
              </w:r>
              <w:proofErr w:type="spellEnd"/>
              <w:r w:rsidR="007F6931" w:rsidRPr="007F6931">
                <w:rPr>
                  <w:rStyle w:val="ac"/>
                  <w:rFonts w:cs="Times New Roman"/>
                  <w:szCs w:val="24"/>
                </w:rPr>
                <w:t>/</w:t>
              </w:r>
              <w:r w:rsidR="007F6931" w:rsidRPr="007F6931">
                <w:rPr>
                  <w:rStyle w:val="ac"/>
                  <w:rFonts w:cs="Times New Roman"/>
                  <w:szCs w:val="24"/>
                  <w:lang w:val="en-GB"/>
                </w:rPr>
                <w:t>item</w:t>
              </w:r>
              <w:r w:rsidR="007F6931" w:rsidRPr="007F6931">
                <w:rPr>
                  <w:rStyle w:val="ac"/>
                  <w:rFonts w:cs="Times New Roman"/>
                  <w:szCs w:val="24"/>
                </w:rPr>
                <w:t>/9789240040496</w:t>
              </w:r>
            </w:hyperlink>
            <w:r w:rsidR="007F6931" w:rsidRPr="007F6931">
              <w:rPr>
                <w:rFonts w:cs="Times New Roman"/>
                <w:szCs w:val="24"/>
              </w:rPr>
              <w:t>.</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 xml:space="preserve">Заметки по </w:t>
            </w:r>
            <w:r w:rsidRPr="00123724">
              <w:rPr>
                <w:rFonts w:cs="Times New Roman"/>
                <w:szCs w:val="24"/>
                <w:lang w:val="en-US"/>
              </w:rPr>
              <w:t>UHC</w:t>
            </w:r>
          </w:p>
        </w:tc>
        <w:tc>
          <w:tcPr>
            <w:tcW w:w="7903" w:type="dxa"/>
          </w:tcPr>
          <w:p w:rsidR="00537510" w:rsidRPr="00123724" w:rsidRDefault="00524FCA" w:rsidP="009E621C">
            <w:pPr>
              <w:rPr>
                <w:rFonts w:cs="Times New Roman"/>
                <w:szCs w:val="24"/>
              </w:rPr>
            </w:pPr>
            <w:r w:rsidRPr="00524FCA">
              <w:rPr>
                <w:rFonts w:cs="Times New Roman"/>
                <w:szCs w:val="24"/>
              </w:rPr>
              <w:t xml:space="preserve">ВОЗ производит сопоставимые оценки охвата </w:t>
            </w:r>
            <w:r>
              <w:rPr>
                <w:rFonts w:cs="Times New Roman"/>
                <w:szCs w:val="24"/>
                <w:lang w:val="en-US"/>
              </w:rPr>
              <w:t>ITN</w:t>
            </w:r>
            <w:r w:rsidRPr="00524FCA">
              <w:rPr>
                <w:rFonts w:cs="Times New Roman"/>
                <w:szCs w:val="24"/>
              </w:rPr>
              <w:t xml:space="preserve"> для 40 из 47 эндемичных по малярии стран или районов Африки к югу от Сахары. Острова </w:t>
            </w:r>
            <w:proofErr w:type="spellStart"/>
            <w:r w:rsidRPr="00524FCA">
              <w:rPr>
                <w:rFonts w:cs="Times New Roman"/>
                <w:szCs w:val="24"/>
              </w:rPr>
              <w:t>Майотта</w:t>
            </w:r>
            <w:proofErr w:type="spellEnd"/>
            <w:r w:rsidRPr="00524FCA">
              <w:rPr>
                <w:rFonts w:cs="Times New Roman"/>
                <w:szCs w:val="24"/>
              </w:rPr>
              <w:t xml:space="preserve"> (по которым не было данных о доставке или распространении </w:t>
            </w:r>
            <w:r>
              <w:rPr>
                <w:rFonts w:cs="Times New Roman"/>
                <w:szCs w:val="24"/>
                <w:lang w:val="en-US"/>
              </w:rPr>
              <w:t>ITN</w:t>
            </w:r>
            <w:r w:rsidRPr="00524FCA">
              <w:rPr>
                <w:rFonts w:cs="Times New Roman"/>
                <w:szCs w:val="24"/>
              </w:rPr>
              <w:t>) и Кабо-Верде (котор</w:t>
            </w:r>
            <w:r w:rsidR="009E621C">
              <w:rPr>
                <w:rFonts w:cs="Times New Roman"/>
                <w:szCs w:val="24"/>
              </w:rPr>
              <w:t>ое</w:t>
            </w:r>
            <w:r w:rsidRPr="00524FCA">
              <w:rPr>
                <w:rFonts w:cs="Times New Roman"/>
                <w:szCs w:val="24"/>
              </w:rPr>
              <w:t xml:space="preserve"> не распространяет </w:t>
            </w:r>
            <w:r>
              <w:rPr>
                <w:rFonts w:cs="Times New Roman"/>
                <w:szCs w:val="24"/>
                <w:lang w:val="en-US"/>
              </w:rPr>
              <w:t>ITN</w:t>
            </w:r>
            <w:r w:rsidRPr="00524FCA">
              <w:rPr>
                <w:rFonts w:cs="Times New Roman"/>
                <w:szCs w:val="24"/>
              </w:rPr>
              <w:t>) были исключены, а также страны с низким уровнем передачи</w:t>
            </w:r>
            <w:r w:rsidR="009E621C">
              <w:rPr>
                <w:rFonts w:cs="Times New Roman"/>
                <w:szCs w:val="24"/>
              </w:rPr>
              <w:t>:</w:t>
            </w:r>
            <w:r w:rsidRPr="00524FCA">
              <w:rPr>
                <w:rFonts w:cs="Times New Roman"/>
                <w:szCs w:val="24"/>
              </w:rPr>
              <w:t xml:space="preserve"> </w:t>
            </w:r>
            <w:proofErr w:type="spellStart"/>
            <w:r w:rsidRPr="00524FCA">
              <w:rPr>
                <w:rFonts w:cs="Times New Roman"/>
                <w:szCs w:val="24"/>
              </w:rPr>
              <w:t>Эсватини</w:t>
            </w:r>
            <w:proofErr w:type="spellEnd"/>
            <w:r w:rsidRPr="00524FCA">
              <w:rPr>
                <w:rFonts w:cs="Times New Roman"/>
                <w:szCs w:val="24"/>
              </w:rPr>
              <w:t xml:space="preserve">, Намибия, Сан-Томе и Принсипи и Южная Африка, </w:t>
            </w:r>
            <w:r w:rsidR="009E621C">
              <w:rPr>
                <w:rFonts w:cs="Times New Roman"/>
                <w:szCs w:val="24"/>
                <w:lang w:val="en-US"/>
              </w:rPr>
              <w:t>ITN</w:t>
            </w:r>
            <w:r w:rsidRPr="00524FCA">
              <w:rPr>
                <w:rFonts w:cs="Times New Roman"/>
                <w:szCs w:val="24"/>
              </w:rPr>
              <w:t xml:space="preserve"> которых составляют небольшую долю средств борьбы с переносчиками инфекции. Анализы были ограничены группами населения, отнесенными </w:t>
            </w:r>
            <w:r w:rsidR="009E621C">
              <w:rPr>
                <w:rFonts w:cs="Times New Roman"/>
                <w:szCs w:val="24"/>
                <w:lang w:val="en-US"/>
              </w:rPr>
              <w:t>NMPs</w:t>
            </w:r>
            <w:r w:rsidRPr="00524FCA">
              <w:rPr>
                <w:rFonts w:cs="Times New Roman"/>
                <w:szCs w:val="24"/>
              </w:rPr>
              <w:t xml:space="preserve"> к группе риска. В других странах покрытие ITN не включено в индекс охвата услугами </w:t>
            </w:r>
            <w:r w:rsidR="009E621C">
              <w:rPr>
                <w:rFonts w:cs="Times New Roman"/>
                <w:szCs w:val="24"/>
                <w:lang w:val="en-US"/>
              </w:rPr>
              <w:t>UHC</w:t>
            </w:r>
            <w:r w:rsidRPr="00524FCA">
              <w:rPr>
                <w:rFonts w:cs="Times New Roman"/>
                <w:szCs w:val="24"/>
              </w:rPr>
              <w:t xml:space="preserve"> из-за ограничений данных.</w:t>
            </w:r>
            <w:r w:rsidR="00537510" w:rsidRPr="00123724">
              <w:rPr>
                <w:rFonts w:cs="Times New Roman"/>
                <w:szCs w:val="24"/>
              </w:rPr>
              <w:t xml:space="preserve"> </w:t>
            </w:r>
          </w:p>
        </w:tc>
      </w:tr>
    </w:tbl>
    <w:p w:rsidR="00537510" w:rsidRPr="00123724" w:rsidRDefault="00537510" w:rsidP="00537510">
      <w:pPr>
        <w:rPr>
          <w:rFonts w:cs="Times New Roman"/>
          <w:szCs w:val="24"/>
        </w:rPr>
      </w:pPr>
    </w:p>
    <w:p w:rsidR="00537510" w:rsidRPr="00123724" w:rsidRDefault="00537510" w:rsidP="00537510">
      <w:pPr>
        <w:rPr>
          <w:rFonts w:cs="Times New Roman"/>
          <w:szCs w:val="24"/>
        </w:rPr>
      </w:pPr>
      <w:r w:rsidRPr="00123724">
        <w:rPr>
          <w:rFonts w:cs="Times New Roman"/>
          <w:szCs w:val="24"/>
        </w:rPr>
        <w:br w:type="page"/>
      </w:r>
    </w:p>
    <w:tbl>
      <w:tblPr>
        <w:tblStyle w:val="aa"/>
        <w:tblW w:w="9571" w:type="dxa"/>
        <w:tblLook w:val="04A0" w:firstRow="1" w:lastRow="0" w:firstColumn="1" w:lastColumn="0" w:noHBand="0" w:noVBand="1"/>
      </w:tblPr>
      <w:tblGrid>
        <w:gridCol w:w="1668"/>
        <w:gridCol w:w="7903"/>
      </w:tblGrid>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lastRenderedPageBreak/>
              <w:t>Область индикатора</w:t>
            </w:r>
          </w:p>
        </w:tc>
        <w:tc>
          <w:tcPr>
            <w:tcW w:w="7903" w:type="dxa"/>
          </w:tcPr>
          <w:p w:rsidR="00537510" w:rsidRPr="00123724" w:rsidRDefault="00AD1E98" w:rsidP="00537510">
            <w:pPr>
              <w:rPr>
                <w:rFonts w:cs="Times New Roman"/>
                <w:szCs w:val="24"/>
              </w:rPr>
            </w:pPr>
            <w:r>
              <w:rPr>
                <w:rFonts w:cs="Times New Roman"/>
                <w:szCs w:val="24"/>
              </w:rPr>
              <w:t xml:space="preserve">Водоснабжение, </w:t>
            </w:r>
            <w:r w:rsidR="00537510" w:rsidRPr="00123724">
              <w:rPr>
                <w:rFonts w:cs="Times New Roman"/>
                <w:szCs w:val="24"/>
              </w:rPr>
              <w:t>санитария</w:t>
            </w:r>
            <w:r>
              <w:rPr>
                <w:rFonts w:cs="Times New Roman"/>
                <w:szCs w:val="24"/>
              </w:rPr>
              <w:t xml:space="preserve"> и гигиена</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Определение индикатора</w:t>
            </w:r>
          </w:p>
        </w:tc>
        <w:tc>
          <w:tcPr>
            <w:tcW w:w="7903" w:type="dxa"/>
          </w:tcPr>
          <w:p w:rsidR="00537510" w:rsidRPr="00123724" w:rsidRDefault="00537510" w:rsidP="00537510">
            <w:pPr>
              <w:tabs>
                <w:tab w:val="left" w:pos="1095"/>
              </w:tabs>
              <w:rPr>
                <w:rFonts w:cs="Times New Roman"/>
                <w:szCs w:val="24"/>
              </w:rPr>
            </w:pPr>
            <w:r w:rsidRPr="00123724">
              <w:rPr>
                <w:rFonts w:cs="Times New Roman"/>
                <w:szCs w:val="24"/>
              </w:rPr>
              <w:t>Процент домохозяйств, использующих улучшенные санитарные условия</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Числитель</w:t>
            </w:r>
          </w:p>
        </w:tc>
        <w:tc>
          <w:tcPr>
            <w:tcW w:w="7903" w:type="dxa"/>
          </w:tcPr>
          <w:p w:rsidR="00537510" w:rsidRPr="00123724" w:rsidRDefault="00543C5F" w:rsidP="00543C5F">
            <w:pPr>
              <w:rPr>
                <w:rFonts w:cs="Times New Roman"/>
                <w:szCs w:val="24"/>
              </w:rPr>
            </w:pPr>
            <w:r>
              <w:rPr>
                <w:rFonts w:cs="Times New Roman"/>
                <w:szCs w:val="24"/>
              </w:rPr>
              <w:t>Численность населения</w:t>
            </w:r>
            <w:r w:rsidRPr="00543C5F">
              <w:rPr>
                <w:rFonts w:cs="Times New Roman"/>
                <w:szCs w:val="24"/>
              </w:rPr>
              <w:t>, пользующ</w:t>
            </w:r>
            <w:r>
              <w:rPr>
                <w:rFonts w:cs="Times New Roman"/>
                <w:szCs w:val="24"/>
              </w:rPr>
              <w:t>его</w:t>
            </w:r>
            <w:r w:rsidRPr="00543C5F">
              <w:rPr>
                <w:rFonts w:cs="Times New Roman"/>
                <w:szCs w:val="24"/>
              </w:rPr>
              <w:t xml:space="preserve"> базовы</w:t>
            </w:r>
            <w:r>
              <w:rPr>
                <w:rFonts w:cs="Times New Roman"/>
                <w:szCs w:val="24"/>
              </w:rPr>
              <w:t>е</w:t>
            </w:r>
            <w:r w:rsidRPr="00543C5F">
              <w:rPr>
                <w:rFonts w:cs="Times New Roman"/>
                <w:szCs w:val="24"/>
              </w:rPr>
              <w:t xml:space="preserve"> услуг</w:t>
            </w:r>
            <w:r>
              <w:rPr>
                <w:rFonts w:cs="Times New Roman"/>
                <w:szCs w:val="24"/>
              </w:rPr>
              <w:t>и</w:t>
            </w:r>
            <w:r w:rsidRPr="00543C5F">
              <w:rPr>
                <w:rFonts w:cs="Times New Roman"/>
                <w:szCs w:val="24"/>
              </w:rPr>
              <w:t xml:space="preserve"> санитарии, а также тех, кто пользуется услугами санитарии, организованными с соблюдением требований безопасности. Улучшенные санитарно-технические сооружения включают туалеты со смывом/проливным смывом, подключенные к канализационным системам, септикам или выгребным ямам; выгребные ямы с плитами (в том числе вентилируемые выгребные ямы) и биотуалеты</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Знаменатель</w:t>
            </w:r>
          </w:p>
        </w:tc>
        <w:tc>
          <w:tcPr>
            <w:tcW w:w="7903" w:type="dxa"/>
          </w:tcPr>
          <w:p w:rsidR="00537510" w:rsidRPr="00123724" w:rsidRDefault="00537510" w:rsidP="00537510">
            <w:pPr>
              <w:rPr>
                <w:rFonts w:cs="Times New Roman"/>
                <w:szCs w:val="24"/>
              </w:rPr>
            </w:pPr>
            <w:r w:rsidRPr="00123724">
              <w:rPr>
                <w:rFonts w:cs="Times New Roman"/>
                <w:szCs w:val="24"/>
              </w:rPr>
              <w:t>Общая численность населения</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Основные источники данных</w:t>
            </w:r>
          </w:p>
        </w:tc>
        <w:tc>
          <w:tcPr>
            <w:tcW w:w="7903" w:type="dxa"/>
          </w:tcPr>
          <w:p w:rsidR="00537510" w:rsidRPr="00123724" w:rsidRDefault="00537510" w:rsidP="00537510">
            <w:pPr>
              <w:rPr>
                <w:rFonts w:cs="Times New Roman"/>
                <w:szCs w:val="24"/>
              </w:rPr>
            </w:pPr>
            <w:r w:rsidRPr="00123724">
              <w:rPr>
                <w:rFonts w:cs="Times New Roman"/>
                <w:szCs w:val="24"/>
              </w:rPr>
              <w:t>Обследования домашних хозяйств и переписи населения</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Метод</w:t>
            </w:r>
          </w:p>
          <w:p w:rsidR="00537510" w:rsidRPr="00123724" w:rsidRDefault="00537510" w:rsidP="00537510">
            <w:pPr>
              <w:rPr>
                <w:rFonts w:cs="Times New Roman"/>
                <w:szCs w:val="24"/>
              </w:rPr>
            </w:pPr>
            <w:r w:rsidRPr="00123724">
              <w:rPr>
                <w:rFonts w:cs="Times New Roman"/>
                <w:szCs w:val="24"/>
              </w:rPr>
              <w:t>расчета</w:t>
            </w:r>
          </w:p>
        </w:tc>
        <w:tc>
          <w:tcPr>
            <w:tcW w:w="7903" w:type="dxa"/>
          </w:tcPr>
          <w:p w:rsidR="00537510" w:rsidRPr="00123724" w:rsidRDefault="000E58D1" w:rsidP="00537510">
            <w:pPr>
              <w:rPr>
                <w:rFonts w:cs="Times New Roman"/>
                <w:szCs w:val="24"/>
              </w:rPr>
            </w:pPr>
            <w:r w:rsidRPr="000E58D1">
              <w:rPr>
                <w:rFonts w:cs="Times New Roman"/>
                <w:szCs w:val="24"/>
              </w:rPr>
              <w:t>Данные об улучшенных санитарно-технических сооружениях регулярно собираются в ходе обследований и переписей домохозяйств. Эти источники данных могут также собирать информацию о совместном использовании санитарно-технических сооружений двумя или более домохозяйствами, а также об опорожнении местных санитарно-технических сооружений. Ответы на уровне домохозяйств, взвешенные по размеру домохозяйства, используются для расчета охвата населения.</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Метод оценки</w:t>
            </w:r>
          </w:p>
        </w:tc>
        <w:tc>
          <w:tcPr>
            <w:tcW w:w="7903" w:type="dxa"/>
          </w:tcPr>
          <w:p w:rsidR="00A7691B" w:rsidRDefault="00A7691B" w:rsidP="00537510">
            <w:pPr>
              <w:rPr>
                <w:rFonts w:cs="Times New Roman"/>
                <w:szCs w:val="24"/>
              </w:rPr>
            </w:pPr>
            <w:r w:rsidRPr="00A7691B">
              <w:rPr>
                <w:rFonts w:cs="Times New Roman"/>
                <w:szCs w:val="24"/>
              </w:rPr>
              <w:t>Совместная программа ВОЗ/ЮНИСЕФ по мониторингу водоснабжения, санитарии и гигиены (СПМ) отвечает за отчетность по ЦУР в области питьевой воды, санитарии и гигиены (ВСГ) и с 2000 года производит регулярные оценки охвата населения, пользующегося хотя б</w:t>
            </w:r>
            <w:r>
              <w:rPr>
                <w:rFonts w:cs="Times New Roman"/>
                <w:szCs w:val="24"/>
              </w:rPr>
              <w:t>ы базовыми услугами санитарии.</w:t>
            </w:r>
          </w:p>
          <w:p w:rsidR="00537510" w:rsidRPr="00123724" w:rsidRDefault="00255011" w:rsidP="00537510">
            <w:pPr>
              <w:rPr>
                <w:rFonts w:cs="Times New Roman"/>
                <w:szCs w:val="24"/>
              </w:rPr>
            </w:pPr>
            <w:r w:rsidRPr="00255011">
              <w:rPr>
                <w:rFonts w:cs="Times New Roman"/>
                <w:szCs w:val="24"/>
              </w:rPr>
              <w:t xml:space="preserve">СПМ собирает, анализирует и оценивает национальные данные, собранные статистическими управлениями и другими соответствующими учреждениями, включая отраслевые органы. Линейная регрессия используется для получения оценок населения, пользующегося улучшенными санитарно-техническими средствами, а также доли населения, практикующего открытую дефекацию. Регрессии также сделаны для оценки населения, использующего улучшенные санитарно-технические сооружения, подключенные к канализации и </w:t>
            </w:r>
            <w:proofErr w:type="spellStart"/>
            <w:r w:rsidRPr="00255011">
              <w:rPr>
                <w:rFonts w:cs="Times New Roman"/>
                <w:szCs w:val="24"/>
              </w:rPr>
              <w:t>септиктенкам</w:t>
            </w:r>
            <w:proofErr w:type="spellEnd"/>
            <w:r w:rsidRPr="00255011">
              <w:rPr>
                <w:rFonts w:cs="Times New Roman"/>
                <w:szCs w:val="24"/>
              </w:rPr>
              <w:t xml:space="preserve">; они ограничены, чтобы не превышать оценки общего числа улучшенных объектов. Доля населения, пользующегося канализационными и не канализационными санитарно-техническими сооружениями, оценивается путем усреднения всех имеющихся данных о совместном использовании, полученных в результате обследований домохозяйств и переписей. Базовые санитарно-технические услуги рассчитываются путем умножения доли населения, пользующегося улучшенными санитарно-техническими средствами, на долю улучшенных санитарно-технических сооружений, которые не используются двумя или более домохозяйствами. Отдельные оценки производятся для городских и сельских районов, а национальные оценки рассчитываются как средневзвешенные значения двух с использованием данных о населении из самого последнего доклада Отдела народонаселения Организации Объединенных Наций. Самое последнее обследование домохозяйств или перепись, доступная для большинства стран, как правило, проводилась от двух до шести лет назад. СПМ экстраполирует регрессии на два года после последней доступной </w:t>
            </w:r>
            <w:r w:rsidRPr="00255011">
              <w:rPr>
                <w:rFonts w:cs="Times New Roman"/>
                <w:szCs w:val="24"/>
              </w:rPr>
              <w:lastRenderedPageBreak/>
              <w:t xml:space="preserve">точки данных. После этого значения оценки остаются неизменными на срок до четырех лет, за исключением случаев, когда охват составляет менее 0,5 процента или выше 99,5 процента, и в этом случае линия продлевается на неопределенный срок. Для получения дополнительной информации см. </w:t>
            </w:r>
            <w:hyperlink r:id="rId31" w:history="1">
              <w:r w:rsidR="00A7691B" w:rsidRPr="00BE3D09">
                <w:rPr>
                  <w:rStyle w:val="ac"/>
                  <w:rFonts w:cs="Times New Roman"/>
                  <w:szCs w:val="24"/>
                </w:rPr>
                <w:t>https://washdata.org/monitoring/methods/estimation-methods</w:t>
              </w:r>
            </w:hyperlink>
            <w:r w:rsidR="00A7691B">
              <w:rPr>
                <w:rFonts w:cs="Times New Roman"/>
                <w:szCs w:val="24"/>
              </w:rPr>
              <w:t>.</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lastRenderedPageBreak/>
              <w:t xml:space="preserve">Заметки по </w:t>
            </w:r>
            <w:r w:rsidRPr="00123724">
              <w:rPr>
                <w:rFonts w:cs="Times New Roman"/>
                <w:szCs w:val="24"/>
                <w:lang w:val="en-US"/>
              </w:rPr>
              <w:t>UHC</w:t>
            </w:r>
          </w:p>
        </w:tc>
        <w:tc>
          <w:tcPr>
            <w:tcW w:w="7903" w:type="dxa"/>
          </w:tcPr>
          <w:p w:rsidR="00537510" w:rsidRPr="00123724" w:rsidRDefault="006C3017" w:rsidP="00537510">
            <w:pPr>
              <w:rPr>
                <w:rFonts w:cs="Times New Roman"/>
                <w:szCs w:val="24"/>
              </w:rPr>
            </w:pPr>
            <w:r w:rsidRPr="006C3017">
              <w:rPr>
                <w:rFonts w:cs="Times New Roman"/>
                <w:szCs w:val="24"/>
              </w:rPr>
              <w:t>Глобальный показатель ЦУР «доля населения, использующего безопасно организованные санитарные услуги» (ЦУР 6.2.1a) представляет собой расширенную версию показателя ЦРТ, который дополнительно учитывает безопасное управление экскрементами по всей цепочке санитарии, включая обработку и удаление. Этот показатель не используется для мониторинга ВОУЗ из-за низкой доступности данных.</w:t>
            </w:r>
          </w:p>
        </w:tc>
      </w:tr>
    </w:tbl>
    <w:p w:rsidR="00537510" w:rsidRPr="00123724" w:rsidRDefault="00537510" w:rsidP="00537510">
      <w:pPr>
        <w:rPr>
          <w:rFonts w:cs="Times New Roman"/>
          <w:szCs w:val="24"/>
        </w:rPr>
      </w:pPr>
    </w:p>
    <w:tbl>
      <w:tblPr>
        <w:tblStyle w:val="aa"/>
        <w:tblW w:w="9571" w:type="dxa"/>
        <w:tblLook w:val="04A0" w:firstRow="1" w:lastRow="0" w:firstColumn="1" w:lastColumn="0" w:noHBand="0" w:noVBand="1"/>
      </w:tblPr>
      <w:tblGrid>
        <w:gridCol w:w="1668"/>
        <w:gridCol w:w="7903"/>
      </w:tblGrid>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Область индикатора</w:t>
            </w:r>
          </w:p>
        </w:tc>
        <w:tc>
          <w:tcPr>
            <w:tcW w:w="7903" w:type="dxa"/>
          </w:tcPr>
          <w:p w:rsidR="00537510" w:rsidRPr="00123724" w:rsidRDefault="00537510" w:rsidP="00537510">
            <w:pPr>
              <w:rPr>
                <w:rFonts w:cs="Times New Roman"/>
                <w:szCs w:val="24"/>
              </w:rPr>
            </w:pPr>
            <w:r w:rsidRPr="00123724">
              <w:rPr>
                <w:rFonts w:cs="Times New Roman"/>
                <w:szCs w:val="24"/>
              </w:rPr>
              <w:t>Профилактика сердечно-сосудистых заболеваний</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Определение индикатора</w:t>
            </w:r>
          </w:p>
        </w:tc>
        <w:tc>
          <w:tcPr>
            <w:tcW w:w="7903" w:type="dxa"/>
          </w:tcPr>
          <w:p w:rsidR="00537510" w:rsidRPr="00096A09" w:rsidRDefault="00096A09" w:rsidP="00537510">
            <w:pPr>
              <w:rPr>
                <w:rFonts w:cs="Times New Roman"/>
                <w:szCs w:val="24"/>
              </w:rPr>
            </w:pPr>
            <w:r>
              <w:rPr>
                <w:rFonts w:cs="Times New Roman"/>
                <w:szCs w:val="24"/>
              </w:rPr>
              <w:t>Число взрослых в возрасте 30-</w:t>
            </w:r>
            <w:r w:rsidRPr="00096A09">
              <w:rPr>
                <w:rFonts w:cs="Times New Roman"/>
                <w:szCs w:val="24"/>
              </w:rPr>
              <w:t>79 лет, принимавших лекарства от гипертонии</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Числитель</w:t>
            </w:r>
          </w:p>
        </w:tc>
        <w:tc>
          <w:tcPr>
            <w:tcW w:w="7903" w:type="dxa"/>
          </w:tcPr>
          <w:p w:rsidR="00537510" w:rsidRPr="00123724" w:rsidRDefault="00096A09" w:rsidP="00096A09">
            <w:pPr>
              <w:tabs>
                <w:tab w:val="left" w:pos="1320"/>
              </w:tabs>
              <w:rPr>
                <w:rFonts w:cs="Times New Roman"/>
                <w:szCs w:val="24"/>
              </w:rPr>
            </w:pPr>
            <w:r w:rsidRPr="00096A09">
              <w:rPr>
                <w:rFonts w:cs="Times New Roman"/>
                <w:szCs w:val="24"/>
              </w:rPr>
              <w:t>Число взрослых в возрасте 30–79 лет, принимавших лекарства от гипертонии</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Знаменатель</w:t>
            </w:r>
          </w:p>
        </w:tc>
        <w:tc>
          <w:tcPr>
            <w:tcW w:w="7903" w:type="dxa"/>
          </w:tcPr>
          <w:p w:rsidR="00537510" w:rsidRPr="00123724" w:rsidRDefault="00096A09" w:rsidP="00537510">
            <w:pPr>
              <w:rPr>
                <w:rFonts w:cs="Times New Roman"/>
                <w:szCs w:val="24"/>
              </w:rPr>
            </w:pPr>
            <w:r w:rsidRPr="00096A09">
              <w:rPr>
                <w:rFonts w:cs="Times New Roman"/>
                <w:szCs w:val="24"/>
              </w:rPr>
              <w:t>Число взрослых в возрасте 30–79 лет с гипертонией (определяется как имеющие систолическое артериальное давление ≥ 140 мм рт. ст., диастолическое артериальное давление ≥ 90 мм рт. ст. или принимающие лекарства от гипертонии)</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Основные источники данных</w:t>
            </w:r>
          </w:p>
        </w:tc>
        <w:tc>
          <w:tcPr>
            <w:tcW w:w="7903" w:type="dxa"/>
          </w:tcPr>
          <w:p w:rsidR="00537510" w:rsidRPr="00123724" w:rsidRDefault="009D6CEE" w:rsidP="00537510">
            <w:pPr>
              <w:rPr>
                <w:rFonts w:cs="Times New Roman"/>
                <w:szCs w:val="24"/>
              </w:rPr>
            </w:pPr>
            <w:r>
              <w:rPr>
                <w:rFonts w:cs="Times New Roman"/>
                <w:szCs w:val="24"/>
              </w:rPr>
              <w:t>О</w:t>
            </w:r>
            <w:r w:rsidR="00096A09" w:rsidRPr="00096A09">
              <w:rPr>
                <w:rFonts w:cs="Times New Roman"/>
                <w:szCs w:val="24"/>
              </w:rPr>
              <w:t xml:space="preserve">бследования </w:t>
            </w:r>
            <w:r>
              <w:rPr>
                <w:rFonts w:cs="Times New Roman"/>
                <w:szCs w:val="24"/>
              </w:rPr>
              <w:t xml:space="preserve">населения </w:t>
            </w:r>
            <w:r w:rsidR="00096A09" w:rsidRPr="00096A09">
              <w:rPr>
                <w:rFonts w:cs="Times New Roman"/>
                <w:szCs w:val="24"/>
              </w:rPr>
              <w:t xml:space="preserve">и системы </w:t>
            </w:r>
            <w:proofErr w:type="spellStart"/>
            <w:r w:rsidR="00096A09" w:rsidRPr="00096A09">
              <w:rPr>
                <w:rFonts w:cs="Times New Roman"/>
                <w:szCs w:val="24"/>
              </w:rPr>
              <w:t>эпиднадзора</w:t>
            </w:r>
            <w:proofErr w:type="spellEnd"/>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Метод</w:t>
            </w:r>
          </w:p>
          <w:p w:rsidR="00537510" w:rsidRPr="00123724" w:rsidRDefault="00537510" w:rsidP="00537510">
            <w:pPr>
              <w:rPr>
                <w:rFonts w:cs="Times New Roman"/>
                <w:szCs w:val="24"/>
              </w:rPr>
            </w:pPr>
            <w:r w:rsidRPr="00123724">
              <w:rPr>
                <w:rFonts w:cs="Times New Roman"/>
                <w:szCs w:val="24"/>
              </w:rPr>
              <w:t>расчета</w:t>
            </w:r>
          </w:p>
        </w:tc>
        <w:tc>
          <w:tcPr>
            <w:tcW w:w="7903" w:type="dxa"/>
          </w:tcPr>
          <w:p w:rsidR="00537510" w:rsidRPr="00123724" w:rsidRDefault="0092245C" w:rsidP="00537510">
            <w:pPr>
              <w:rPr>
                <w:rFonts w:cs="Times New Roman"/>
                <w:szCs w:val="24"/>
              </w:rPr>
            </w:pPr>
            <w:r w:rsidRPr="0092245C">
              <w:rPr>
                <w:rFonts w:cs="Times New Roman"/>
                <w:szCs w:val="24"/>
              </w:rPr>
              <w:t>Используются источники данных, регистрирующие измеренное артериальное давление (данные, сообщаемые самостоятельно, исключаются). Если у одного участника измеряется несколько показаний артериального давления, первое показание отбрасывается, а остальные показания усредняются. Принимаются ли лекарства от гипертонии, можно оценить с помощью вопросов, сформулированных в виде вариантов «Принимаете ли вы в настоящее время какие-либо лекарства, таблетки или таблетки от высокого кровяного давления?» или «Принимали ли вы за последние 2 недели какие-либо препараты (лекарства) от повышенного артериального давления, назначенные врачом или другим медицинским работником?» В исследованиях по сбору информации о назначенных лекарствах данные опроса могут использоваться для установления того, что целью приема препарата, снижающего артериальное давление, было именно лечение гипертонии.</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Метод оценки</w:t>
            </w:r>
          </w:p>
        </w:tc>
        <w:tc>
          <w:tcPr>
            <w:tcW w:w="7903" w:type="dxa"/>
          </w:tcPr>
          <w:p w:rsidR="00537510" w:rsidRPr="00537510" w:rsidRDefault="00C25ADB" w:rsidP="00A37220">
            <w:pPr>
              <w:rPr>
                <w:rFonts w:cs="Times New Roman"/>
                <w:szCs w:val="24"/>
              </w:rPr>
            </w:pPr>
            <w:r w:rsidRPr="00C25ADB">
              <w:rPr>
                <w:rFonts w:cs="Times New Roman"/>
                <w:szCs w:val="24"/>
              </w:rPr>
              <w:t>Полную информацию о методах ввода и данных можно найти по адресу: Сотрудничество по факторам риска НИЗ (NCD-</w:t>
            </w:r>
            <w:proofErr w:type="spellStart"/>
            <w:r w:rsidRPr="00C25ADB">
              <w:rPr>
                <w:rFonts w:cs="Times New Roman"/>
                <w:szCs w:val="24"/>
              </w:rPr>
              <w:t>RisC</w:t>
            </w:r>
            <w:proofErr w:type="spellEnd"/>
            <w:r w:rsidRPr="00C25ADB">
              <w:rPr>
                <w:rFonts w:cs="Times New Roman"/>
                <w:szCs w:val="24"/>
              </w:rPr>
              <w:t>). Мировые тенденции распространенности гипертонии и прогресс в лечении и контроле с 1990 по 2019 год: объединенный анализ 1201 репрезентативного исследования населен</w:t>
            </w:r>
            <w:r>
              <w:rPr>
                <w:rFonts w:cs="Times New Roman"/>
                <w:szCs w:val="24"/>
              </w:rPr>
              <w:t>ия с 104 миллионами участников. </w:t>
            </w:r>
            <w:r>
              <w:rPr>
                <w:rFonts w:cs="Times New Roman"/>
                <w:szCs w:val="24"/>
                <w:lang w:val="en-US"/>
              </w:rPr>
              <w:t>The</w:t>
            </w:r>
            <w:r w:rsidRPr="00C25ADB">
              <w:rPr>
                <w:rFonts w:cs="Times New Roman"/>
                <w:szCs w:val="24"/>
                <w:lang w:val="en-US"/>
              </w:rPr>
              <w:t> </w:t>
            </w:r>
            <w:r>
              <w:rPr>
                <w:rFonts w:cs="Times New Roman"/>
                <w:szCs w:val="24"/>
                <w:lang w:val="en-US"/>
              </w:rPr>
              <w:t>Lancet</w:t>
            </w:r>
            <w:r w:rsidRPr="00C25ADB">
              <w:rPr>
                <w:rFonts w:cs="Times New Roman"/>
                <w:szCs w:val="24"/>
                <w:lang w:val="en-US"/>
              </w:rPr>
              <w:t> S0140-6736(21)01330-1 (</w:t>
            </w:r>
            <w:hyperlink r:id="rId32" w:history="1">
              <w:r w:rsidRPr="00BE3D09">
                <w:rPr>
                  <w:rStyle w:val="ac"/>
                  <w:rFonts w:cs="Times New Roman"/>
                  <w:szCs w:val="24"/>
                  <w:lang w:val="en-US"/>
                </w:rPr>
                <w:t>https://www.thelancet.com/article/S0140-6736(21)01330-1/fulltext</w:t>
              </w:r>
            </w:hyperlink>
            <w:r w:rsidRPr="00C25ADB">
              <w:rPr>
                <w:rFonts w:cs="Times New Roman"/>
                <w:szCs w:val="24"/>
                <w:lang w:val="en-US"/>
              </w:rPr>
              <w:t xml:space="preserve">). </w:t>
            </w:r>
            <w:r w:rsidRPr="00C25ADB">
              <w:rPr>
                <w:rFonts w:cs="Times New Roman"/>
                <w:szCs w:val="24"/>
              </w:rPr>
              <w:t>В общей сложности 1201 популяционное исследование, которое включало измерение артериального давления и данные о лечении артериального давления у 104 миллионов человек в возрасте 30</w:t>
            </w:r>
            <w:r w:rsidR="00A37220">
              <w:rPr>
                <w:rFonts w:cs="Times New Roman"/>
                <w:szCs w:val="24"/>
              </w:rPr>
              <w:t>-</w:t>
            </w:r>
            <w:r w:rsidRPr="00C25ADB">
              <w:rPr>
                <w:rFonts w:cs="Times New Roman"/>
                <w:szCs w:val="24"/>
              </w:rPr>
              <w:t xml:space="preserve">79 лет, было </w:t>
            </w:r>
            <w:r w:rsidRPr="00C25ADB">
              <w:rPr>
                <w:rFonts w:cs="Times New Roman"/>
                <w:szCs w:val="24"/>
              </w:rPr>
              <w:lastRenderedPageBreak/>
              <w:t>использовано для оценки тенденций в гипертонии, ее диагностике, лечении и контроле с 1990 по 2019 год. Стандартизировано по возрасту</w:t>
            </w:r>
            <w:proofErr w:type="gramStart"/>
            <w:r w:rsidRPr="00C25ADB">
              <w:rPr>
                <w:rFonts w:cs="Times New Roman"/>
                <w:szCs w:val="24"/>
              </w:rPr>
              <w:t>.</w:t>
            </w:r>
            <w:proofErr w:type="gramEnd"/>
            <w:r w:rsidRPr="00C25ADB">
              <w:rPr>
                <w:rFonts w:cs="Times New Roman"/>
                <w:szCs w:val="24"/>
              </w:rPr>
              <w:t xml:space="preserve"> </w:t>
            </w:r>
            <w:proofErr w:type="gramStart"/>
            <w:r w:rsidRPr="00C25ADB">
              <w:rPr>
                <w:rFonts w:cs="Times New Roman"/>
                <w:szCs w:val="24"/>
              </w:rPr>
              <w:t>о</w:t>
            </w:r>
            <w:proofErr w:type="gramEnd"/>
            <w:r w:rsidRPr="00C25ADB">
              <w:rPr>
                <w:rFonts w:cs="Times New Roman"/>
                <w:szCs w:val="24"/>
              </w:rPr>
              <w:t>ценки производятся путем применения грубых оценок к стандартной популяции ВОЗ.</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lastRenderedPageBreak/>
              <w:t xml:space="preserve">Заметки по </w:t>
            </w:r>
            <w:r w:rsidRPr="00123724">
              <w:rPr>
                <w:rFonts w:cs="Times New Roman"/>
                <w:szCs w:val="24"/>
                <w:lang w:val="en-US"/>
              </w:rPr>
              <w:t>UHC</w:t>
            </w:r>
          </w:p>
        </w:tc>
        <w:tc>
          <w:tcPr>
            <w:tcW w:w="7903" w:type="dxa"/>
          </w:tcPr>
          <w:p w:rsidR="00537510" w:rsidRPr="00123724" w:rsidRDefault="00537510" w:rsidP="00537510">
            <w:pPr>
              <w:rPr>
                <w:rFonts w:cs="Times New Roman"/>
                <w:szCs w:val="24"/>
              </w:rPr>
            </w:pPr>
          </w:p>
        </w:tc>
      </w:tr>
    </w:tbl>
    <w:p w:rsidR="00537510" w:rsidRPr="00123724" w:rsidRDefault="00537510" w:rsidP="00537510">
      <w:pPr>
        <w:rPr>
          <w:rFonts w:cs="Times New Roman"/>
          <w:szCs w:val="24"/>
        </w:rPr>
      </w:pPr>
    </w:p>
    <w:tbl>
      <w:tblPr>
        <w:tblStyle w:val="aa"/>
        <w:tblW w:w="9571" w:type="dxa"/>
        <w:tblLook w:val="04A0" w:firstRow="1" w:lastRow="0" w:firstColumn="1" w:lastColumn="0" w:noHBand="0" w:noVBand="1"/>
      </w:tblPr>
      <w:tblGrid>
        <w:gridCol w:w="1668"/>
        <w:gridCol w:w="7903"/>
      </w:tblGrid>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Область индикатора</w:t>
            </w:r>
          </w:p>
        </w:tc>
        <w:tc>
          <w:tcPr>
            <w:tcW w:w="7903" w:type="dxa"/>
          </w:tcPr>
          <w:p w:rsidR="00537510" w:rsidRPr="00123724" w:rsidRDefault="00537510" w:rsidP="00537510">
            <w:pPr>
              <w:rPr>
                <w:rFonts w:cs="Times New Roman"/>
                <w:szCs w:val="24"/>
              </w:rPr>
            </w:pPr>
            <w:r w:rsidRPr="00123724">
              <w:rPr>
                <w:rFonts w:cs="Times New Roman"/>
                <w:szCs w:val="24"/>
              </w:rPr>
              <w:t>Контроль диабета</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Определение индикатора</w:t>
            </w:r>
          </w:p>
        </w:tc>
        <w:tc>
          <w:tcPr>
            <w:tcW w:w="7903" w:type="dxa"/>
          </w:tcPr>
          <w:p w:rsidR="00537510" w:rsidRPr="00123724" w:rsidRDefault="00194A63" w:rsidP="00194A63">
            <w:pPr>
              <w:rPr>
                <w:rFonts w:cs="Times New Roman"/>
                <w:szCs w:val="24"/>
              </w:rPr>
            </w:pPr>
            <w:r w:rsidRPr="00194A63">
              <w:rPr>
                <w:rFonts w:cs="Times New Roman"/>
                <w:szCs w:val="24"/>
              </w:rPr>
              <w:t xml:space="preserve">Стандартизованный по возрасту средний уровень глюкозы в плазме натощак </w:t>
            </w:r>
            <w:r>
              <w:rPr>
                <w:rFonts w:cs="Times New Roman"/>
                <w:szCs w:val="24"/>
              </w:rPr>
              <w:t>для взрослых в возрасте от 18</w:t>
            </w:r>
            <w:r w:rsidR="00537510" w:rsidRPr="00123724">
              <w:rPr>
                <w:rFonts w:cs="Times New Roman"/>
                <w:szCs w:val="24"/>
              </w:rPr>
              <w:t xml:space="preserve"> лет и старше</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Основные источники данных</w:t>
            </w:r>
          </w:p>
        </w:tc>
        <w:tc>
          <w:tcPr>
            <w:tcW w:w="7903" w:type="dxa"/>
          </w:tcPr>
          <w:p w:rsidR="00537510" w:rsidRPr="00123724" w:rsidRDefault="00A234F9" w:rsidP="00A234F9">
            <w:pPr>
              <w:rPr>
                <w:rFonts w:cs="Times New Roman"/>
                <w:szCs w:val="24"/>
              </w:rPr>
            </w:pPr>
            <w:r w:rsidRPr="00A234F9">
              <w:rPr>
                <w:rFonts w:cs="Times New Roman"/>
                <w:szCs w:val="24"/>
              </w:rPr>
              <w:t>О</w:t>
            </w:r>
            <w:r>
              <w:rPr>
                <w:rFonts w:cs="Times New Roman"/>
                <w:szCs w:val="24"/>
              </w:rPr>
              <w:t>бследования</w:t>
            </w:r>
            <w:r w:rsidRPr="00A234F9">
              <w:rPr>
                <w:rFonts w:cs="Times New Roman"/>
                <w:szCs w:val="24"/>
              </w:rPr>
              <w:t xml:space="preserve"> населения и системы </w:t>
            </w:r>
            <w:proofErr w:type="spellStart"/>
            <w:r w:rsidRPr="00A234F9">
              <w:rPr>
                <w:rFonts w:cs="Times New Roman"/>
                <w:szCs w:val="24"/>
              </w:rPr>
              <w:t>эпиднадзора</w:t>
            </w:r>
            <w:proofErr w:type="spellEnd"/>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Метод</w:t>
            </w:r>
          </w:p>
          <w:p w:rsidR="00537510" w:rsidRPr="00123724" w:rsidRDefault="00537510" w:rsidP="00537510">
            <w:pPr>
              <w:rPr>
                <w:rFonts w:cs="Times New Roman"/>
                <w:szCs w:val="24"/>
              </w:rPr>
            </w:pPr>
            <w:r w:rsidRPr="00123724">
              <w:rPr>
                <w:rFonts w:cs="Times New Roman"/>
                <w:szCs w:val="24"/>
              </w:rPr>
              <w:t>расчета</w:t>
            </w:r>
          </w:p>
        </w:tc>
        <w:tc>
          <w:tcPr>
            <w:tcW w:w="7903" w:type="dxa"/>
          </w:tcPr>
          <w:p w:rsidR="00537510" w:rsidRPr="00123724" w:rsidRDefault="00537510" w:rsidP="00537510">
            <w:pPr>
              <w:rPr>
                <w:rFonts w:cs="Times New Roman"/>
                <w:szCs w:val="24"/>
              </w:rPr>
            </w:pPr>
            <w:r w:rsidRPr="00123724">
              <w:rPr>
                <w:rFonts w:cs="Times New Roman"/>
                <w:szCs w:val="24"/>
              </w:rPr>
              <w:t xml:space="preserve">Уровни глюкозы в плазме натощак (FPG) определяются путем взятия образца крови у участников, которые голодали по меньшей мере 8 часов. Другие связанные </w:t>
            </w:r>
            <w:proofErr w:type="spellStart"/>
            <w:r w:rsidRPr="00123724">
              <w:rPr>
                <w:rFonts w:cs="Times New Roman"/>
                <w:szCs w:val="24"/>
              </w:rPr>
              <w:t>биомаркеры</w:t>
            </w:r>
            <w:proofErr w:type="spellEnd"/>
            <w:r w:rsidRPr="00123724">
              <w:rPr>
                <w:rFonts w:cs="Times New Roman"/>
                <w:szCs w:val="24"/>
              </w:rPr>
              <w:t>, такие как гемоглобин A1c (HbA1c), использовались для расчета оценок (см. ниже).</w:t>
            </w:r>
          </w:p>
        </w:tc>
      </w:tr>
      <w:tr w:rsidR="00537510" w:rsidRPr="0088265C" w:rsidTr="00537510">
        <w:tc>
          <w:tcPr>
            <w:tcW w:w="1668" w:type="dxa"/>
          </w:tcPr>
          <w:p w:rsidR="00537510" w:rsidRPr="00123724" w:rsidRDefault="00537510" w:rsidP="00537510">
            <w:pPr>
              <w:rPr>
                <w:rFonts w:cs="Times New Roman"/>
                <w:szCs w:val="24"/>
              </w:rPr>
            </w:pPr>
            <w:r w:rsidRPr="00123724">
              <w:rPr>
                <w:rFonts w:cs="Times New Roman"/>
                <w:szCs w:val="24"/>
              </w:rPr>
              <w:t>Метод оценки</w:t>
            </w:r>
          </w:p>
        </w:tc>
        <w:tc>
          <w:tcPr>
            <w:tcW w:w="7903" w:type="dxa"/>
          </w:tcPr>
          <w:p w:rsidR="00537510" w:rsidRPr="00123724" w:rsidRDefault="00537510" w:rsidP="00537510">
            <w:pPr>
              <w:rPr>
                <w:rFonts w:cs="Times New Roman"/>
                <w:szCs w:val="24"/>
              </w:rPr>
            </w:pPr>
            <w:r w:rsidRPr="00123724">
              <w:rPr>
                <w:rFonts w:cs="Times New Roman"/>
                <w:szCs w:val="24"/>
              </w:rPr>
              <w:t>Для получения сопоставимых национальных оценок данные наблюдений, основанные на среднем FPG, оральном тесте на толерантность к глюкозе (OGTT), HbA1c или их комбинациях, все превращаются в средние FPG. Затем к этим данным привязана байесовская иерархическая модель для расчета распространенности удельного веса в зависимости от возраста и пола в стране, в которой учитываются национальные и субнациональные источники данных, источники данных о городских и сельских источниках, а также учитываются различия в распространенности по возрасту и полу. Стандартизованные по возрасту оценки затем производятся путем применения приблизительных оценок к Стандартной группе ВОЗ. Методологические подробности можно найти здесь:</w:t>
            </w:r>
          </w:p>
          <w:p w:rsidR="00537510" w:rsidRPr="002D7E24" w:rsidRDefault="00276122" w:rsidP="00537510">
            <w:pPr>
              <w:rPr>
                <w:rFonts w:cs="Times New Roman"/>
                <w:szCs w:val="24"/>
                <w:lang w:val="de-DE"/>
              </w:rPr>
            </w:pPr>
            <w:hyperlink r:id="rId33" w:history="1">
              <w:r w:rsidR="002D7E24" w:rsidRPr="00BE3D09">
                <w:rPr>
                  <w:rStyle w:val="ac"/>
                  <w:lang w:val="de-DE"/>
                </w:rPr>
                <w:t>https</w:t>
              </w:r>
              <w:r w:rsidR="002D7E24" w:rsidRPr="00BE3D09">
                <w:rPr>
                  <w:rStyle w:val="ac"/>
                </w:rPr>
                <w:t>://</w:t>
              </w:r>
              <w:r w:rsidR="002D7E24" w:rsidRPr="00BE3D09">
                <w:rPr>
                  <w:rStyle w:val="ac"/>
                  <w:lang w:val="de-DE"/>
                </w:rPr>
                <w:t>www</w:t>
              </w:r>
              <w:r w:rsidR="002D7E24" w:rsidRPr="00BE3D09">
                <w:rPr>
                  <w:rStyle w:val="ac"/>
                </w:rPr>
                <w:t>.</w:t>
              </w:r>
              <w:r w:rsidR="002D7E24" w:rsidRPr="00BE3D09">
                <w:rPr>
                  <w:rStyle w:val="ac"/>
                  <w:lang w:val="de-DE"/>
                </w:rPr>
                <w:t>who</w:t>
              </w:r>
              <w:r w:rsidR="002D7E24" w:rsidRPr="00BE3D09">
                <w:rPr>
                  <w:rStyle w:val="ac"/>
                </w:rPr>
                <w:t>.</w:t>
              </w:r>
              <w:r w:rsidR="002D7E24" w:rsidRPr="00BE3D09">
                <w:rPr>
                  <w:rStyle w:val="ac"/>
                  <w:lang w:val="de-DE"/>
                </w:rPr>
                <w:t>int</w:t>
              </w:r>
              <w:r w:rsidR="002D7E24" w:rsidRPr="00BE3D09">
                <w:rPr>
                  <w:rStyle w:val="ac"/>
                </w:rPr>
                <w:t>/</w:t>
              </w:r>
              <w:r w:rsidR="002D7E24" w:rsidRPr="00BE3D09">
                <w:rPr>
                  <w:rStyle w:val="ac"/>
                  <w:lang w:val="de-DE"/>
                </w:rPr>
                <w:t>diabetes</w:t>
              </w:r>
              <w:r w:rsidR="002D7E24" w:rsidRPr="00BE3D09">
                <w:rPr>
                  <w:rStyle w:val="ac"/>
                </w:rPr>
                <w:t>/</w:t>
              </w:r>
              <w:r w:rsidR="002D7E24" w:rsidRPr="00BE3D09">
                <w:rPr>
                  <w:rStyle w:val="ac"/>
                  <w:lang w:val="de-DE"/>
                </w:rPr>
                <w:t>global</w:t>
              </w:r>
              <w:r w:rsidR="002D7E24" w:rsidRPr="00BE3D09">
                <w:rPr>
                  <w:rStyle w:val="ac"/>
                </w:rPr>
                <w:t>-</w:t>
              </w:r>
              <w:r w:rsidR="002D7E24" w:rsidRPr="00BE3D09">
                <w:rPr>
                  <w:rStyle w:val="ac"/>
                  <w:lang w:val="de-DE"/>
                </w:rPr>
                <w:t>report</w:t>
              </w:r>
              <w:r w:rsidR="002D7E24" w:rsidRPr="00BE3D09">
                <w:rPr>
                  <w:rStyle w:val="ac"/>
                </w:rPr>
                <w:t>/</w:t>
              </w:r>
              <w:r w:rsidR="002D7E24" w:rsidRPr="00BE3D09">
                <w:rPr>
                  <w:rStyle w:val="ac"/>
                  <w:lang w:val="de-DE"/>
                </w:rPr>
                <w:t>en</w:t>
              </w:r>
              <w:r w:rsidR="002D7E24" w:rsidRPr="00BE3D09">
                <w:rPr>
                  <w:rStyle w:val="ac"/>
                </w:rPr>
                <w:t>/</w:t>
              </w:r>
            </w:hyperlink>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 xml:space="preserve">Заметки по </w:t>
            </w:r>
            <w:r w:rsidRPr="00123724">
              <w:rPr>
                <w:rFonts w:cs="Times New Roman"/>
                <w:szCs w:val="24"/>
                <w:lang w:val="en-US"/>
              </w:rPr>
              <w:t>UHC</w:t>
            </w:r>
          </w:p>
        </w:tc>
        <w:tc>
          <w:tcPr>
            <w:tcW w:w="7903" w:type="dxa"/>
          </w:tcPr>
          <w:p w:rsidR="00423D99" w:rsidRDefault="00537510" w:rsidP="00423D99">
            <w:pPr>
              <w:rPr>
                <w:rFonts w:cs="Times New Roman"/>
                <w:szCs w:val="24"/>
              </w:rPr>
            </w:pPr>
            <w:r w:rsidRPr="00123724">
              <w:rPr>
                <w:rFonts w:cs="Times New Roman"/>
                <w:szCs w:val="24"/>
              </w:rPr>
              <w:t xml:space="preserve">FPG человека может быть низким из-за эффективного лечения с помощью снижения уровня глюкозы или потому, что индивидуум не </w:t>
            </w:r>
            <w:proofErr w:type="spellStart"/>
            <w:r w:rsidRPr="00123724">
              <w:rPr>
                <w:rFonts w:cs="Times New Roman"/>
                <w:szCs w:val="24"/>
              </w:rPr>
              <w:t>диабетичен</w:t>
            </w:r>
            <w:proofErr w:type="spellEnd"/>
            <w:r w:rsidRPr="00123724">
              <w:rPr>
                <w:rFonts w:cs="Times New Roman"/>
                <w:szCs w:val="24"/>
              </w:rPr>
              <w:t xml:space="preserve"> в результате деятельности по укреплению здоровья или других факторов, таких как генетика. Таким образом, среднее значение FPG является показателем как эффективного продвижения здоровых диет и поведения, так и эффективного лечения диабета</w:t>
            </w:r>
            <w:r w:rsidR="00423D99">
              <w:rPr>
                <w:rFonts w:cs="Times New Roman"/>
                <w:szCs w:val="24"/>
              </w:rPr>
              <w:t>.</w:t>
            </w:r>
          </w:p>
          <w:p w:rsidR="00423D99" w:rsidRPr="00423D99" w:rsidRDefault="00423D99" w:rsidP="00423D99">
            <w:pPr>
              <w:rPr>
                <w:rFonts w:cs="Times New Roman"/>
                <w:szCs w:val="24"/>
              </w:rPr>
            </w:pPr>
            <w:r w:rsidRPr="00423D99">
              <w:rPr>
                <w:rFonts w:cs="Times New Roman"/>
                <w:szCs w:val="24"/>
              </w:rPr>
              <w:t xml:space="preserve">Приведенные выше оценки сделаны отдельно для мужчин и женщин; для индикаторного показателя ВОУЗ рассчитывается простое среднее значений для мужчин и женщин. Показатель, представляющий собой непрерывную меру (единицы </w:t>
            </w:r>
            <w:proofErr w:type="spellStart"/>
            <w:r w:rsidRPr="00423D99">
              <w:rPr>
                <w:rFonts w:cs="Times New Roman"/>
                <w:szCs w:val="24"/>
              </w:rPr>
              <w:t>ммоль</w:t>
            </w:r>
            <w:proofErr w:type="spellEnd"/>
            <w:r w:rsidRPr="00423D99">
              <w:rPr>
                <w:rFonts w:cs="Times New Roman"/>
                <w:szCs w:val="24"/>
              </w:rPr>
              <w:t xml:space="preserve">/л), преобразуется в шкалу от 0 до 100 с использованием минимального теоретического биологического риска (5,1 </w:t>
            </w:r>
            <w:proofErr w:type="spellStart"/>
            <w:r w:rsidRPr="00423D99">
              <w:rPr>
                <w:rFonts w:cs="Times New Roman"/>
                <w:szCs w:val="24"/>
              </w:rPr>
              <w:t>ммоль</w:t>
            </w:r>
            <w:proofErr w:type="spellEnd"/>
            <w:r w:rsidRPr="00423D99">
              <w:rPr>
                <w:rFonts w:cs="Times New Roman"/>
                <w:szCs w:val="24"/>
              </w:rPr>
              <w:t xml:space="preserve">/л) и наблюдаемого максимума в разных странах (7,41 </w:t>
            </w:r>
            <w:proofErr w:type="spellStart"/>
            <w:r w:rsidRPr="00423D99">
              <w:rPr>
                <w:rFonts w:cs="Times New Roman"/>
                <w:szCs w:val="24"/>
              </w:rPr>
              <w:t>ммоль</w:t>
            </w:r>
            <w:proofErr w:type="spellEnd"/>
            <w:r w:rsidRPr="00423D99">
              <w:rPr>
                <w:rFonts w:cs="Times New Roman"/>
                <w:szCs w:val="24"/>
              </w:rPr>
              <w:t>/л).</w:t>
            </w:r>
          </w:p>
          <w:p w:rsidR="00537510" w:rsidRPr="00123724" w:rsidRDefault="00423D99" w:rsidP="00537510">
            <w:pPr>
              <w:rPr>
                <w:rFonts w:cs="Times New Roman"/>
                <w:szCs w:val="24"/>
              </w:rPr>
            </w:pPr>
            <w:r w:rsidRPr="00423D99">
              <w:rPr>
                <w:rFonts w:cs="Times New Roman"/>
                <w:szCs w:val="24"/>
              </w:rPr>
              <w:t>измененное значение = (7,41 – исходное значение) / (7,41–5,1) * 100</w:t>
            </w:r>
          </w:p>
        </w:tc>
      </w:tr>
    </w:tbl>
    <w:p w:rsidR="00537510" w:rsidRPr="00123724" w:rsidRDefault="00537510" w:rsidP="00537510">
      <w:pPr>
        <w:rPr>
          <w:rFonts w:cs="Times New Roman"/>
          <w:szCs w:val="24"/>
        </w:rPr>
      </w:pPr>
    </w:p>
    <w:p w:rsidR="00537510" w:rsidRPr="00123724" w:rsidRDefault="00537510" w:rsidP="00537510">
      <w:pPr>
        <w:rPr>
          <w:rFonts w:cs="Times New Roman"/>
          <w:szCs w:val="24"/>
        </w:rPr>
      </w:pPr>
      <w:r w:rsidRPr="00123724">
        <w:rPr>
          <w:rFonts w:cs="Times New Roman"/>
          <w:szCs w:val="24"/>
        </w:rPr>
        <w:br w:type="page"/>
      </w:r>
    </w:p>
    <w:tbl>
      <w:tblPr>
        <w:tblStyle w:val="aa"/>
        <w:tblW w:w="9571" w:type="dxa"/>
        <w:tblLook w:val="04A0" w:firstRow="1" w:lastRow="0" w:firstColumn="1" w:lastColumn="0" w:noHBand="0" w:noVBand="1"/>
      </w:tblPr>
      <w:tblGrid>
        <w:gridCol w:w="1668"/>
        <w:gridCol w:w="7903"/>
      </w:tblGrid>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lastRenderedPageBreak/>
              <w:t>Область индикатора</w:t>
            </w:r>
          </w:p>
        </w:tc>
        <w:tc>
          <w:tcPr>
            <w:tcW w:w="7903" w:type="dxa"/>
          </w:tcPr>
          <w:p w:rsidR="00537510" w:rsidRPr="00123724" w:rsidRDefault="0088265C" w:rsidP="00537510">
            <w:pPr>
              <w:rPr>
                <w:rFonts w:cs="Times New Roman"/>
                <w:szCs w:val="24"/>
              </w:rPr>
            </w:pPr>
            <w:r>
              <w:rPr>
                <w:rFonts w:cs="Times New Roman"/>
                <w:szCs w:val="24"/>
              </w:rPr>
              <w:t>Контроль употребления</w:t>
            </w:r>
            <w:r w:rsidR="00537510" w:rsidRPr="00123724">
              <w:rPr>
                <w:rFonts w:cs="Times New Roman"/>
                <w:szCs w:val="24"/>
              </w:rPr>
              <w:t xml:space="preserve"> табака</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Определение индикатора</w:t>
            </w:r>
          </w:p>
        </w:tc>
        <w:tc>
          <w:tcPr>
            <w:tcW w:w="7903" w:type="dxa"/>
          </w:tcPr>
          <w:p w:rsidR="00537510" w:rsidRPr="00123724" w:rsidRDefault="00884FF0" w:rsidP="00884FF0">
            <w:pPr>
              <w:rPr>
                <w:rFonts w:cs="Times New Roman"/>
                <w:szCs w:val="24"/>
              </w:rPr>
            </w:pPr>
            <w:r w:rsidRPr="00884FF0">
              <w:rPr>
                <w:rFonts w:cs="Times New Roman"/>
                <w:szCs w:val="24"/>
              </w:rPr>
              <w:t xml:space="preserve">Стандартизированный по возрасту процент населения в возрасте 15 лет и старше, который в настоящее время употребляет любое табачное изделие (курительный и/или бездымный табак) </w:t>
            </w:r>
            <w:r>
              <w:rPr>
                <w:rFonts w:cs="Times New Roman"/>
                <w:szCs w:val="24"/>
              </w:rPr>
              <w:t>на каждодневной или некаждодневной основе</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Числитель</w:t>
            </w:r>
          </w:p>
        </w:tc>
        <w:tc>
          <w:tcPr>
            <w:tcW w:w="7903" w:type="dxa"/>
          </w:tcPr>
          <w:p w:rsidR="00537510" w:rsidRPr="00123724" w:rsidRDefault="00884FF0" w:rsidP="00537510">
            <w:pPr>
              <w:rPr>
                <w:rFonts w:cs="Times New Roman"/>
                <w:szCs w:val="24"/>
              </w:rPr>
            </w:pPr>
            <w:r w:rsidRPr="00884FF0">
              <w:rPr>
                <w:rFonts w:cs="Times New Roman"/>
                <w:szCs w:val="24"/>
              </w:rPr>
              <w:t>Приблизительное количество взрослых в возрасте 15 лет и старше, которые в настоящее время употребляют любые табачные изделия (курительный и/или бездымный табак) ежедневно или раз в день.</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Знаменатель</w:t>
            </w:r>
          </w:p>
        </w:tc>
        <w:tc>
          <w:tcPr>
            <w:tcW w:w="7903" w:type="dxa"/>
          </w:tcPr>
          <w:p w:rsidR="00537510" w:rsidRPr="00123724" w:rsidRDefault="00884FF0" w:rsidP="00884FF0">
            <w:pPr>
              <w:rPr>
                <w:rFonts w:cs="Times New Roman"/>
                <w:szCs w:val="24"/>
              </w:rPr>
            </w:pPr>
            <w:r>
              <w:rPr>
                <w:rFonts w:cs="Times New Roman"/>
                <w:szCs w:val="24"/>
              </w:rPr>
              <w:t>Общее количество в</w:t>
            </w:r>
            <w:r w:rsidR="00537510" w:rsidRPr="00123724">
              <w:rPr>
                <w:rFonts w:cs="Times New Roman"/>
                <w:szCs w:val="24"/>
              </w:rPr>
              <w:t>зрослы</w:t>
            </w:r>
            <w:r>
              <w:rPr>
                <w:rFonts w:cs="Times New Roman"/>
                <w:szCs w:val="24"/>
              </w:rPr>
              <w:t>х</w:t>
            </w:r>
            <w:r w:rsidR="00537510" w:rsidRPr="00123724">
              <w:rPr>
                <w:rFonts w:cs="Times New Roman"/>
                <w:szCs w:val="24"/>
              </w:rPr>
              <w:t xml:space="preserve"> 15 лет и старше</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Основные источники данных</w:t>
            </w:r>
          </w:p>
        </w:tc>
        <w:tc>
          <w:tcPr>
            <w:tcW w:w="7903" w:type="dxa"/>
          </w:tcPr>
          <w:p w:rsidR="00537510" w:rsidRPr="00123724" w:rsidRDefault="00537510" w:rsidP="009A09B1">
            <w:pPr>
              <w:rPr>
                <w:rFonts w:cs="Times New Roman"/>
                <w:szCs w:val="24"/>
              </w:rPr>
            </w:pPr>
            <w:r w:rsidRPr="00123724">
              <w:rPr>
                <w:rFonts w:cs="Times New Roman"/>
                <w:szCs w:val="24"/>
              </w:rPr>
              <w:t>О</w:t>
            </w:r>
            <w:r w:rsidR="009A09B1">
              <w:rPr>
                <w:rFonts w:cs="Times New Roman"/>
                <w:szCs w:val="24"/>
              </w:rPr>
              <w:t>бследования домашних хозяйств</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Метод</w:t>
            </w:r>
          </w:p>
          <w:p w:rsidR="00537510" w:rsidRPr="00123724" w:rsidRDefault="00537510" w:rsidP="00537510">
            <w:pPr>
              <w:rPr>
                <w:rFonts w:cs="Times New Roman"/>
                <w:szCs w:val="24"/>
              </w:rPr>
            </w:pPr>
            <w:r w:rsidRPr="00123724">
              <w:rPr>
                <w:rFonts w:cs="Times New Roman"/>
                <w:szCs w:val="24"/>
              </w:rPr>
              <w:t>расчета</w:t>
            </w:r>
          </w:p>
        </w:tc>
        <w:tc>
          <w:tcPr>
            <w:tcW w:w="7903" w:type="dxa"/>
          </w:tcPr>
          <w:p w:rsidR="00537510" w:rsidRPr="00123724" w:rsidRDefault="00996BD1" w:rsidP="00537510">
            <w:pPr>
              <w:rPr>
                <w:rFonts w:cs="Times New Roman"/>
                <w:szCs w:val="24"/>
              </w:rPr>
            </w:pPr>
            <w:r w:rsidRPr="00996BD1">
              <w:rPr>
                <w:rFonts w:cs="Times New Roman"/>
                <w:szCs w:val="24"/>
              </w:rPr>
              <w:t xml:space="preserve">Табачные изделия включают сигареты, трубки, сигары, </w:t>
            </w:r>
            <w:proofErr w:type="spellStart"/>
            <w:r w:rsidRPr="00996BD1">
              <w:rPr>
                <w:rFonts w:cs="Times New Roman"/>
                <w:szCs w:val="24"/>
              </w:rPr>
              <w:t>си</w:t>
            </w:r>
            <w:r>
              <w:rPr>
                <w:rFonts w:cs="Times New Roman"/>
                <w:szCs w:val="24"/>
              </w:rPr>
              <w:t>гариллы</w:t>
            </w:r>
            <w:proofErr w:type="spellEnd"/>
            <w:r>
              <w:rPr>
                <w:rFonts w:cs="Times New Roman"/>
                <w:szCs w:val="24"/>
              </w:rPr>
              <w:t>, кальяны</w:t>
            </w:r>
            <w:r w:rsidRPr="00996BD1">
              <w:rPr>
                <w:rFonts w:cs="Times New Roman"/>
                <w:szCs w:val="24"/>
              </w:rPr>
              <w:t xml:space="preserve">, </w:t>
            </w:r>
            <w:proofErr w:type="spellStart"/>
            <w:r w:rsidRPr="00996BD1">
              <w:rPr>
                <w:rFonts w:cs="Times New Roman"/>
                <w:szCs w:val="24"/>
              </w:rPr>
              <w:t>биди</w:t>
            </w:r>
            <w:proofErr w:type="spellEnd"/>
            <w:r w:rsidRPr="00996BD1">
              <w:rPr>
                <w:rFonts w:cs="Times New Roman"/>
                <w:szCs w:val="24"/>
              </w:rPr>
              <w:t xml:space="preserve">, </w:t>
            </w:r>
            <w:proofErr w:type="spellStart"/>
            <w:r w:rsidRPr="00996BD1">
              <w:rPr>
                <w:rFonts w:cs="Times New Roman"/>
                <w:szCs w:val="24"/>
              </w:rPr>
              <w:t>кретек</w:t>
            </w:r>
            <w:proofErr w:type="spellEnd"/>
            <w:r w:rsidRPr="00996BD1">
              <w:rPr>
                <w:rFonts w:cs="Times New Roman"/>
                <w:szCs w:val="24"/>
              </w:rPr>
              <w:t>, изделия из нагреваемого табака и все формы бездымного (перорального и носового) табака. Табачные изделия не включают электронные сигареты (не содержащие табак), «электронные сигары», «электронные кальяны», JUUL и «электронные трубки».</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Метод оценки</w:t>
            </w:r>
          </w:p>
        </w:tc>
        <w:tc>
          <w:tcPr>
            <w:tcW w:w="7903" w:type="dxa"/>
          </w:tcPr>
          <w:p w:rsidR="00537510" w:rsidRPr="00123724" w:rsidRDefault="00996BD1" w:rsidP="00537510">
            <w:pPr>
              <w:rPr>
                <w:rFonts w:cs="Times New Roman"/>
                <w:szCs w:val="24"/>
              </w:rPr>
            </w:pPr>
            <w:r w:rsidRPr="00996BD1">
              <w:rPr>
                <w:rFonts w:cs="Times New Roman"/>
                <w:szCs w:val="24"/>
              </w:rPr>
              <w:t xml:space="preserve">Статистическая модель, основанная на байесовской отрицательной биномиальной </w:t>
            </w:r>
            <w:proofErr w:type="spellStart"/>
            <w:r w:rsidRPr="00996BD1">
              <w:rPr>
                <w:rFonts w:cs="Times New Roman"/>
                <w:szCs w:val="24"/>
              </w:rPr>
              <w:t>метарегрессии</w:t>
            </w:r>
            <w:proofErr w:type="spellEnd"/>
            <w:r w:rsidRPr="00996BD1">
              <w:rPr>
                <w:rFonts w:cs="Times New Roman"/>
                <w:szCs w:val="24"/>
              </w:rPr>
              <w:t xml:space="preserve">, используется для моделирования распространенности употребления табака в настоящее время для каждой страны, отдельно для мужчин и женщин. Полное описание метода доступно в виде рецензируемой статьи в </w:t>
            </w:r>
            <w:proofErr w:type="spellStart"/>
            <w:r w:rsidRPr="00996BD1">
              <w:rPr>
                <w:rFonts w:cs="Times New Roman"/>
                <w:szCs w:val="24"/>
              </w:rPr>
              <w:t>The</w:t>
            </w:r>
            <w:proofErr w:type="spellEnd"/>
            <w:r w:rsidRPr="00996BD1">
              <w:rPr>
                <w:rFonts w:cs="Times New Roman"/>
                <w:szCs w:val="24"/>
              </w:rPr>
              <w:t xml:space="preserve"> </w:t>
            </w:r>
            <w:proofErr w:type="spellStart"/>
            <w:r w:rsidRPr="00996BD1">
              <w:rPr>
                <w:rFonts w:cs="Times New Roman"/>
                <w:szCs w:val="24"/>
              </w:rPr>
              <w:t>Lancet</w:t>
            </w:r>
            <w:proofErr w:type="spellEnd"/>
            <w:r w:rsidRPr="00996BD1">
              <w:rPr>
                <w:rFonts w:cs="Times New Roman"/>
                <w:szCs w:val="24"/>
              </w:rPr>
              <w:t>, том 385, № 9972, стр. 966–976 (2015). После того, как показатели распространенности по возрасту и полу из национальных обследований были объединены в набор данных, модель стала пригодной для расчета оценок тенденций за период с 2000 по 2025 год. Модель состоит из двух основных компонентов: (а) корректировка отсутствующих показателей и возрастные группы и (b) получение оценки тенденций с течением времени, а также 95% достоверного интервала вокруг оценки. В зависимости от полноты/</w:t>
            </w:r>
            <w:proofErr w:type="spellStart"/>
            <w:r w:rsidRPr="00996BD1">
              <w:rPr>
                <w:rFonts w:cs="Times New Roman"/>
                <w:szCs w:val="24"/>
              </w:rPr>
              <w:t>всеобъемлемости</w:t>
            </w:r>
            <w:proofErr w:type="spellEnd"/>
            <w:r w:rsidRPr="00996BD1">
              <w:rPr>
                <w:rFonts w:cs="Times New Roman"/>
                <w:szCs w:val="24"/>
              </w:rPr>
              <w:t xml:space="preserve"> данных обследования из конкретной страны модель иногда использует данные из других стран для заполнения информационных пробелов. Когда в стране проводится менее двух общенациональных репрезентативных обследований населения в разные годы, не предпринимается никаких попыток заполнить пробелы в данных и расчеты не производятся. Чтобы заполнить пробелы в данных, информация «заимствуется» у стран того же </w:t>
            </w:r>
            <w:proofErr w:type="spellStart"/>
            <w:r w:rsidRPr="00996BD1">
              <w:rPr>
                <w:rFonts w:cs="Times New Roman"/>
                <w:szCs w:val="24"/>
              </w:rPr>
              <w:t>субрегиона</w:t>
            </w:r>
            <w:proofErr w:type="spellEnd"/>
            <w:r w:rsidRPr="00996BD1">
              <w:rPr>
                <w:rFonts w:cs="Times New Roman"/>
                <w:szCs w:val="24"/>
              </w:rPr>
              <w:t xml:space="preserve"> ООН. Полученные в результате линии тренда используются для получения оценок за отдельные годы, чтобы число можно было указать, даже если в этом году страна не проводила обследование. Чтобы сделать результаты сопоставимыми между странами, коэффициенты распространенности стандартизированы по возрасту в соответствии со стандартной популяцией ВОЗ. Оценки для стран с нерегулярными обследованиями или большим количеством пробелов в данных будут иметь большие диапазоны неопределенности, и такие результаты следует интерпретировать с осторожностью.</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 xml:space="preserve">Заметки по </w:t>
            </w:r>
            <w:r w:rsidRPr="00123724">
              <w:rPr>
                <w:rFonts w:cs="Times New Roman"/>
                <w:szCs w:val="24"/>
                <w:lang w:val="en-US"/>
              </w:rPr>
              <w:t>UHC</w:t>
            </w:r>
          </w:p>
        </w:tc>
        <w:tc>
          <w:tcPr>
            <w:tcW w:w="7903" w:type="dxa"/>
          </w:tcPr>
          <w:p w:rsidR="00537510" w:rsidRPr="00123724" w:rsidRDefault="00537510" w:rsidP="00537510">
            <w:pPr>
              <w:rPr>
                <w:rFonts w:cs="Times New Roman"/>
                <w:szCs w:val="24"/>
              </w:rPr>
            </w:pPr>
            <w:r w:rsidRPr="00123724">
              <w:rPr>
                <w:rFonts w:cs="Times New Roman"/>
                <w:szCs w:val="24"/>
              </w:rPr>
              <w:t>Распространенность некурящего табака рассчитывается как 1 минус распространенность курения табака.</w:t>
            </w:r>
            <w:r w:rsidR="008D6D46">
              <w:rPr>
                <w:rFonts w:cs="Times New Roman"/>
                <w:szCs w:val="24"/>
              </w:rPr>
              <w:t xml:space="preserve"> </w:t>
            </w:r>
            <w:r w:rsidR="008D6D46" w:rsidRPr="008D6D46">
              <w:rPr>
                <w:rFonts w:cs="Times New Roman"/>
                <w:szCs w:val="24"/>
              </w:rPr>
              <w:t xml:space="preserve">Затем показатель масштабируется на основе ненулевого минимума для получения более точного разрешения: </w:t>
            </w:r>
            <w:proofErr w:type="spellStart"/>
            <w:r w:rsidR="008D6D46" w:rsidRPr="008D6D46">
              <w:rPr>
                <w:rFonts w:cs="Times New Roman"/>
                <w:szCs w:val="24"/>
              </w:rPr>
              <w:t>перемасштабированное</w:t>
            </w:r>
            <w:proofErr w:type="spellEnd"/>
            <w:r w:rsidR="008D6D46" w:rsidRPr="008D6D46">
              <w:rPr>
                <w:rFonts w:cs="Times New Roman"/>
                <w:szCs w:val="24"/>
              </w:rPr>
              <w:t xml:space="preserve"> неупотребление табака = (X-30)/(100-30)*100.</w:t>
            </w:r>
          </w:p>
        </w:tc>
      </w:tr>
    </w:tbl>
    <w:p w:rsidR="00537510" w:rsidRPr="00123724" w:rsidRDefault="00537510" w:rsidP="00537510">
      <w:pPr>
        <w:rPr>
          <w:rFonts w:cs="Times New Roman"/>
          <w:szCs w:val="24"/>
        </w:rPr>
      </w:pPr>
    </w:p>
    <w:p w:rsidR="00537510" w:rsidRPr="00123724" w:rsidRDefault="00537510" w:rsidP="00537510">
      <w:pPr>
        <w:rPr>
          <w:rFonts w:cs="Times New Roman"/>
          <w:szCs w:val="24"/>
        </w:rPr>
      </w:pPr>
    </w:p>
    <w:tbl>
      <w:tblPr>
        <w:tblStyle w:val="aa"/>
        <w:tblW w:w="9571" w:type="dxa"/>
        <w:tblLook w:val="04A0" w:firstRow="1" w:lastRow="0" w:firstColumn="1" w:lastColumn="0" w:noHBand="0" w:noVBand="1"/>
      </w:tblPr>
      <w:tblGrid>
        <w:gridCol w:w="1668"/>
        <w:gridCol w:w="7903"/>
      </w:tblGrid>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Область индикатора</w:t>
            </w:r>
          </w:p>
        </w:tc>
        <w:tc>
          <w:tcPr>
            <w:tcW w:w="7903" w:type="dxa"/>
          </w:tcPr>
          <w:p w:rsidR="00537510" w:rsidRPr="00123724" w:rsidRDefault="00537510" w:rsidP="00537510">
            <w:pPr>
              <w:rPr>
                <w:rFonts w:cs="Times New Roman"/>
                <w:szCs w:val="24"/>
              </w:rPr>
            </w:pPr>
            <w:r w:rsidRPr="00123724">
              <w:rPr>
                <w:rFonts w:cs="Times New Roman"/>
                <w:szCs w:val="24"/>
              </w:rPr>
              <w:t>Доступность больниц</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Определение индикатора</w:t>
            </w:r>
          </w:p>
        </w:tc>
        <w:tc>
          <w:tcPr>
            <w:tcW w:w="7903" w:type="dxa"/>
          </w:tcPr>
          <w:p w:rsidR="00537510" w:rsidRPr="00123724" w:rsidRDefault="00537510" w:rsidP="00537510">
            <w:pPr>
              <w:rPr>
                <w:rFonts w:cs="Times New Roman"/>
                <w:szCs w:val="24"/>
              </w:rPr>
            </w:pPr>
            <w:r w:rsidRPr="00123724">
              <w:rPr>
                <w:rFonts w:cs="Times New Roman"/>
                <w:szCs w:val="24"/>
              </w:rPr>
              <w:t>Больничные койки на душу населения, относительно максимального порога 18 на 10 000 населения</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Числитель</w:t>
            </w:r>
          </w:p>
        </w:tc>
        <w:tc>
          <w:tcPr>
            <w:tcW w:w="7903" w:type="dxa"/>
          </w:tcPr>
          <w:p w:rsidR="00537510" w:rsidRPr="00123724" w:rsidRDefault="00537510" w:rsidP="00537510">
            <w:pPr>
              <w:rPr>
                <w:rFonts w:cs="Times New Roman"/>
                <w:szCs w:val="24"/>
              </w:rPr>
            </w:pPr>
            <w:r w:rsidRPr="00123724">
              <w:rPr>
                <w:rFonts w:cs="Times New Roman"/>
                <w:szCs w:val="24"/>
              </w:rPr>
              <w:t>Количество больничных коек (должно исключать р</w:t>
            </w:r>
            <w:r>
              <w:rPr>
                <w:rFonts w:cs="Times New Roman"/>
                <w:szCs w:val="24"/>
              </w:rPr>
              <w:t>абочие и родильные кровати</w:t>
            </w:r>
            <w:r w:rsidRPr="00123724">
              <w:rPr>
                <w:rFonts w:cs="Times New Roman"/>
                <w:szCs w:val="24"/>
              </w:rPr>
              <w:t>)</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Знаменатель</w:t>
            </w:r>
          </w:p>
        </w:tc>
        <w:tc>
          <w:tcPr>
            <w:tcW w:w="7903" w:type="dxa"/>
          </w:tcPr>
          <w:p w:rsidR="00537510" w:rsidRPr="00123724" w:rsidRDefault="00537510" w:rsidP="00537510">
            <w:pPr>
              <w:rPr>
                <w:rFonts w:cs="Times New Roman"/>
                <w:szCs w:val="24"/>
              </w:rPr>
            </w:pPr>
            <w:r w:rsidRPr="00123724">
              <w:rPr>
                <w:rFonts w:cs="Times New Roman"/>
                <w:szCs w:val="24"/>
              </w:rPr>
              <w:t>Общая численность населения</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Основные источники данных</w:t>
            </w:r>
          </w:p>
        </w:tc>
        <w:tc>
          <w:tcPr>
            <w:tcW w:w="7903" w:type="dxa"/>
          </w:tcPr>
          <w:p w:rsidR="00537510" w:rsidRPr="00123724" w:rsidRDefault="00537510" w:rsidP="00537510">
            <w:pPr>
              <w:rPr>
                <w:rFonts w:cs="Times New Roman"/>
                <w:szCs w:val="24"/>
              </w:rPr>
            </w:pPr>
            <w:r w:rsidRPr="00123724">
              <w:rPr>
                <w:rFonts w:cs="Times New Roman"/>
                <w:szCs w:val="24"/>
              </w:rPr>
              <w:t>Административные системы/Система отчетности учреждений здравоохранения</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Метод</w:t>
            </w:r>
          </w:p>
          <w:p w:rsidR="00537510" w:rsidRPr="00123724" w:rsidRDefault="00537510" w:rsidP="00537510">
            <w:pPr>
              <w:rPr>
                <w:rFonts w:cs="Times New Roman"/>
                <w:szCs w:val="24"/>
              </w:rPr>
            </w:pPr>
            <w:r w:rsidRPr="00123724">
              <w:rPr>
                <w:rFonts w:cs="Times New Roman"/>
                <w:szCs w:val="24"/>
              </w:rPr>
              <w:t>расчета</w:t>
            </w:r>
          </w:p>
        </w:tc>
        <w:tc>
          <w:tcPr>
            <w:tcW w:w="7903" w:type="dxa"/>
          </w:tcPr>
          <w:p w:rsidR="00537510" w:rsidRPr="00123724" w:rsidRDefault="00537510" w:rsidP="00537510">
            <w:pPr>
              <w:rPr>
                <w:rFonts w:cs="Times New Roman"/>
                <w:szCs w:val="24"/>
              </w:rPr>
            </w:pPr>
            <w:proofErr w:type="spellStart"/>
            <w:r w:rsidRPr="00123724">
              <w:rPr>
                <w:rFonts w:cs="Times New Roman"/>
                <w:szCs w:val="24"/>
              </w:rPr>
              <w:t>Страновые</w:t>
            </w:r>
            <w:proofErr w:type="spellEnd"/>
            <w:r w:rsidRPr="00123724">
              <w:rPr>
                <w:rFonts w:cs="Times New Roman"/>
                <w:szCs w:val="24"/>
              </w:rPr>
              <w:t xml:space="preserve"> административные системы используются для суммарного количества больничных коек, которые делятся на общую предполагаемую численность населения и умножаются на 10 000 человек.</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Метод оценки</w:t>
            </w:r>
          </w:p>
        </w:tc>
        <w:tc>
          <w:tcPr>
            <w:tcW w:w="7903" w:type="dxa"/>
          </w:tcPr>
          <w:p w:rsidR="00537510" w:rsidRPr="00123724" w:rsidRDefault="00537510" w:rsidP="00537510">
            <w:pPr>
              <w:rPr>
                <w:rFonts w:cs="Times New Roman"/>
                <w:szCs w:val="24"/>
              </w:rPr>
            </w:pPr>
            <w:r w:rsidRPr="00123724">
              <w:rPr>
                <w:rFonts w:cs="Times New Roman"/>
                <w:szCs w:val="24"/>
              </w:rPr>
              <w:t>Используя имеющиеся данные, показатель вычисляется относительно порогового значения в 18 больничных коек на 10 000 населения. Этот порог ниже наблюдаемого минимума страны с высоким уровнем дохода ОЭСР (с 2000 года) 20 на 10 000 человек и, как правило, соответствует ставке госпитализации в стационаре около 5 на 100 в год. Этот показатель призван обеспечить низкий уровень больничной способности; максимальный порог используется, потому что очень высокая плотность больничных коек не является необходимым для эффективного использования ресурсов. Индикатор рассчитывается следующим образом, используя данные страны о плотности больничного койко-места (x), что приводит к значениям от 0 до 100:</w:t>
            </w:r>
          </w:p>
          <w:p w:rsidR="00537510" w:rsidRPr="00123724" w:rsidRDefault="00537510" w:rsidP="00537510">
            <w:pPr>
              <w:pStyle w:val="ab"/>
              <w:numPr>
                <w:ilvl w:val="0"/>
                <w:numId w:val="5"/>
              </w:numPr>
              <w:rPr>
                <w:rFonts w:cs="Times New Roman"/>
                <w:szCs w:val="24"/>
              </w:rPr>
            </w:pPr>
            <w:r w:rsidRPr="00123724">
              <w:rPr>
                <w:rFonts w:cs="Times New Roman"/>
                <w:szCs w:val="24"/>
              </w:rPr>
              <w:t>Страна с плотностью больничной койки х &lt;18 на 10000 в год, индикатор = x / 18 * 100.</w:t>
            </w:r>
          </w:p>
          <w:p w:rsidR="00537510" w:rsidRPr="00123724" w:rsidRDefault="00537510" w:rsidP="00537510">
            <w:pPr>
              <w:pStyle w:val="ab"/>
              <w:numPr>
                <w:ilvl w:val="0"/>
                <w:numId w:val="5"/>
              </w:numPr>
              <w:rPr>
                <w:rFonts w:cs="Times New Roman"/>
                <w:szCs w:val="24"/>
              </w:rPr>
            </w:pPr>
            <w:r w:rsidRPr="00123724">
              <w:rPr>
                <w:rFonts w:cs="Times New Roman"/>
                <w:szCs w:val="24"/>
              </w:rPr>
              <w:t>Страна с плотностью больничной койки x&gt; = 18 на 10 000 в год, индикатор = 100.</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 xml:space="preserve">Заметки по </w:t>
            </w:r>
            <w:r w:rsidRPr="00123724">
              <w:rPr>
                <w:rFonts w:cs="Times New Roman"/>
                <w:szCs w:val="24"/>
                <w:lang w:val="en-US"/>
              </w:rPr>
              <w:t>UHC</w:t>
            </w:r>
          </w:p>
        </w:tc>
        <w:tc>
          <w:tcPr>
            <w:tcW w:w="7903" w:type="dxa"/>
          </w:tcPr>
          <w:p w:rsidR="00537510" w:rsidRPr="00123724" w:rsidRDefault="00537510" w:rsidP="00537510">
            <w:pPr>
              <w:rPr>
                <w:rFonts w:cs="Times New Roman"/>
                <w:szCs w:val="24"/>
              </w:rPr>
            </w:pPr>
            <w:r w:rsidRPr="00123724">
              <w:rPr>
                <w:rFonts w:cs="Times New Roman"/>
                <w:szCs w:val="24"/>
              </w:rPr>
              <w:t xml:space="preserve">Альтернативным показателем может быть </w:t>
            </w:r>
            <w:r>
              <w:rPr>
                <w:rFonts w:cs="Times New Roman"/>
                <w:szCs w:val="24"/>
              </w:rPr>
              <w:t xml:space="preserve">уровень госпитализации в </w:t>
            </w:r>
            <w:r w:rsidRPr="00123724">
              <w:rPr>
                <w:rFonts w:cs="Times New Roman"/>
                <w:szCs w:val="24"/>
              </w:rPr>
              <w:t>стационар</w:t>
            </w:r>
            <w:r>
              <w:rPr>
                <w:rFonts w:cs="Times New Roman"/>
                <w:szCs w:val="24"/>
              </w:rPr>
              <w:t>е</w:t>
            </w:r>
            <w:r w:rsidRPr="00123724">
              <w:rPr>
                <w:rFonts w:cs="Times New Roman"/>
                <w:szCs w:val="24"/>
              </w:rPr>
              <w:t>, относительно максимального порога. Однако этот показатель в настоящее время не сообщается широко в разных регионах, в частности в Африканском регионе. В странах, где имеются больничные койки на душу населения и тарифы на госпитализацию, они сильно коррелированы.</w:t>
            </w:r>
          </w:p>
        </w:tc>
      </w:tr>
    </w:tbl>
    <w:p w:rsidR="00537510" w:rsidRPr="00123724" w:rsidRDefault="00537510" w:rsidP="00537510">
      <w:pPr>
        <w:rPr>
          <w:rFonts w:cs="Times New Roman"/>
          <w:szCs w:val="24"/>
        </w:rPr>
      </w:pPr>
    </w:p>
    <w:p w:rsidR="00537510" w:rsidRPr="00123724" w:rsidRDefault="00537510" w:rsidP="00537510">
      <w:pPr>
        <w:rPr>
          <w:rFonts w:cs="Times New Roman"/>
          <w:szCs w:val="24"/>
        </w:rPr>
      </w:pPr>
      <w:r w:rsidRPr="00123724">
        <w:rPr>
          <w:rFonts w:cs="Times New Roman"/>
          <w:szCs w:val="24"/>
        </w:rPr>
        <w:br w:type="page"/>
      </w:r>
    </w:p>
    <w:tbl>
      <w:tblPr>
        <w:tblStyle w:val="aa"/>
        <w:tblW w:w="9571" w:type="dxa"/>
        <w:tblLook w:val="04A0" w:firstRow="1" w:lastRow="0" w:firstColumn="1" w:lastColumn="0" w:noHBand="0" w:noVBand="1"/>
      </w:tblPr>
      <w:tblGrid>
        <w:gridCol w:w="1668"/>
        <w:gridCol w:w="7903"/>
      </w:tblGrid>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lastRenderedPageBreak/>
              <w:t>Область индикатора</w:t>
            </w:r>
          </w:p>
        </w:tc>
        <w:tc>
          <w:tcPr>
            <w:tcW w:w="7903" w:type="dxa"/>
          </w:tcPr>
          <w:p w:rsidR="00537510" w:rsidRPr="00123724" w:rsidRDefault="00537510" w:rsidP="00537510">
            <w:pPr>
              <w:rPr>
                <w:rFonts w:cs="Times New Roman"/>
                <w:szCs w:val="24"/>
              </w:rPr>
            </w:pPr>
            <w:r w:rsidRPr="00123724">
              <w:rPr>
                <w:rFonts w:cs="Times New Roman"/>
                <w:szCs w:val="24"/>
              </w:rPr>
              <w:t>Кадровые ресурсы здравоохранения</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Определение индикатора</w:t>
            </w:r>
          </w:p>
        </w:tc>
        <w:tc>
          <w:tcPr>
            <w:tcW w:w="7903" w:type="dxa"/>
          </w:tcPr>
          <w:p w:rsidR="00537510" w:rsidRPr="00123724" w:rsidRDefault="00537510" w:rsidP="00537510">
            <w:pPr>
              <w:rPr>
                <w:rFonts w:cs="Times New Roman"/>
                <w:szCs w:val="24"/>
              </w:rPr>
            </w:pPr>
            <w:r w:rsidRPr="00123724">
              <w:rPr>
                <w:rFonts w:cs="Times New Roman"/>
                <w:szCs w:val="24"/>
              </w:rPr>
              <w:t>Специалисты здравоохранения (врачи, психиатры и хирурги) на душу населения, по отношению к максимальным пороговым значениям для каждого кадрового</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Числитель</w:t>
            </w:r>
          </w:p>
        </w:tc>
        <w:tc>
          <w:tcPr>
            <w:tcW w:w="7903" w:type="dxa"/>
          </w:tcPr>
          <w:p w:rsidR="00537510" w:rsidRPr="00123724" w:rsidRDefault="00537510" w:rsidP="00537510">
            <w:pPr>
              <w:rPr>
                <w:rFonts w:cs="Times New Roman"/>
                <w:szCs w:val="24"/>
              </w:rPr>
            </w:pPr>
            <w:r w:rsidRPr="00123724">
              <w:rPr>
                <w:rFonts w:cs="Times New Roman"/>
                <w:szCs w:val="24"/>
              </w:rPr>
              <w:t>Число врачей, психиатров и хирургов</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Знаменатель</w:t>
            </w:r>
          </w:p>
        </w:tc>
        <w:tc>
          <w:tcPr>
            <w:tcW w:w="7903" w:type="dxa"/>
          </w:tcPr>
          <w:p w:rsidR="00537510" w:rsidRPr="00123724" w:rsidRDefault="00537510" w:rsidP="00537510">
            <w:pPr>
              <w:rPr>
                <w:rFonts w:cs="Times New Roman"/>
                <w:szCs w:val="24"/>
              </w:rPr>
            </w:pPr>
            <w:r w:rsidRPr="00123724">
              <w:rPr>
                <w:rFonts w:cs="Times New Roman"/>
                <w:szCs w:val="24"/>
              </w:rPr>
              <w:t>Общая численность населения</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Основные источники данных</w:t>
            </w:r>
          </w:p>
        </w:tc>
        <w:tc>
          <w:tcPr>
            <w:tcW w:w="7903" w:type="dxa"/>
          </w:tcPr>
          <w:p w:rsidR="00537510" w:rsidRPr="00123724" w:rsidRDefault="00537510" w:rsidP="00537510">
            <w:pPr>
              <w:rPr>
                <w:rFonts w:cs="Times New Roman"/>
                <w:szCs w:val="24"/>
              </w:rPr>
            </w:pPr>
            <w:r w:rsidRPr="00123724">
              <w:rPr>
                <w:rFonts w:cs="Times New Roman"/>
                <w:szCs w:val="24"/>
              </w:rPr>
              <w:t>Национальная база данных или реестр работников здравоохранения, в идеале в сочетании с регулярной оценкой полноты, использующей данные переписи, реестров профессиональных ассоциаций или переписей объектов.</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Метод</w:t>
            </w:r>
          </w:p>
          <w:p w:rsidR="00537510" w:rsidRPr="00123724" w:rsidRDefault="00537510" w:rsidP="00537510">
            <w:pPr>
              <w:rPr>
                <w:rFonts w:cs="Times New Roman"/>
                <w:szCs w:val="24"/>
              </w:rPr>
            </w:pPr>
            <w:r w:rsidRPr="00123724">
              <w:rPr>
                <w:rFonts w:cs="Times New Roman"/>
                <w:szCs w:val="24"/>
              </w:rPr>
              <w:t>расчета</w:t>
            </w:r>
          </w:p>
        </w:tc>
        <w:tc>
          <w:tcPr>
            <w:tcW w:w="7903" w:type="dxa"/>
          </w:tcPr>
          <w:p w:rsidR="00537510" w:rsidRDefault="00537510" w:rsidP="00F03244">
            <w:pPr>
              <w:rPr>
                <w:rFonts w:cs="Times New Roman"/>
                <w:szCs w:val="24"/>
              </w:rPr>
            </w:pPr>
            <w:r w:rsidRPr="00123724">
              <w:rPr>
                <w:rFonts w:cs="Times New Roman"/>
                <w:szCs w:val="24"/>
              </w:rPr>
              <w:t>Классификация работников здравоохранения основывается на критериях профессионального образования и обучения, регулировании профессий здоровья, а также на мероприятиях и задачах рабочих мест, т.</w:t>
            </w:r>
            <w:r>
              <w:rPr>
                <w:rFonts w:cs="Times New Roman"/>
                <w:szCs w:val="24"/>
              </w:rPr>
              <w:t>е</w:t>
            </w:r>
            <w:r w:rsidRPr="00123724">
              <w:rPr>
                <w:rFonts w:cs="Times New Roman"/>
                <w:szCs w:val="24"/>
              </w:rPr>
              <w:t xml:space="preserve">. </w:t>
            </w:r>
            <w:r>
              <w:rPr>
                <w:rFonts w:cs="Times New Roman"/>
                <w:szCs w:val="24"/>
              </w:rPr>
              <w:t>н</w:t>
            </w:r>
            <w:r w:rsidRPr="00123724">
              <w:rPr>
                <w:rFonts w:cs="Times New Roman"/>
                <w:szCs w:val="24"/>
              </w:rPr>
              <w:t xml:space="preserve">а основе классификации ключевых переменных рабочей силы в соответствии с общими характеристиками. Структура ВОЗ в значительной степени опирается на последние изменения в </w:t>
            </w:r>
            <w:proofErr w:type="spellStart"/>
            <w:r w:rsidRPr="00123724">
              <w:rPr>
                <w:rFonts w:cs="Times New Roman"/>
                <w:szCs w:val="24"/>
              </w:rPr>
              <w:t>международно</w:t>
            </w:r>
            <w:proofErr w:type="spellEnd"/>
            <w:r w:rsidRPr="00123724">
              <w:rPr>
                <w:rFonts w:cs="Times New Roman"/>
                <w:szCs w:val="24"/>
              </w:rPr>
              <w:t xml:space="preserve"> стандартизованные системы классификации Международной организации труда (Международная стандартная классификация профессий), Организация Объединенных Наций по вопросам образования, науки и культуры (Международная стандартная классификация образования) и Статистический отдел Организации Объединенных Наций (Международная стандартная отраслевая классификация всех видов экономической деятельности). Методические подробно</w:t>
            </w:r>
            <w:r w:rsidR="00F03244">
              <w:rPr>
                <w:rFonts w:cs="Times New Roman"/>
                <w:szCs w:val="24"/>
              </w:rPr>
              <w:t>сти и данные можно найти здесь:</w:t>
            </w:r>
          </w:p>
          <w:p w:rsidR="00F03244" w:rsidRPr="00F03244" w:rsidRDefault="00276122" w:rsidP="00F03244">
            <w:pPr>
              <w:rPr>
                <w:rFonts w:cs="Times New Roman"/>
                <w:szCs w:val="24"/>
              </w:rPr>
            </w:pPr>
            <w:hyperlink r:id="rId34" w:history="1">
              <w:r w:rsidR="00F03244" w:rsidRPr="00BE3D09">
                <w:rPr>
                  <w:rStyle w:val="ac"/>
                  <w:rFonts w:cs="Times New Roman"/>
                  <w:szCs w:val="24"/>
                </w:rPr>
                <w:t>https://www.who.int/activities/improving-health-workforce-data-and-evidence</w:t>
              </w:r>
            </w:hyperlink>
          </w:p>
          <w:p w:rsidR="00F03244" w:rsidRPr="00123724" w:rsidRDefault="00F03244" w:rsidP="00F03244">
            <w:pPr>
              <w:rPr>
                <w:rFonts w:cs="Times New Roman"/>
                <w:szCs w:val="24"/>
              </w:rPr>
            </w:pPr>
            <w:r w:rsidRPr="00F03244">
              <w:rPr>
                <w:rFonts w:cs="Times New Roman"/>
                <w:szCs w:val="24"/>
              </w:rPr>
              <w:t xml:space="preserve">Доступ к данным о кадрах здравоохранения можно получить на портале данных NHWA: </w:t>
            </w:r>
            <w:hyperlink r:id="rId35" w:history="1">
              <w:r w:rsidRPr="00BE3D09">
                <w:rPr>
                  <w:rStyle w:val="ac"/>
                  <w:rFonts w:cs="Times New Roman"/>
                  <w:szCs w:val="24"/>
                </w:rPr>
                <w:t>https://apps.who.int/nhwaportal/</w:t>
              </w:r>
            </w:hyperlink>
            <w:r>
              <w:rPr>
                <w:rFonts w:cs="Times New Roman"/>
                <w:szCs w:val="24"/>
              </w:rPr>
              <w:t xml:space="preserve"> </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Метод оценки</w:t>
            </w:r>
          </w:p>
        </w:tc>
        <w:tc>
          <w:tcPr>
            <w:tcW w:w="7903" w:type="dxa"/>
          </w:tcPr>
          <w:p w:rsidR="00537510" w:rsidRPr="00123724" w:rsidRDefault="00537510" w:rsidP="00537510">
            <w:pPr>
              <w:rPr>
                <w:rFonts w:cs="Times New Roman"/>
                <w:szCs w:val="24"/>
              </w:rPr>
            </w:pPr>
            <w:r w:rsidRPr="00123724">
              <w:rPr>
                <w:rFonts w:cs="Times New Roman"/>
                <w:szCs w:val="24"/>
              </w:rPr>
              <w:t xml:space="preserve">Используя имеющиеся данные, показатель рассчитывается путем первого масштабирования, отдельно, коэффициентов плотности работников здравоохранения для каждого из трех кадров (врачей, психиатров и хирургов) по сравнению с минимальными наблюдаемыми значениями в странах ОЭСР с 2000 года, которые следующие: врачи = 0,9 на 1000, психиатров = 1 на 100 000, а хирургов = 14 на 100 000 человек. Это масштабирование выполняется так же, как и для индикатора плотности больничной койки, описанного выше, в результате чего значения индикаторов варьируются от 0 до 100 для каждого из трех кадров. Например, используя данные по странам для врачей на 1000 человек населения (x), кадровый показатель будет рассчитываться как: </w:t>
            </w:r>
          </w:p>
          <w:p w:rsidR="00537510" w:rsidRPr="00123724" w:rsidRDefault="00537510" w:rsidP="00537510">
            <w:pPr>
              <w:pStyle w:val="ab"/>
              <w:numPr>
                <w:ilvl w:val="0"/>
                <w:numId w:val="6"/>
              </w:numPr>
              <w:rPr>
                <w:rFonts w:cs="Times New Roman"/>
                <w:szCs w:val="24"/>
              </w:rPr>
            </w:pPr>
            <w:r w:rsidRPr="00123724">
              <w:rPr>
                <w:rFonts w:cs="Times New Roman"/>
                <w:szCs w:val="24"/>
              </w:rPr>
              <w:t xml:space="preserve">Страна с </w:t>
            </w:r>
            <w:r w:rsidRPr="00123724">
              <w:rPr>
                <w:rFonts w:cs="Times New Roman"/>
                <w:szCs w:val="24"/>
                <w:lang w:val="en-US"/>
              </w:rPr>
              <w:t>x</w:t>
            </w:r>
            <w:r w:rsidRPr="00123724">
              <w:rPr>
                <w:rFonts w:cs="Times New Roman"/>
                <w:szCs w:val="24"/>
              </w:rPr>
              <w:t xml:space="preserve"> &lt;0,9 на 1000 в год, кадровый показатель = </w:t>
            </w:r>
            <w:r w:rsidRPr="00123724">
              <w:rPr>
                <w:rFonts w:cs="Times New Roman"/>
                <w:szCs w:val="24"/>
                <w:lang w:val="en-US"/>
              </w:rPr>
              <w:t>x</w:t>
            </w:r>
            <w:r w:rsidRPr="00123724">
              <w:rPr>
                <w:rFonts w:cs="Times New Roman"/>
                <w:szCs w:val="24"/>
              </w:rPr>
              <w:t xml:space="preserve"> / 0,9 * 100.</w:t>
            </w:r>
          </w:p>
          <w:p w:rsidR="00537510" w:rsidRPr="00123724" w:rsidRDefault="00537510" w:rsidP="00537510">
            <w:pPr>
              <w:pStyle w:val="ab"/>
              <w:numPr>
                <w:ilvl w:val="0"/>
                <w:numId w:val="6"/>
              </w:numPr>
              <w:rPr>
                <w:rFonts w:cs="Times New Roman"/>
                <w:szCs w:val="24"/>
              </w:rPr>
            </w:pPr>
            <w:r w:rsidRPr="00123724">
              <w:rPr>
                <w:rFonts w:cs="Times New Roman"/>
                <w:szCs w:val="24"/>
              </w:rPr>
              <w:t xml:space="preserve">Страна с </w:t>
            </w:r>
            <w:r w:rsidRPr="00123724">
              <w:rPr>
                <w:rFonts w:cs="Times New Roman"/>
                <w:szCs w:val="24"/>
                <w:lang w:val="en-US"/>
              </w:rPr>
              <w:t>x</w:t>
            </w:r>
            <w:r w:rsidRPr="00123724">
              <w:rPr>
                <w:rFonts w:cs="Times New Roman"/>
                <w:szCs w:val="24"/>
              </w:rPr>
              <w:t>&gt; = 0,9 на 1000 в год, кадровый показатель = 100.</w:t>
            </w:r>
          </w:p>
          <w:p w:rsidR="00537510" w:rsidRPr="00123724" w:rsidRDefault="00537510" w:rsidP="00537510">
            <w:pPr>
              <w:rPr>
                <w:rFonts w:cs="Times New Roman"/>
                <w:szCs w:val="24"/>
              </w:rPr>
            </w:pPr>
            <w:r w:rsidRPr="00123724">
              <w:rPr>
                <w:rFonts w:cs="Times New Roman"/>
                <w:szCs w:val="24"/>
              </w:rPr>
              <w:t>В качестве последнего шага вычисляется среднее геометрическое трех значений показателя кадровой специфичности, чтобы получить окончательный показатель плотности рабочей силы здравоохранения.</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 xml:space="preserve">Заметки по </w:t>
            </w:r>
            <w:r w:rsidRPr="00123724">
              <w:rPr>
                <w:rFonts w:cs="Times New Roman"/>
                <w:szCs w:val="24"/>
                <w:lang w:val="en-US"/>
              </w:rPr>
              <w:t>UHC</w:t>
            </w:r>
          </w:p>
        </w:tc>
        <w:tc>
          <w:tcPr>
            <w:tcW w:w="7903" w:type="dxa"/>
          </w:tcPr>
          <w:p w:rsidR="00537510" w:rsidRPr="00123724" w:rsidRDefault="00ED6EFE" w:rsidP="00537510">
            <w:pPr>
              <w:rPr>
                <w:rFonts w:cs="Times New Roman"/>
                <w:szCs w:val="24"/>
              </w:rPr>
            </w:pPr>
            <w:r w:rsidRPr="00ED6EFE">
              <w:rPr>
                <w:rFonts w:cs="Times New Roman"/>
                <w:szCs w:val="24"/>
              </w:rPr>
              <w:t xml:space="preserve">Из-за серьезных проблем с измерением охвата во всех областях здравоохранения, что оставляет большие пробелы в таких важных областях, как плановые медицинские осмотры, лечение психических заболеваний, неотложная помощь и хирургические процедуры, используются косвенные данные. Плотность врачей, психиатров и хирургов используется в качестве показателя полного охвата </w:t>
            </w:r>
            <w:r w:rsidRPr="00ED6EFE">
              <w:rPr>
                <w:rFonts w:cs="Times New Roman"/>
                <w:szCs w:val="24"/>
              </w:rPr>
              <w:lastRenderedPageBreak/>
              <w:t>амбулаторной помощи, психиатрической помощи и неотложной/хирургической помощи соответственно. Следует отметить, что эти показатели трудно интерпретировать, поскольку оптимальный уровень этих показателей неизвестен и они не связаны с конкретной потребностью в услугах. Несмотря на это, низкие уровни этих показателей свидетельствуют о плохом доступе к основным медицинским услугам и их использовании.</w:t>
            </w:r>
          </w:p>
        </w:tc>
      </w:tr>
    </w:tbl>
    <w:p w:rsidR="00537510" w:rsidRPr="00123724" w:rsidRDefault="00537510" w:rsidP="00537510">
      <w:pPr>
        <w:rPr>
          <w:rFonts w:cs="Times New Roman"/>
          <w:szCs w:val="24"/>
        </w:rPr>
      </w:pPr>
    </w:p>
    <w:tbl>
      <w:tblPr>
        <w:tblStyle w:val="aa"/>
        <w:tblW w:w="9571" w:type="dxa"/>
        <w:tblLook w:val="04A0" w:firstRow="1" w:lastRow="0" w:firstColumn="1" w:lastColumn="0" w:noHBand="0" w:noVBand="1"/>
      </w:tblPr>
      <w:tblGrid>
        <w:gridCol w:w="1668"/>
        <w:gridCol w:w="7903"/>
      </w:tblGrid>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Область индикатора</w:t>
            </w:r>
          </w:p>
        </w:tc>
        <w:tc>
          <w:tcPr>
            <w:tcW w:w="7903" w:type="dxa"/>
          </w:tcPr>
          <w:p w:rsidR="00537510" w:rsidRPr="00123724" w:rsidRDefault="00537510" w:rsidP="00537510">
            <w:pPr>
              <w:rPr>
                <w:rFonts w:cs="Times New Roman"/>
                <w:szCs w:val="24"/>
              </w:rPr>
            </w:pPr>
            <w:r w:rsidRPr="00123724">
              <w:rPr>
                <w:rFonts w:cs="Times New Roman"/>
                <w:szCs w:val="24"/>
              </w:rPr>
              <w:t>Здравоохранение</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Определение индикатора</w:t>
            </w:r>
          </w:p>
        </w:tc>
        <w:tc>
          <w:tcPr>
            <w:tcW w:w="7903" w:type="dxa"/>
          </w:tcPr>
          <w:p w:rsidR="009F1481" w:rsidRPr="009F1481" w:rsidRDefault="009F1481" w:rsidP="009F1481">
            <w:pPr>
              <w:rPr>
                <w:rFonts w:cs="Times New Roman"/>
                <w:szCs w:val="24"/>
              </w:rPr>
            </w:pPr>
            <w:r w:rsidRPr="009F1481">
              <w:rPr>
                <w:rFonts w:cs="Times New Roman"/>
                <w:szCs w:val="24"/>
              </w:rPr>
              <w:t>Индекс основных возможностей Международных медико-санитарных правил (ММСП), который представляет собой средний процент атрибутов всех основных способностей, которые были достигнуты в определенный момент времени.</w:t>
            </w:r>
          </w:p>
          <w:p w:rsidR="009F1481" w:rsidRPr="009F1481" w:rsidRDefault="009F1481" w:rsidP="009F1481">
            <w:pPr>
              <w:rPr>
                <w:rFonts w:cs="Times New Roman"/>
                <w:szCs w:val="24"/>
              </w:rPr>
            </w:pPr>
            <w:r w:rsidRPr="009F1481">
              <w:rPr>
                <w:rFonts w:cs="Times New Roman"/>
                <w:szCs w:val="24"/>
              </w:rPr>
              <w:t>Инструмент SPAR второй редакции был расширен с 13 до 15 возможностей. К 15 основным возможностям относятся (1) политические, правовые и нормативные инструменты для реализации ММСП; (2) Координация ММСП и функции национальных координаторов; (3) Финансирование; (4) Лаборатория; (5) наблюдение; (6) Человеческие ресурсы; (7) Управление чрезвычайными ситуациями в области здравоохранения (8) Предоставление медицинских услуг; (9) Профилактика инфекций и контроль; (10) Информирование о рисках и вовлечение сообщества; (11) Пункты въезда и состояние границ; (12) Зоонозные болезни; (13) Безопасность пищевых продуктов; (14) Химические явления; (15) Радиационные аварийные ситуации.</w:t>
            </w:r>
          </w:p>
          <w:p w:rsidR="009F1481" w:rsidRPr="009F1481" w:rsidRDefault="009F1481" w:rsidP="009F1481">
            <w:pPr>
              <w:rPr>
                <w:rFonts w:cs="Times New Roman"/>
                <w:szCs w:val="24"/>
              </w:rPr>
            </w:pPr>
            <w:proofErr w:type="gramStart"/>
            <w:r w:rsidRPr="009F1481">
              <w:rPr>
                <w:rFonts w:cs="Times New Roman"/>
                <w:szCs w:val="24"/>
              </w:rPr>
              <w:t>13 основных возможностей первого издания Инструмента ежегодной оценки и отчетности государств-участников ММСП: (1) Законодательство и финансирование; (2) Координация ММСП и функции национальных координаторов; (3) Зоонозные явления и взаимодействие между здоровьем человека и животных; (4) Безопасность пищевых продуктов; (5) Лаборатория; (6) наблюдение; (7) Человеческие ресурсы; (8) Национальная программа по чрезвычайным ситуациям в области здравоохранения;</w:t>
            </w:r>
            <w:proofErr w:type="gramEnd"/>
            <w:r w:rsidRPr="009F1481">
              <w:rPr>
                <w:rFonts w:cs="Times New Roman"/>
                <w:szCs w:val="24"/>
              </w:rPr>
              <w:t xml:space="preserve"> (9) Предоставление медицинских услуг; (10) Информирование о рисках; (11) Пункты въезда; (12) Химические явления; (13) Радиационные аварийные ситуации.</w:t>
            </w:r>
          </w:p>
          <w:p w:rsidR="009F1481" w:rsidRPr="009F1481" w:rsidRDefault="009F1481" w:rsidP="009F1481">
            <w:pPr>
              <w:rPr>
                <w:rFonts w:cs="Times New Roman"/>
                <w:szCs w:val="24"/>
              </w:rPr>
            </w:pPr>
            <w:r w:rsidRPr="009F1481">
              <w:rPr>
                <w:rFonts w:cs="Times New Roman"/>
                <w:szCs w:val="24"/>
              </w:rPr>
              <w:t>В обоих опросниках SPAR (1-е и 2-е издания) используется пятиуровневая оценка с показателями, основанными на пяти совокупных уровнях, для измерения статуса реализации каждого потенциала. Для каждого показателя отчитывающемуся государству-участнику предлагается выбрать, какой из пяти уровней лучше всего описывает текущий статус государства-участника. Для перехода на следующий уровень необходимо наличие всех возможностей, описанных на предыдущих уровнях, для каждого показателя.</w:t>
            </w:r>
          </w:p>
          <w:p w:rsidR="00537510" w:rsidRPr="00123724" w:rsidRDefault="009F1481" w:rsidP="009F1481">
            <w:pPr>
              <w:rPr>
                <w:rFonts w:cs="Times New Roman"/>
                <w:szCs w:val="24"/>
              </w:rPr>
            </w:pPr>
            <w:r w:rsidRPr="009F1481">
              <w:rPr>
                <w:rFonts w:cs="Times New Roman"/>
                <w:szCs w:val="24"/>
              </w:rPr>
              <w:t xml:space="preserve">В период с 2010 по 2017 год государства-члены использовали вопросник для мониторинга ММСП. Анкета разделена на тринадцать разделов, по одному на каждую из восьми основных возможностей, </w:t>
            </w:r>
            <w:proofErr w:type="spellStart"/>
            <w:r w:rsidRPr="009F1481">
              <w:rPr>
                <w:rFonts w:cs="Times New Roman"/>
                <w:szCs w:val="24"/>
              </w:rPr>
              <w:t>PoE</w:t>
            </w:r>
            <w:proofErr w:type="spellEnd"/>
            <w:r w:rsidRPr="009F1481">
              <w:rPr>
                <w:rFonts w:cs="Times New Roman"/>
                <w:szCs w:val="24"/>
              </w:rPr>
              <w:t xml:space="preserve"> и четырех опасностей. Отдельные вопросы в анкетах сгруппированы по компонентам и показателям. Государства-участники могут предоставить дополнительную информацию по вопросам в полях для комментариев. Ответы на вопросы включают указание одного подходящего значения </w:t>
            </w:r>
            <w:r w:rsidRPr="009F1481">
              <w:rPr>
                <w:rFonts w:cs="Times New Roman"/>
                <w:szCs w:val="24"/>
              </w:rPr>
              <w:lastRenderedPageBreak/>
              <w:t xml:space="preserve">(«Да», «Нет» или «Неизвестно») или соответствующих процентов. В статистических целях значение «Неизвестно» будет рассчитываться как значение «Нет». Анкета для мониторинга ММСП включает следующее: ММСП01. Национальное законодательство, политика и финансирование; ММСП02. Координация и связь с национальными координаторами; ММСП03. Наблюдение; ММСП04. Ответ; ММСП05. Готовность; ММСП06. информирование о рисках; ММСП07. Человеческие ресурсы; ММСП08. Лаборатория; ММСП09. Точки входа; ММСП10. Зоонозные явления; ММСП11. Безопасности пищевых продуктов; ММСП12. Химические явления; ММСП13. </w:t>
            </w:r>
            <w:proofErr w:type="spellStart"/>
            <w:r w:rsidRPr="009F1481">
              <w:rPr>
                <w:rFonts w:cs="Times New Roman"/>
                <w:szCs w:val="24"/>
              </w:rPr>
              <w:t>Радиоядерные</w:t>
            </w:r>
            <w:proofErr w:type="spellEnd"/>
            <w:r w:rsidRPr="009F1481">
              <w:rPr>
                <w:rFonts w:cs="Times New Roman"/>
                <w:szCs w:val="24"/>
              </w:rPr>
              <w:t xml:space="preserve"> аварийные ситуации.</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lastRenderedPageBreak/>
              <w:t>Числитель</w:t>
            </w:r>
          </w:p>
        </w:tc>
        <w:tc>
          <w:tcPr>
            <w:tcW w:w="7903" w:type="dxa"/>
          </w:tcPr>
          <w:p w:rsidR="00537510" w:rsidRPr="00123724" w:rsidRDefault="00537510" w:rsidP="00537510">
            <w:pPr>
              <w:rPr>
                <w:rFonts w:cs="Times New Roman"/>
                <w:szCs w:val="24"/>
              </w:rPr>
            </w:pPr>
            <w:r w:rsidRPr="00123724">
              <w:rPr>
                <w:rFonts w:cs="Times New Roman"/>
                <w:szCs w:val="24"/>
              </w:rPr>
              <w:t>Количество достигнутых атрибутов</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Знаменатель</w:t>
            </w:r>
          </w:p>
        </w:tc>
        <w:tc>
          <w:tcPr>
            <w:tcW w:w="7903" w:type="dxa"/>
          </w:tcPr>
          <w:p w:rsidR="00537510" w:rsidRPr="00123724" w:rsidRDefault="00537510" w:rsidP="00537510">
            <w:pPr>
              <w:rPr>
                <w:rFonts w:cs="Times New Roman"/>
                <w:szCs w:val="24"/>
              </w:rPr>
            </w:pPr>
            <w:r w:rsidRPr="00123724">
              <w:rPr>
                <w:rFonts w:cs="Times New Roman"/>
                <w:szCs w:val="24"/>
              </w:rPr>
              <w:t>Общее количество атрибутов</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Основные источники данных</w:t>
            </w:r>
          </w:p>
        </w:tc>
        <w:tc>
          <w:tcPr>
            <w:tcW w:w="7903" w:type="dxa"/>
          </w:tcPr>
          <w:p w:rsidR="00537510" w:rsidRPr="00123724" w:rsidRDefault="00537510" w:rsidP="00537510">
            <w:pPr>
              <w:rPr>
                <w:rFonts w:cs="Times New Roman"/>
                <w:szCs w:val="24"/>
              </w:rPr>
            </w:pPr>
            <w:r w:rsidRPr="00123724">
              <w:rPr>
                <w:rFonts w:cs="Times New Roman"/>
                <w:szCs w:val="24"/>
              </w:rPr>
              <w:t>Обзор ключевых информантов</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Метод</w:t>
            </w:r>
          </w:p>
          <w:p w:rsidR="00537510" w:rsidRPr="00123724" w:rsidRDefault="00537510" w:rsidP="00537510">
            <w:pPr>
              <w:rPr>
                <w:rFonts w:cs="Times New Roman"/>
                <w:szCs w:val="24"/>
              </w:rPr>
            </w:pPr>
            <w:r w:rsidRPr="00123724">
              <w:rPr>
                <w:rFonts w:cs="Times New Roman"/>
                <w:szCs w:val="24"/>
              </w:rPr>
              <w:t>расчета</w:t>
            </w:r>
          </w:p>
        </w:tc>
        <w:tc>
          <w:tcPr>
            <w:tcW w:w="7903" w:type="dxa"/>
          </w:tcPr>
          <w:p w:rsidR="00537510" w:rsidRPr="00123724" w:rsidRDefault="009F1481" w:rsidP="005B15A0">
            <w:pPr>
              <w:rPr>
                <w:rFonts w:cs="Times New Roman"/>
                <w:szCs w:val="24"/>
              </w:rPr>
            </w:pPr>
            <w:r w:rsidRPr="009F1481">
              <w:rPr>
                <w:rFonts w:cs="Times New Roman"/>
                <w:szCs w:val="24"/>
              </w:rPr>
              <w:t xml:space="preserve">Ключевые источники информации сообщают о достижении набора характеристик для каждой из основных способностей с использованием стандартного инструмента ВОЗ. Этот инструмент основан на самооценке и самоотчете государства-участника. Существует три набора данных, основанных на различных инструментах сбора данных для SPAR. На период с 2010 по 2017 год вопросник, известный как вопросник для мониторинга ММСП, разделен на тринадцать разделов: по одному для каждого из восьми основных возможностей, </w:t>
            </w:r>
            <w:proofErr w:type="spellStart"/>
            <w:r w:rsidRPr="009F1481">
              <w:rPr>
                <w:rFonts w:cs="Times New Roman"/>
                <w:szCs w:val="24"/>
              </w:rPr>
              <w:t>PoE</w:t>
            </w:r>
            <w:proofErr w:type="spellEnd"/>
            <w:r w:rsidRPr="009F1481">
              <w:rPr>
                <w:rFonts w:cs="Times New Roman"/>
                <w:szCs w:val="24"/>
              </w:rPr>
              <w:t xml:space="preserve"> и четырех опасностей, а также информацию о ходе реализации каждого потенциала. Анкета для мониторинга ММСП (с 2010 по 2017 год) была заменена Инструментом самооценки государств-участников ММСП – SPAR, опубликованным в июле 2018 года, также известным как SPAR 1-е издание. Государства-участники использовали вопросник из цикла отчетности SPAR 2018–2020 гг. Текущий вопросник заменил первое издание SPAR и использовался государствами-членами в 2021 году. По каждому направлению показатели либо сохранялись, заменялись, либо добавлялись. К историческим тенденциям, основанным на данных по аналогичным мощностям, следует относиться с осторожностью.</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Метод оценки</w:t>
            </w:r>
          </w:p>
        </w:tc>
        <w:tc>
          <w:tcPr>
            <w:tcW w:w="7903" w:type="dxa"/>
          </w:tcPr>
          <w:p w:rsidR="00537510" w:rsidRPr="00123724" w:rsidRDefault="005B15A0" w:rsidP="00537510">
            <w:pPr>
              <w:rPr>
                <w:rFonts w:cs="Times New Roman"/>
                <w:szCs w:val="24"/>
              </w:rPr>
            </w:pPr>
            <w:r w:rsidRPr="005B15A0">
              <w:rPr>
                <w:rFonts w:cs="Times New Roman"/>
                <w:szCs w:val="24"/>
              </w:rPr>
              <w:t xml:space="preserve">Оценка каждого уровня индикатора классифицируется как процент выполнения по шкале от 1 до 5. </w:t>
            </w:r>
            <w:proofErr w:type="gramStart"/>
            <w:r w:rsidRPr="005B15A0">
              <w:rPr>
                <w:rFonts w:cs="Times New Roman"/>
                <w:szCs w:val="24"/>
              </w:rPr>
              <w:t>например</w:t>
            </w:r>
            <w:proofErr w:type="gramEnd"/>
            <w:r w:rsidRPr="005B15A0">
              <w:rPr>
                <w:rFonts w:cs="Times New Roman"/>
                <w:szCs w:val="24"/>
              </w:rPr>
              <w:t xml:space="preserve"> для страны, выбравшей уровень 3 для индикатора 2.1, уровень индикатора будет выражен как: 3/5*100=60% УРОВЕНЬ ПОТЕНЦИАЛА Уровень потенциала выражается как средне</w:t>
            </w:r>
            <w:r w:rsidR="00935495">
              <w:rPr>
                <w:rFonts w:cs="Times New Roman"/>
                <w:szCs w:val="24"/>
              </w:rPr>
              <w:t xml:space="preserve">е значение всех индикаторов, </w:t>
            </w:r>
            <w:r w:rsidRPr="005B15A0">
              <w:rPr>
                <w:rFonts w:cs="Times New Roman"/>
                <w:szCs w:val="24"/>
              </w:rPr>
              <w:t>например для страны, выбирающей уровень 3 для показателя 2.1 и уровень 4 для показателя 2.2. Уровень индикатора для 2.1 будет выражен как: 3/5*100=60%, уровень индикатора для 2.2 будет выражен как: 4/5*100=80% и уровень мощности для 2 будет выражен как: (60+80) /2=70%</w:t>
            </w:r>
          </w:p>
        </w:tc>
      </w:tr>
      <w:tr w:rsidR="00537510" w:rsidRPr="00123724" w:rsidTr="00537510">
        <w:tc>
          <w:tcPr>
            <w:tcW w:w="1668" w:type="dxa"/>
          </w:tcPr>
          <w:p w:rsidR="00537510" w:rsidRPr="00123724" w:rsidRDefault="00537510" w:rsidP="00537510">
            <w:pPr>
              <w:rPr>
                <w:rFonts w:cs="Times New Roman"/>
                <w:szCs w:val="24"/>
              </w:rPr>
            </w:pPr>
            <w:r w:rsidRPr="00123724">
              <w:rPr>
                <w:rFonts w:cs="Times New Roman"/>
                <w:szCs w:val="24"/>
              </w:rPr>
              <w:t xml:space="preserve">Заметки по </w:t>
            </w:r>
            <w:r w:rsidRPr="00123724">
              <w:rPr>
                <w:rFonts w:cs="Times New Roman"/>
                <w:szCs w:val="24"/>
                <w:lang w:val="en-US"/>
              </w:rPr>
              <w:t>UHC</w:t>
            </w:r>
          </w:p>
        </w:tc>
        <w:tc>
          <w:tcPr>
            <w:tcW w:w="7903" w:type="dxa"/>
          </w:tcPr>
          <w:p w:rsidR="00537510" w:rsidRPr="00123724" w:rsidRDefault="005B15A0" w:rsidP="00537510">
            <w:pPr>
              <w:rPr>
                <w:rFonts w:cs="Times New Roman"/>
                <w:szCs w:val="24"/>
              </w:rPr>
            </w:pPr>
            <w:r w:rsidRPr="005B15A0">
              <w:rPr>
                <w:rFonts w:cs="Times New Roman"/>
                <w:szCs w:val="24"/>
              </w:rPr>
              <w:t>Страны начали сообщать ВОЗ о достижении основных возможностей ММСП за 2010 год. Для всех лет 2000–2009 годов используется самая ранняя доступная оценка ММСП для каждой страны.</w:t>
            </w:r>
          </w:p>
        </w:tc>
      </w:tr>
    </w:tbl>
    <w:p w:rsidR="00537510" w:rsidRPr="00123724" w:rsidRDefault="00537510" w:rsidP="00537510">
      <w:pPr>
        <w:rPr>
          <w:rFonts w:cs="Times New Roman"/>
          <w:szCs w:val="24"/>
        </w:rPr>
      </w:pPr>
    </w:p>
    <w:p w:rsidR="00537510" w:rsidRPr="00123724" w:rsidRDefault="00537510" w:rsidP="00A202AF">
      <w:pPr>
        <w:rPr>
          <w:rFonts w:cs="Times New Roman"/>
          <w:szCs w:val="24"/>
        </w:rPr>
      </w:pPr>
    </w:p>
    <w:p w:rsidR="00537510" w:rsidRPr="00E651B8" w:rsidRDefault="00537510" w:rsidP="00537510"/>
    <w:sectPr w:rsidR="00537510" w:rsidRPr="00E651B8">
      <w:head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122" w:rsidRDefault="00276122" w:rsidP="00F73DBC">
      <w:pPr>
        <w:spacing w:after="0" w:line="240" w:lineRule="auto"/>
      </w:pPr>
      <w:r>
        <w:separator/>
      </w:r>
    </w:p>
  </w:endnote>
  <w:endnote w:type="continuationSeparator" w:id="0">
    <w:p w:rsidR="00276122" w:rsidRDefault="00276122"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Segoe Print"/>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122" w:rsidRDefault="00276122" w:rsidP="00F73DBC">
      <w:pPr>
        <w:spacing w:after="0" w:line="240" w:lineRule="auto"/>
      </w:pPr>
      <w:r>
        <w:separator/>
      </w:r>
    </w:p>
  </w:footnote>
  <w:footnote w:type="continuationSeparator" w:id="0">
    <w:p w:rsidR="00276122" w:rsidRDefault="00276122" w:rsidP="00F7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122" w:rsidRDefault="00276122" w:rsidP="009508D1">
    <w:pPr>
      <w:pStyle w:val="ae"/>
      <w:jc w:val="right"/>
      <w:rPr>
        <w:i/>
      </w:rPr>
    </w:pPr>
    <w:r w:rsidRPr="009508D1">
      <w:rPr>
        <w:i/>
      </w:rPr>
      <w:t>Неофициальный перевод</w:t>
    </w:r>
    <w:r>
      <w:rPr>
        <w:i/>
      </w:rPr>
      <w:t xml:space="preserve"> </w:t>
    </w:r>
  </w:p>
  <w:p w:rsidR="00276122" w:rsidRPr="007777D0" w:rsidRDefault="00276122" w:rsidP="009508D1">
    <w:pPr>
      <w:pStyle w:val="ae"/>
      <w:jc w:val="right"/>
    </w:pPr>
    <w:r>
      <w:t>Последнее обновление: июнь 2024</w:t>
    </w:r>
  </w:p>
  <w:p w:rsidR="00276122" w:rsidRDefault="0027612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371C13"/>
    <w:multiLevelType w:val="hybridMultilevel"/>
    <w:tmpl w:val="731EAA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804330"/>
    <w:multiLevelType w:val="hybridMultilevel"/>
    <w:tmpl w:val="75A0EB4A"/>
    <w:lvl w:ilvl="0" w:tplc="04190001">
      <w:start w:val="1"/>
      <w:numFmt w:val="bullet"/>
      <w:lvlText w:val=""/>
      <w:lvlJc w:val="left"/>
      <w:pPr>
        <w:ind w:left="1440" w:hanging="360"/>
      </w:pPr>
      <w:rPr>
        <w:rFonts w:ascii="Symbol" w:hAnsi="Symbol" w:hint="default"/>
      </w:rPr>
    </w:lvl>
    <w:lvl w:ilvl="1" w:tplc="1B62022A">
      <w:numFmt w:val="bullet"/>
      <w:lvlText w:val="•"/>
      <w:lvlJc w:val="left"/>
      <w:pPr>
        <w:ind w:left="2505" w:hanging="705"/>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A3B56AD"/>
    <w:multiLevelType w:val="hybridMultilevel"/>
    <w:tmpl w:val="0902F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FE1F7F"/>
    <w:multiLevelType w:val="hybridMultilevel"/>
    <w:tmpl w:val="E1147E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E21A63"/>
    <w:multiLevelType w:val="hybridMultilevel"/>
    <w:tmpl w:val="E5E638F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241884"/>
    <w:multiLevelType w:val="hybridMultilevel"/>
    <w:tmpl w:val="82101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90607F"/>
    <w:multiLevelType w:val="hybridMultilevel"/>
    <w:tmpl w:val="8AD8E9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7"/>
  </w:num>
  <w:num w:numId="6">
    <w:abstractNumId w:val="4"/>
  </w:num>
  <w:num w:numId="7">
    <w:abstractNumId w:val="3"/>
  </w:num>
  <w:num w:numId="8">
    <w:abstractNumId w:val="2"/>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169BB"/>
    <w:rsid w:val="0002097B"/>
    <w:rsid w:val="000211BA"/>
    <w:rsid w:val="00040034"/>
    <w:rsid w:val="000476F9"/>
    <w:rsid w:val="00053D20"/>
    <w:rsid w:val="00067CA2"/>
    <w:rsid w:val="00074F26"/>
    <w:rsid w:val="00096A09"/>
    <w:rsid w:val="000A210D"/>
    <w:rsid w:val="000A229E"/>
    <w:rsid w:val="000B691E"/>
    <w:rsid w:val="000C348B"/>
    <w:rsid w:val="000C5EF5"/>
    <w:rsid w:val="000D5685"/>
    <w:rsid w:val="000E58D1"/>
    <w:rsid w:val="00110AED"/>
    <w:rsid w:val="00116248"/>
    <w:rsid w:val="0012534E"/>
    <w:rsid w:val="00131E1A"/>
    <w:rsid w:val="001470A2"/>
    <w:rsid w:val="001559B6"/>
    <w:rsid w:val="00160EF4"/>
    <w:rsid w:val="00165896"/>
    <w:rsid w:val="00182F32"/>
    <w:rsid w:val="00194A63"/>
    <w:rsid w:val="001A163A"/>
    <w:rsid w:val="001B6976"/>
    <w:rsid w:val="001C0011"/>
    <w:rsid w:val="001E2FC9"/>
    <w:rsid w:val="001F64F5"/>
    <w:rsid w:val="00235B95"/>
    <w:rsid w:val="00255011"/>
    <w:rsid w:val="002604F2"/>
    <w:rsid w:val="00276122"/>
    <w:rsid w:val="00277C45"/>
    <w:rsid w:val="00291FA0"/>
    <w:rsid w:val="002A509F"/>
    <w:rsid w:val="002B1365"/>
    <w:rsid w:val="002D7E24"/>
    <w:rsid w:val="002E122C"/>
    <w:rsid w:val="002E15F9"/>
    <w:rsid w:val="002F63E5"/>
    <w:rsid w:val="00300967"/>
    <w:rsid w:val="00303D71"/>
    <w:rsid w:val="003143BC"/>
    <w:rsid w:val="00330AEA"/>
    <w:rsid w:val="00340637"/>
    <w:rsid w:val="003746BC"/>
    <w:rsid w:val="003859BD"/>
    <w:rsid w:val="00387386"/>
    <w:rsid w:val="003D58DC"/>
    <w:rsid w:val="003E2B65"/>
    <w:rsid w:val="00407E4E"/>
    <w:rsid w:val="004143B4"/>
    <w:rsid w:val="00421928"/>
    <w:rsid w:val="00423D99"/>
    <w:rsid w:val="00426D6C"/>
    <w:rsid w:val="00427766"/>
    <w:rsid w:val="00482712"/>
    <w:rsid w:val="004A2231"/>
    <w:rsid w:val="004E087E"/>
    <w:rsid w:val="00515A5F"/>
    <w:rsid w:val="00524FCA"/>
    <w:rsid w:val="00537510"/>
    <w:rsid w:val="00541D88"/>
    <w:rsid w:val="00543C5F"/>
    <w:rsid w:val="005712CD"/>
    <w:rsid w:val="00576EE2"/>
    <w:rsid w:val="0059475F"/>
    <w:rsid w:val="005B14E9"/>
    <w:rsid w:val="005B15A0"/>
    <w:rsid w:val="005D4BA7"/>
    <w:rsid w:val="005E47BD"/>
    <w:rsid w:val="005F0D70"/>
    <w:rsid w:val="005F2C0B"/>
    <w:rsid w:val="00604AA3"/>
    <w:rsid w:val="006704C2"/>
    <w:rsid w:val="006821A9"/>
    <w:rsid w:val="00694160"/>
    <w:rsid w:val="006945F1"/>
    <w:rsid w:val="006A6D4F"/>
    <w:rsid w:val="006B260E"/>
    <w:rsid w:val="006B3939"/>
    <w:rsid w:val="006C3017"/>
    <w:rsid w:val="006D330F"/>
    <w:rsid w:val="006D7049"/>
    <w:rsid w:val="00702333"/>
    <w:rsid w:val="00705161"/>
    <w:rsid w:val="00721F01"/>
    <w:rsid w:val="0075371E"/>
    <w:rsid w:val="007777D0"/>
    <w:rsid w:val="00780F08"/>
    <w:rsid w:val="00781203"/>
    <w:rsid w:val="00781DE7"/>
    <w:rsid w:val="007B0CFD"/>
    <w:rsid w:val="007C27E0"/>
    <w:rsid w:val="007D1185"/>
    <w:rsid w:val="007E6541"/>
    <w:rsid w:val="007F05C8"/>
    <w:rsid w:val="007F06DF"/>
    <w:rsid w:val="007F6931"/>
    <w:rsid w:val="00813751"/>
    <w:rsid w:val="00836F3E"/>
    <w:rsid w:val="0084087A"/>
    <w:rsid w:val="00843DF4"/>
    <w:rsid w:val="00852B4E"/>
    <w:rsid w:val="00853C09"/>
    <w:rsid w:val="00855515"/>
    <w:rsid w:val="00862130"/>
    <w:rsid w:val="00862189"/>
    <w:rsid w:val="0088265C"/>
    <w:rsid w:val="00884FF0"/>
    <w:rsid w:val="008B6E1D"/>
    <w:rsid w:val="008D5C9C"/>
    <w:rsid w:val="008D6D46"/>
    <w:rsid w:val="00912A48"/>
    <w:rsid w:val="00913B25"/>
    <w:rsid w:val="0092245C"/>
    <w:rsid w:val="00935495"/>
    <w:rsid w:val="009435FD"/>
    <w:rsid w:val="009508D1"/>
    <w:rsid w:val="00957A62"/>
    <w:rsid w:val="00977496"/>
    <w:rsid w:val="00980F79"/>
    <w:rsid w:val="00982FE8"/>
    <w:rsid w:val="00996BD1"/>
    <w:rsid w:val="009A09B1"/>
    <w:rsid w:val="009C064B"/>
    <w:rsid w:val="009D192F"/>
    <w:rsid w:val="009D6CEE"/>
    <w:rsid w:val="009E16C4"/>
    <w:rsid w:val="009E621C"/>
    <w:rsid w:val="009F1481"/>
    <w:rsid w:val="00A202AF"/>
    <w:rsid w:val="00A234F9"/>
    <w:rsid w:val="00A37220"/>
    <w:rsid w:val="00A50E5D"/>
    <w:rsid w:val="00A53D4B"/>
    <w:rsid w:val="00A54553"/>
    <w:rsid w:val="00A56225"/>
    <w:rsid w:val="00A618FC"/>
    <w:rsid w:val="00A61938"/>
    <w:rsid w:val="00A6439C"/>
    <w:rsid w:val="00A71EC6"/>
    <w:rsid w:val="00A7691B"/>
    <w:rsid w:val="00A82CD3"/>
    <w:rsid w:val="00A91FDE"/>
    <w:rsid w:val="00AB0D45"/>
    <w:rsid w:val="00AC1A97"/>
    <w:rsid w:val="00AC6F60"/>
    <w:rsid w:val="00AD1E98"/>
    <w:rsid w:val="00B0378B"/>
    <w:rsid w:val="00B17DCE"/>
    <w:rsid w:val="00B30674"/>
    <w:rsid w:val="00B3092C"/>
    <w:rsid w:val="00B56D79"/>
    <w:rsid w:val="00B72F77"/>
    <w:rsid w:val="00BC5406"/>
    <w:rsid w:val="00BD29EC"/>
    <w:rsid w:val="00BE2C5D"/>
    <w:rsid w:val="00BE415C"/>
    <w:rsid w:val="00C25ADB"/>
    <w:rsid w:val="00C34C83"/>
    <w:rsid w:val="00C47A4A"/>
    <w:rsid w:val="00C5595E"/>
    <w:rsid w:val="00C63898"/>
    <w:rsid w:val="00C64421"/>
    <w:rsid w:val="00C646C1"/>
    <w:rsid w:val="00C72C55"/>
    <w:rsid w:val="00C74BF2"/>
    <w:rsid w:val="00C8596F"/>
    <w:rsid w:val="00CA1CB1"/>
    <w:rsid w:val="00CC0F96"/>
    <w:rsid w:val="00CF286C"/>
    <w:rsid w:val="00D05466"/>
    <w:rsid w:val="00D1156A"/>
    <w:rsid w:val="00D2619D"/>
    <w:rsid w:val="00D30158"/>
    <w:rsid w:val="00D40635"/>
    <w:rsid w:val="00D43248"/>
    <w:rsid w:val="00D600F7"/>
    <w:rsid w:val="00D67634"/>
    <w:rsid w:val="00DA19D7"/>
    <w:rsid w:val="00DA255B"/>
    <w:rsid w:val="00E123F7"/>
    <w:rsid w:val="00E125A5"/>
    <w:rsid w:val="00E21B43"/>
    <w:rsid w:val="00E24E9B"/>
    <w:rsid w:val="00E26B1A"/>
    <w:rsid w:val="00E27922"/>
    <w:rsid w:val="00E33CA8"/>
    <w:rsid w:val="00E478D8"/>
    <w:rsid w:val="00E629C6"/>
    <w:rsid w:val="00E651B8"/>
    <w:rsid w:val="00E90BD4"/>
    <w:rsid w:val="00EA0B68"/>
    <w:rsid w:val="00EA24F9"/>
    <w:rsid w:val="00EB362A"/>
    <w:rsid w:val="00EB389E"/>
    <w:rsid w:val="00EC38BC"/>
    <w:rsid w:val="00ED6EFE"/>
    <w:rsid w:val="00EE0900"/>
    <w:rsid w:val="00F03244"/>
    <w:rsid w:val="00F323BC"/>
    <w:rsid w:val="00F35DDD"/>
    <w:rsid w:val="00F61AD7"/>
    <w:rsid w:val="00F6371F"/>
    <w:rsid w:val="00F73DBC"/>
    <w:rsid w:val="00F7481A"/>
    <w:rsid w:val="00F84FF1"/>
    <w:rsid w:val="00F86040"/>
    <w:rsid w:val="00F92D6F"/>
    <w:rsid w:val="00FB66D9"/>
    <w:rsid w:val="00FB6F22"/>
    <w:rsid w:val="00FD7123"/>
    <w:rsid w:val="00FE26E9"/>
    <w:rsid w:val="00FE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2CD"/>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11">
    <w:name w:val="Таблица-сетка 1 светлая1"/>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character" w:styleId="af4">
    <w:name w:val="FollowedHyperlink"/>
    <w:basedOn w:val="a0"/>
    <w:uiPriority w:val="99"/>
    <w:semiHidden/>
    <w:unhideWhenUsed/>
    <w:rsid w:val="00160E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2CD"/>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11">
    <w:name w:val="Таблица-сетка 1 светлая1"/>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character" w:styleId="af4">
    <w:name w:val="FollowedHyperlink"/>
    <w:basedOn w:val="a0"/>
    <w:uiPriority w:val="99"/>
    <w:semiHidden/>
    <w:unhideWhenUsed/>
    <w:rsid w:val="00160E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744258">
      <w:bodyDiv w:val="1"/>
      <w:marLeft w:val="0"/>
      <w:marRight w:val="0"/>
      <w:marTop w:val="0"/>
      <w:marBottom w:val="0"/>
      <w:divBdr>
        <w:top w:val="none" w:sz="0" w:space="0" w:color="auto"/>
        <w:left w:val="none" w:sz="0" w:space="0" w:color="auto"/>
        <w:bottom w:val="none" w:sz="0" w:space="0" w:color="auto"/>
        <w:right w:val="none" w:sz="0" w:space="0" w:color="auto"/>
      </w:divBdr>
    </w:div>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lancet.com/journals/langlo/article/PIIS2214-109X(17)30472-2/fulltext" TargetMode="External"/><Relationship Id="rId18" Type="http://schemas.openxmlformats.org/officeDocument/2006/relationships/hyperlink" Target="https://www.who.int/publications/i/item/9789241565264" TargetMode="External"/><Relationship Id="rId26" Type="http://schemas.openxmlformats.org/officeDocument/2006/relationships/hyperlink" Target="https://data.unicef.org/topic/child-health/pneumonia/" TargetMode="External"/><Relationship Id="rId21" Type="http://schemas.openxmlformats.org/officeDocument/2006/relationships/hyperlink" Target="mailto:uhc_stats@who.int" TargetMode="External"/><Relationship Id="rId34" Type="http://schemas.openxmlformats.org/officeDocument/2006/relationships/hyperlink" Target="https://www.who.int/activities/improving-health-workforce-data-and-evidence"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who.int/health-topics/universal-health-coverage" TargetMode="External"/><Relationship Id="rId25" Type="http://schemas.openxmlformats.org/officeDocument/2006/relationships/hyperlink" Target="https://www.who.int/teams/immunization-vaccines-and-biologicals/immunization-analysis-and-insights/global-monitoring/immunization-coverage/who-unicef-estimates-of-national-immunization-coverage" TargetMode="External"/><Relationship Id="rId33" Type="http://schemas.openxmlformats.org/officeDocument/2006/relationships/hyperlink" Target="https://www.who.int/diabetes/global-report/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helancet.com/pdfs/journals/langlo/PIIS2214-109X(17)30472-2.pdf" TargetMode="External"/><Relationship Id="rId20" Type="http://schemas.openxmlformats.org/officeDocument/2006/relationships/hyperlink" Target="http://collections.plos.org/uhc2014" TargetMode="External"/><Relationship Id="rId29" Type="http://schemas.openxmlformats.org/officeDocument/2006/relationships/hyperlink" Target="https://www.who.int/data/gho/data/indicators/indicator-details/GHO/estimated-antiretroviral-therapy-coverage-among-people-living-with-hi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stats.un.org/sdgs/metadata/files/Metadata-03-0D-01.pdf" TargetMode="External"/><Relationship Id="rId24" Type="http://schemas.openxmlformats.org/officeDocument/2006/relationships/hyperlink" Target="http://apps.who.int/gho/data/node.main.ANTENATALCARECOVERAGE4" TargetMode="External"/><Relationship Id="rId32" Type="http://schemas.openxmlformats.org/officeDocument/2006/relationships/hyperlink" Target="https://www.thelancet.com/article/S0140-6736(21)01330-1/fulltex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who.int/publications/i/item/tracking-universal-health-coverage" TargetMode="External"/><Relationship Id="rId23" Type="http://schemas.openxmlformats.org/officeDocument/2006/relationships/hyperlink" Target="https://www.un.org/development/desa/pd/node/3285" TargetMode="External"/><Relationship Id="rId28" Type="http://schemas.openxmlformats.org/officeDocument/2006/relationships/hyperlink" Target="http://www.who.int/tb/country/data/download/en/" TargetMode="External"/><Relationship Id="rId36" Type="http://schemas.openxmlformats.org/officeDocument/2006/relationships/header" Target="header1.xml"/><Relationship Id="rId10" Type="http://schemas.openxmlformats.org/officeDocument/2006/relationships/hyperlink" Target="https://unstats.un.org/sdgs/metadata/files/Metadata-03-0C-01.pdf" TargetMode="External"/><Relationship Id="rId19" Type="http://schemas.openxmlformats.org/officeDocument/2006/relationships/hyperlink" Target="https://www.who.int/publications/i/item/monitoring-progress-towards-universal-health-coverage-at-country-and-global-levels-framework-measures-and-targets" TargetMode="External"/><Relationship Id="rId31" Type="http://schemas.openxmlformats.org/officeDocument/2006/relationships/hyperlink" Target="https://washdata.org/monitoring/methods/estimation-methods" TargetMode="External"/><Relationship Id="rId4" Type="http://schemas.microsoft.com/office/2007/relationships/stylesWithEffects" Target="stylesWithEffects.xml"/><Relationship Id="rId9" Type="http://schemas.openxmlformats.org/officeDocument/2006/relationships/hyperlink" Target="https://unstats.un.org/sdgs/metadata/files/Metadata-03-0a-01.pdf" TargetMode="External"/><Relationship Id="rId14" Type="http://schemas.openxmlformats.org/officeDocument/2006/relationships/hyperlink" Target="https://www.who.int/health-topics/universal-health-coverage" TargetMode="External"/><Relationship Id="rId22" Type="http://schemas.openxmlformats.org/officeDocument/2006/relationships/hyperlink" Target="https://www.un.org/development/desa/pd/data/family-planning-indicators" TargetMode="External"/><Relationship Id="rId27" Type="http://schemas.openxmlformats.org/officeDocument/2006/relationships/hyperlink" Target="https://www.who.int/healthinfo/global_burden_disease/estimates/en/ind%20ex2.html" TargetMode="External"/><Relationship Id="rId30" Type="http://schemas.openxmlformats.org/officeDocument/2006/relationships/hyperlink" Target="https://www.who.int/publications/i/item/9789240040496" TargetMode="External"/><Relationship Id="rId35" Type="http://schemas.openxmlformats.org/officeDocument/2006/relationships/hyperlink" Target="https://apps.who.int/nhwaportal/"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224FF-F741-4D4A-B81C-D9580076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26</Pages>
  <Words>9141</Words>
  <Characters>52110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61129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133</cp:revision>
  <dcterms:created xsi:type="dcterms:W3CDTF">2022-02-07T11:44:00Z</dcterms:created>
  <dcterms:modified xsi:type="dcterms:W3CDTF">2024-06-20T14:11:00Z</dcterms:modified>
</cp:coreProperties>
</file>