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</w:t>
      </w:r>
      <w:r w:rsidR="00EB41D2">
        <w:rPr>
          <w:rFonts w:eastAsia="Arial Unicode MS" w:cs="Times New Roman"/>
          <w:b/>
          <w:szCs w:val="24"/>
          <w:bdr w:val="nil"/>
          <w:lang w:eastAsia="ru-RU"/>
        </w:rPr>
        <w:t xml:space="preserve"> метаданных - версия формата 1.</w:t>
      </w:r>
      <w:r w:rsidR="00EB41D2" w:rsidRPr="00EB41D2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FD2AA2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>
        <w:rPr>
          <w:rFonts w:eastAsia="Arial Unicode MS" w:cs="Times New Roman"/>
          <w:b/>
          <w:szCs w:val="24"/>
          <w:bdr w:val="nil"/>
          <w:lang w:eastAsia="ru-RU"/>
        </w:rPr>
        <w:t>Информация о показателе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BD29E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BE415C">
        <w:rPr>
          <w:rFonts w:eastAsia="Arial Unicode MS" w:cs="Times New Roman"/>
          <w:szCs w:val="24"/>
          <w:bdr w:val="nil"/>
          <w:lang w:eastAsia="ru-RU"/>
        </w:rPr>
        <w:t>3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BE415C" w:rsidRPr="00BE415C">
        <w:rPr>
          <w:rFonts w:eastAsia="Arial Unicode MS" w:cs="Times New Roman"/>
          <w:szCs w:val="24"/>
          <w:bdr w:val="nil"/>
          <w:lang w:eastAsia="ru-RU"/>
        </w:rPr>
        <w:t>Обеспечение здорового образа жизни и содействие благополучию для всех в любом возрасте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BE415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9C0EFD">
        <w:rPr>
          <w:rFonts w:cs="Times New Roman"/>
          <w:szCs w:val="24"/>
        </w:rPr>
        <w:t>9</w:t>
      </w:r>
      <w:r w:rsidR="00780F08" w:rsidRPr="00BD29EC">
        <w:rPr>
          <w:rFonts w:cs="Times New Roman"/>
          <w:szCs w:val="24"/>
        </w:rPr>
        <w:t xml:space="preserve">.  </w:t>
      </w:r>
      <w:r w:rsidR="009C0EFD" w:rsidRPr="009C0EFD">
        <w:t>К 2030 году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воздуха, воды и почв.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9C0EFD" w:rsidRDefault="003143BC" w:rsidP="009C0E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b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BE415C"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9C0EFD">
        <w:rPr>
          <w:rFonts w:cs="Times New Roman"/>
          <w:szCs w:val="24"/>
        </w:rPr>
        <w:t>9.2</w:t>
      </w:r>
      <w:r w:rsidR="00780F08" w:rsidRPr="00BD29EC">
        <w:rPr>
          <w:rFonts w:cs="Times New Roman"/>
          <w:szCs w:val="24"/>
        </w:rPr>
        <w:t xml:space="preserve"> </w:t>
      </w:r>
      <w:r w:rsidR="009C0EFD" w:rsidRPr="009C0EFD">
        <w:t>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</w:r>
      <w:r w:rsidR="009C0EFD" w:rsidRPr="0098277E">
        <w:rPr>
          <w:rFonts w:cs="Times New Roman"/>
          <w:b/>
          <w:szCs w:val="24"/>
        </w:rPr>
        <w:t xml:space="preserve"> </w:t>
      </w:r>
    </w:p>
    <w:p w:rsidR="003143BC" w:rsidRDefault="003143BC" w:rsidP="009C0E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EB41D2" w:rsidRPr="00EB41D2" w:rsidRDefault="00EB41D2" w:rsidP="009C0E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>Не применимо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9C0EFD" w:rsidRPr="00BD29EC" w:rsidRDefault="00EB41D2" w:rsidP="009C0E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>
        <w:t>7 июля 2022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9C0EFD" w:rsidRPr="00DA19D7" w:rsidRDefault="009C0EFD" w:rsidP="004F6779">
      <w:pPr>
        <w:spacing w:after="0"/>
        <w:rPr>
          <w:bdr w:val="nil"/>
          <w:lang w:eastAsia="ru-RU"/>
        </w:rPr>
      </w:pPr>
      <w:r>
        <w:rPr>
          <w:bdr w:val="nil"/>
          <w:lang w:eastAsia="ru-RU"/>
        </w:rPr>
        <w:t>Показатель</w:t>
      </w:r>
      <w:r w:rsidRPr="009C0EFD">
        <w:rPr>
          <w:bdr w:val="nil"/>
          <w:lang w:eastAsia="ru-RU"/>
        </w:rPr>
        <w:t xml:space="preserve"> 7.1.2</w:t>
      </w:r>
      <w:r w:rsidRPr="009C0EFD">
        <w:t>: Доля населения, использующего в основном чистые виды топлива и технологии</w:t>
      </w: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57A62" w:rsidRPr="004F6779" w:rsidRDefault="009C0EFD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9C0EFD">
        <w:rPr>
          <w:rFonts w:cs="Times New Roman"/>
          <w:szCs w:val="24"/>
        </w:rPr>
        <w:t>Всемирная организация здравоохранения (ВОЗ)</w:t>
      </w:r>
    </w:p>
    <w:p w:rsidR="004F6779" w:rsidRPr="004F6779" w:rsidRDefault="004F677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957A62" w:rsidRPr="00BD29EC" w:rsidRDefault="009C0EFD" w:rsidP="0075371E">
      <w:pPr>
        <w:pStyle w:val="MText"/>
        <w:rPr>
          <w:color w:val="auto"/>
          <w:sz w:val="24"/>
          <w:szCs w:val="24"/>
          <w:lang w:val="ru-RU"/>
        </w:rPr>
      </w:pPr>
      <w:r w:rsidRPr="009C0EFD">
        <w:rPr>
          <w:color w:val="auto"/>
          <w:sz w:val="24"/>
          <w:szCs w:val="24"/>
          <w:lang w:val="ru-RU"/>
        </w:rPr>
        <w:t>Всемирная организация здравоохранения (ВОЗ)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2E4362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2E4362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9C0EFD" w:rsidRPr="009C0EFD" w:rsidRDefault="009C0EFD" w:rsidP="009C0EFD">
      <w:pPr>
        <w:rPr>
          <w:rFonts w:cs="Times New Roman"/>
          <w:szCs w:val="24"/>
        </w:rPr>
      </w:pPr>
      <w:r w:rsidRPr="00971155">
        <w:rPr>
          <w:rFonts w:cs="Times New Roman"/>
          <w:szCs w:val="24"/>
        </w:rPr>
        <w:t xml:space="preserve">Смертность в результате употребления нечистой воды, антисанитарии и недостаточной гигиены (воздействия некачественных услуг в области водоснабжения, санитарии и гигиены (WASH)), определяемая как количество смертей от употребления нечистой воды, антисанитарии и недостаточной гигиены (воздействие небезопасных услуг WASH) в год, деленное на численность населения и умноженное на 100 000 человек. </w:t>
      </w:r>
    </w:p>
    <w:p w:rsidR="00DA19D7" w:rsidRPr="002E4362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2E4362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2E4362">
        <w:rPr>
          <w:b/>
          <w:color w:val="000000" w:themeColor="text1"/>
          <w:sz w:val="24"/>
          <w:szCs w:val="24"/>
          <w:lang w:val="ru-RU"/>
        </w:rPr>
        <w:t>:</w:t>
      </w:r>
    </w:p>
    <w:p w:rsidR="009C0EFD" w:rsidRPr="009C0EFD" w:rsidRDefault="009C0EFD" w:rsidP="009C0EFD">
      <w:pPr>
        <w:rPr>
          <w:rFonts w:cs="Times New Roman"/>
          <w:szCs w:val="24"/>
        </w:rPr>
      </w:pPr>
      <w:r w:rsidRPr="00971155">
        <w:rPr>
          <w:rFonts w:cs="Times New Roman"/>
          <w:szCs w:val="24"/>
        </w:rPr>
        <w:t xml:space="preserve">Случаи смерти, связанные с нечистой водой, антисанитарией и недостаточной гигиеной, с особым акцентом на качестве услуг WASH, в выражении на 100 000 человек.  Включенными заболеваниями являются фракции диареи (МКБ-10 код A00, A01, A03, A04, A06-A09), вызванные некачественными услугами WASH, инфекции кишечной нематоды (код B76- B77, B79 МКБ-10) и недостаточность белковой пищи (МКБ-10 код E40-E46). 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Default="003B5405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3B5405">
        <w:rPr>
          <w:rFonts w:cs="Times New Roman"/>
          <w:szCs w:val="24"/>
        </w:rPr>
        <w:t>Уровень смертности (смертей на 100 000 населения)</w:t>
      </w:r>
    </w:p>
    <w:p w:rsidR="003B5405" w:rsidRPr="00BD29EC" w:rsidRDefault="003B5405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Default="003B5405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</w:p>
    <w:p w:rsidR="003B5405" w:rsidRPr="00BD29EC" w:rsidRDefault="003B5405" w:rsidP="0075371E">
      <w:pPr>
        <w:pStyle w:val="MText"/>
        <w:rPr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812C04" w:rsidRPr="002F56E3" w:rsidRDefault="00812C04" w:rsidP="00812C04">
      <w:pPr>
        <w:rPr>
          <w:rFonts w:cs="Times New Roman"/>
          <w:szCs w:val="24"/>
        </w:rPr>
      </w:pPr>
      <w:r w:rsidRPr="00971155">
        <w:rPr>
          <w:rFonts w:cs="Times New Roman"/>
          <w:szCs w:val="24"/>
        </w:rPr>
        <w:t>Данные собираются в основном из страновых и других баз данных напрямую. Чтобы максимизировать данные для надежных оценок, а также сократить дублирование сбора данных, во избежание дополнительной нагрузки на стран</w:t>
      </w:r>
      <w:r w:rsidR="0093108D">
        <w:rPr>
          <w:rFonts w:cs="Times New Roman"/>
          <w:szCs w:val="24"/>
        </w:rPr>
        <w:t>ы</w:t>
      </w:r>
      <w:r w:rsidRPr="00971155">
        <w:rPr>
          <w:rFonts w:cs="Times New Roman"/>
          <w:szCs w:val="24"/>
        </w:rPr>
        <w:t xml:space="preserve">, дополнительные данные </w:t>
      </w:r>
      <w:r>
        <w:rPr>
          <w:rFonts w:cs="Times New Roman"/>
          <w:szCs w:val="24"/>
        </w:rPr>
        <w:t>берутся</w:t>
      </w:r>
      <w:r w:rsidRPr="00971155">
        <w:rPr>
          <w:rFonts w:cs="Times New Roman"/>
          <w:szCs w:val="24"/>
        </w:rPr>
        <w:t xml:space="preserve"> из различных баз данных</w:t>
      </w:r>
      <w:r w:rsidR="002F56E3" w:rsidRPr="002F56E3">
        <w:rPr>
          <w:rFonts w:cs="Times New Roman"/>
          <w:szCs w:val="24"/>
        </w:rPr>
        <w:t xml:space="preserve"> (см. раздел 4.</w:t>
      </w:r>
      <w:r w:rsidR="002F56E3" w:rsidRPr="002F56E3">
        <w:rPr>
          <w:rFonts w:cs="Times New Roman"/>
          <w:szCs w:val="24"/>
          <w:lang w:val="en-US"/>
        </w:rPr>
        <w:t>c</w:t>
      </w:r>
      <w:r w:rsidR="002F56E3" w:rsidRPr="002F56E3">
        <w:rPr>
          <w:rFonts w:cs="Times New Roman"/>
          <w:szCs w:val="24"/>
        </w:rPr>
        <w:t>. для конкретных источников данных).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FA4765" w:rsidRPr="00BD29EC" w:rsidRDefault="00FA4765" w:rsidP="00FA4765">
      <w:r w:rsidRPr="00FA4765">
        <w:t>ВОЗ проводит официальные консультации со странами, прежде чем опубликовать свои оценки причин смерти.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095761" w:rsidRPr="00BD29EC" w:rsidRDefault="00095761" w:rsidP="00095761">
      <w:r w:rsidRPr="00095761">
        <w:t>Непрерывный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095761" w:rsidRPr="00BD29EC" w:rsidRDefault="00095761" w:rsidP="00095761">
      <w:r w:rsidRPr="00095761">
        <w:t>20</w:t>
      </w:r>
      <w:r w:rsidR="00253F73">
        <w:t>22</w:t>
      </w:r>
      <w:r w:rsidRPr="00095761">
        <w:t xml:space="preserve">, </w:t>
      </w:r>
      <w:r w:rsidR="00253F73">
        <w:t>второй</w:t>
      </w:r>
      <w:r w:rsidRPr="00095761">
        <w:t xml:space="preserve"> квартал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881C5D" w:rsidRPr="00A71EC6" w:rsidRDefault="00881C5D" w:rsidP="00881C5D">
      <w:r w:rsidRPr="00881C5D">
        <w:t>Национальные статистические управления, различные отраслевые министерства и базы данных, охватывающие регистрацию актов гражданского состояния с полным охватом и медицинским подтверждением причины смерти.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B82E46" w:rsidRPr="00BD29EC" w:rsidRDefault="00B82E46" w:rsidP="00B82E46">
      <w:r>
        <w:t>ВОЗ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Default="00645F94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645F94">
        <w:rPr>
          <w:rFonts w:cs="Times New Roman"/>
          <w:szCs w:val="24"/>
        </w:rPr>
        <w:t>Всемирная организация здравоохранения (ВОЗ) является агентством-</w:t>
      </w:r>
      <w:r w:rsidR="0093108D">
        <w:rPr>
          <w:rFonts w:cs="Times New Roman"/>
          <w:szCs w:val="24"/>
        </w:rPr>
        <w:t>куратором</w:t>
      </w:r>
      <w:r w:rsidRPr="00645F94">
        <w:rPr>
          <w:rFonts w:cs="Times New Roman"/>
          <w:szCs w:val="24"/>
        </w:rPr>
        <w:t xml:space="preserve"> или со-</w:t>
      </w:r>
      <w:r w:rsidR="0093108D">
        <w:rPr>
          <w:rFonts w:cs="Times New Roman"/>
          <w:szCs w:val="24"/>
        </w:rPr>
        <w:t>куратором</w:t>
      </w:r>
      <w:r w:rsidRPr="00645F94">
        <w:rPr>
          <w:rFonts w:cs="Times New Roman"/>
          <w:szCs w:val="24"/>
        </w:rPr>
        <w:t xml:space="preserve"> отчетности по нескольким показателям ЦУР, включая показатель 3.9.2, уровень смертности, связанный с небезопасной водой, небезопасными санитарными условиями и отсутствием гигиены (воздействие небезопасной воды, санитарных условий</w:t>
      </w:r>
      <w:r w:rsidR="0093108D">
        <w:rPr>
          <w:rFonts w:cs="Times New Roman"/>
          <w:szCs w:val="24"/>
        </w:rPr>
        <w:t xml:space="preserve"> </w:t>
      </w:r>
      <w:r w:rsidRPr="00645F94">
        <w:rPr>
          <w:rFonts w:cs="Times New Roman"/>
          <w:szCs w:val="24"/>
        </w:rPr>
        <w:t>и услуг «Гигиена для всех» (WASH)</w:t>
      </w:r>
      <w:r w:rsidR="0093108D">
        <w:rPr>
          <w:rFonts w:cs="Times New Roman"/>
          <w:szCs w:val="24"/>
        </w:rPr>
        <w:t>)</w:t>
      </w:r>
      <w:r w:rsidRPr="00645F94">
        <w:rPr>
          <w:rFonts w:cs="Times New Roman"/>
          <w:szCs w:val="24"/>
        </w:rPr>
        <w:t>.</w:t>
      </w:r>
    </w:p>
    <w:p w:rsidR="00645F94" w:rsidRDefault="00645F94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645F94" w:rsidRDefault="00645F94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645F94" w:rsidRDefault="00645F94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645F94" w:rsidRDefault="00645F94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645F94" w:rsidRPr="00645F94" w:rsidRDefault="00645F94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B82E46" w:rsidRPr="006464F0" w:rsidRDefault="00B82E46" w:rsidP="00E52174">
      <w:pPr>
        <w:spacing w:after="0"/>
        <w:rPr>
          <w:rFonts w:cs="Times New Roman"/>
          <w:szCs w:val="24"/>
        </w:rPr>
      </w:pPr>
      <w:r w:rsidRPr="00971155">
        <w:rPr>
          <w:rFonts w:cs="Times New Roman"/>
          <w:szCs w:val="24"/>
        </w:rPr>
        <w:t>Показатель выражает количество смертей из-за нечистой воды, антисанитарии и недостаточной гигиены (с акцентом на услуги WASH), которые могут быть предотвращены путем улучшения качества этих услуг и практики их применения. Он основан как на информации о качестве услуг WASH в стране, так и на данных о состоянии здоровья населения в результате их использования, и, следовательно, содержит важную информацию о фактических заболеваниях, вызванном ри</w:t>
      </w:r>
      <w:r w:rsidR="006464F0">
        <w:rPr>
          <w:rFonts w:cs="Times New Roman"/>
          <w:szCs w:val="24"/>
        </w:rPr>
        <w:t>сками, отраженными в 6.1 и 6.2</w:t>
      </w:r>
      <w:r w:rsidR="006464F0" w:rsidRPr="006464F0">
        <w:rPr>
          <w:rFonts w:cs="Times New Roman"/>
          <w:szCs w:val="24"/>
        </w:rPr>
        <w:t>.</w:t>
      </w:r>
    </w:p>
    <w:p w:rsidR="00E52174" w:rsidRPr="00B82E46" w:rsidRDefault="00E52174" w:rsidP="00E52174">
      <w:pPr>
        <w:spacing w:after="0"/>
        <w:rPr>
          <w:rFonts w:cs="Times New Roman"/>
          <w:szCs w:val="24"/>
        </w:rPr>
      </w:pP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B82E46" w:rsidRPr="00B82E46" w:rsidRDefault="00B82E46" w:rsidP="00B82E46">
      <w:r w:rsidRPr="00971155">
        <w:t>Данные опираются на (a) статистические данны</w:t>
      </w:r>
      <w:r w:rsidR="003800D6">
        <w:t>е о службах WASH (6.1, 6.2</w:t>
      </w:r>
      <w:r w:rsidRPr="00971155">
        <w:t xml:space="preserve">), которые хорошо поддаются оценке почти во всех странах, и (b) данные о смертности. Данные о смертности также </w:t>
      </w:r>
      <w:proofErr w:type="gramStart"/>
      <w:r w:rsidRPr="00971155">
        <w:t>широко доступны</w:t>
      </w:r>
      <w:proofErr w:type="gramEnd"/>
      <w:r w:rsidRPr="00971155">
        <w:t xml:space="preserve"> в странах из данных регистрации смерти или систем</w:t>
      </w:r>
      <w:r w:rsidR="0093108D">
        <w:t>ы</w:t>
      </w:r>
      <w:bookmarkStart w:id="5" w:name="_GoBack"/>
      <w:bookmarkEnd w:id="5"/>
      <w:r w:rsidRPr="00971155">
        <w:t xml:space="preserve"> выборочного обследования, которые доступны каждой стране. Такие данные имеют решающее значение для улучшения здоровья и сокращения случаев предотвратимой смертности в странах. Основное ограничение заключается в том, что на сегодняшний день не во всех странах имеются такие системы регистрации, и данные должны быть заполнены с помощью другой информации.</w:t>
      </w:r>
    </w:p>
    <w:p w:rsidR="00B82E46" w:rsidRPr="00D03287" w:rsidRDefault="002E15F9" w:rsidP="00D03287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D03287" w:rsidRPr="00D03287" w:rsidRDefault="00D03287" w:rsidP="00D03287">
      <w:pPr>
        <w:rPr>
          <w:u w:val="single"/>
        </w:rPr>
      </w:pPr>
      <w:r w:rsidRPr="00D03287">
        <w:rPr>
          <w:u w:val="single"/>
        </w:rPr>
        <w:t>4.c.i. Модель</w:t>
      </w:r>
    </w:p>
    <w:p w:rsidR="00D03287" w:rsidRDefault="00D03287" w:rsidP="00D03287">
      <w:r>
        <w:t>«Оценка ВОЗ воздействия экологических рисков на здоровье основана на методах сравнительной оценки риска (CRA), которые широко используются при оценке бремени болезней (</w:t>
      </w:r>
      <w:proofErr w:type="spellStart"/>
      <w:r>
        <w:t>Ezzati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2002). Этот подход оценивает пропорциональное снижение заболеваемости или смертности, которое произошло бы, если бы воздействие было снижено до альтернативного исходного уровня, несущего минимальный риск (также называемый теоретическим минимальным риском), в то время как другие условия остаются неизменными. Методика CRA объединяет данные о воздействии, бремени болезней и взаимосвязи воздействия и реакции для оценки бремени болезней, связанных с этим воздействием (</w:t>
      </w:r>
      <w:proofErr w:type="spellStart"/>
      <w:r>
        <w:t>Ezzati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2002). Для каждого фактора риска (небезопасная вода, санитария или гигиена) атрибутивная доля населения (PAF) оценивается путем сравнения текущего распределения воздействия с </w:t>
      </w:r>
      <w:proofErr w:type="spellStart"/>
      <w:r>
        <w:t>контрфактическим</w:t>
      </w:r>
      <w:proofErr w:type="spellEnd"/>
      <w:r>
        <w:t xml:space="preserve"> распределением для каждого уровня воздействия, пола и возрастной группы:</w:t>
      </w:r>
    </w:p>
    <w:p w:rsidR="00D03287" w:rsidRPr="00D03287" w:rsidRDefault="00D03287" w:rsidP="00D03287">
      <w:pPr>
        <w:rPr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GB"/>
            </w:rPr>
            <m:t xml:space="preserve">PAF= </m:t>
          </m:r>
          <m:f>
            <m:fPr>
              <m:ctrlPr>
                <w:rPr>
                  <w:rFonts w:ascii="Cambria Math" w:hAnsi="Cambria Math"/>
                  <w:lang w:val="en-GB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GB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-1)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GB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GB"/>
                            </w:rPr>
                            <m:t>RR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+1</m:t>
                  </m:r>
                </m:e>
              </m:nary>
            </m:den>
          </m:f>
        </m:oMath>
      </m:oMathPara>
    </w:p>
    <w:p w:rsidR="00D03287" w:rsidRDefault="00D03287" w:rsidP="00D03287">
      <w:r w:rsidRPr="00D03287">
        <w:t xml:space="preserve">Где </w:t>
      </w:r>
      <w:proofErr w:type="spellStart"/>
      <w:r w:rsidRPr="00D03287">
        <w:t>pi</w:t>
      </w:r>
      <w:proofErr w:type="spellEnd"/>
      <w:r w:rsidRPr="00D03287">
        <w:t xml:space="preserve"> и </w:t>
      </w:r>
      <w:proofErr w:type="spellStart"/>
      <w:r w:rsidRPr="00D03287">
        <w:t>RRi</w:t>
      </w:r>
      <w:proofErr w:type="spellEnd"/>
      <w:r w:rsidRPr="00D03287">
        <w:t xml:space="preserve"> </w:t>
      </w:r>
      <w:r w:rsidR="005F1D01">
        <w:t>–</w:t>
      </w:r>
      <w:r w:rsidRPr="00D03287">
        <w:t xml:space="preserve"> доля подвергшегося воздействию населения и относительный риск на уровне воздействия i соответственно, а n </w:t>
      </w:r>
      <w:r w:rsidR="005F1D01">
        <w:t>–</w:t>
      </w:r>
      <w:r w:rsidRPr="00D03287">
        <w:t xml:space="preserve"> общее количество уровней воздействия. Совместное бремя воздействия небезопасной воды, санитарии и гигиены оценивалось по следующей формуле (6):</w:t>
      </w:r>
    </w:p>
    <w:p w:rsidR="00E25F86" w:rsidRPr="00BE15FB" w:rsidRDefault="00E25F86" w:rsidP="00E25F86">
      <w:pPr>
        <w:rPr>
          <w:rFonts w:ascii="Cambria Math" w:hAnsi="Cambria Math"/>
          <w:i/>
        </w:rPr>
      </w:pPr>
      <m:oMath>
        <m:r>
          <m:rPr>
            <m:sty m:val="p"/>
          </m:rPr>
          <w:rPr>
            <w:rFonts w:ascii="Cambria Math" w:hAnsi="Cambria Math"/>
            <w:lang w:val="en-GB"/>
          </w:rPr>
          <m:t>PAF</m:t>
        </m:r>
        <m:r>
          <m:rPr>
            <m:sty m:val="p"/>
          </m:rPr>
          <w:rPr>
            <w:rFonts w:ascii="Cambria Math" w:hAnsi="Cambria Math"/>
          </w:rPr>
          <m:t xml:space="preserve">=1- </m:t>
        </m:r>
        <m:nary>
          <m:naryPr>
            <m:chr m:val="∏"/>
            <m:limLoc m:val="undOvr"/>
            <m:ctrlPr>
              <w:rPr>
                <w:rFonts w:ascii="Cambria Math" w:hAnsi="Cambria Math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R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PAF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nary>
      </m:oMath>
      <w:r w:rsidR="00BE15FB" w:rsidRPr="00BE15FB">
        <w:rPr>
          <w:rFonts w:ascii="Cambria Math" w:hAnsi="Cambria Math"/>
          <w:i/>
        </w:rPr>
        <w:t xml:space="preserve"> </w:t>
      </w:r>
    </w:p>
    <w:p w:rsidR="005F1D01" w:rsidRPr="00E25F86" w:rsidRDefault="00E25F86" w:rsidP="00D03287">
      <w:r w:rsidRPr="00E25F86">
        <w:lastRenderedPageBreak/>
        <w:t xml:space="preserve">Где r </w:t>
      </w:r>
      <w:r w:rsidR="00E31397">
        <w:t>–</w:t>
      </w:r>
      <w:r w:rsidRPr="00E25F86">
        <w:t xml:space="preserve"> индивидуальный фактор риска, а R </w:t>
      </w:r>
      <w:r w:rsidR="00E31397">
        <w:t>–</w:t>
      </w:r>
      <w:r w:rsidRPr="00E25F86">
        <w:t xml:space="preserve"> сумма факторов риска, учитываемых в кластере. Дополнительную информацию о методах оценки можно получить в различных публикациях (1,7).</w:t>
      </w:r>
    </w:p>
    <w:p w:rsidR="00AD2AE3" w:rsidRDefault="00AD2AE3" w:rsidP="00B058D0">
      <w:pPr>
        <w:spacing w:after="120"/>
      </w:pPr>
      <w:r>
        <w:t>Эта методология широко использовалась для расчета пользы для здоровья от улучшения водоснабжения, а также санитарии и гигиены и была опубликована в различных документах (</w:t>
      </w:r>
      <w:proofErr w:type="spellStart"/>
      <w:r>
        <w:t>Clasen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2014; </w:t>
      </w:r>
      <w:proofErr w:type="spellStart"/>
      <w:r>
        <w:t>Prüss-Ustün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2014; </w:t>
      </w:r>
      <w:proofErr w:type="spellStart"/>
      <w:r>
        <w:t>Prüss-Ustün</w:t>
      </w:r>
      <w:proofErr w:type="spellEnd"/>
      <w:r>
        <w:t xml:space="preserve"> и др., 2019)</w:t>
      </w:r>
    </w:p>
    <w:p w:rsidR="00AD2AE3" w:rsidRDefault="00AD2AE3" w:rsidP="00B058D0">
      <w:pPr>
        <w:spacing w:after="0"/>
      </w:pPr>
    </w:p>
    <w:p w:rsidR="00D03287" w:rsidRDefault="00AD2AE3" w:rsidP="00AD2AE3">
      <w:r>
        <w:t>Для расчета показателя 3.9.2 необходимы следующие четыре типа данных: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7F0509" w:rsidTr="008B4D35">
        <w:tc>
          <w:tcPr>
            <w:tcW w:w="5353" w:type="dxa"/>
          </w:tcPr>
          <w:p w:rsidR="007F0509" w:rsidRDefault="007F0509" w:rsidP="00E31397">
            <w:pPr>
              <w:spacing w:line="276" w:lineRule="auto"/>
            </w:pPr>
            <w:r>
              <w:t>Тип данных</w:t>
            </w:r>
          </w:p>
        </w:tc>
        <w:tc>
          <w:tcPr>
            <w:tcW w:w="4218" w:type="dxa"/>
          </w:tcPr>
          <w:p w:rsidR="007F0509" w:rsidRDefault="007F0509" w:rsidP="00E31397">
            <w:pPr>
              <w:spacing w:line="276" w:lineRule="auto"/>
            </w:pPr>
            <w:r>
              <w:t>Источник</w:t>
            </w:r>
          </w:p>
        </w:tc>
      </w:tr>
      <w:tr w:rsidR="007F0509" w:rsidTr="008B4D35">
        <w:tc>
          <w:tcPr>
            <w:tcW w:w="5353" w:type="dxa"/>
          </w:tcPr>
          <w:p w:rsidR="007F0509" w:rsidRDefault="007F0509" w:rsidP="00E31397">
            <w:pPr>
              <w:spacing w:before="120" w:after="120" w:line="276" w:lineRule="auto"/>
            </w:pPr>
            <w:r>
              <w:t>Население</w:t>
            </w:r>
          </w:p>
          <w:p w:rsidR="007F0509" w:rsidRDefault="007F0509" w:rsidP="00E31397">
            <w:pPr>
              <w:spacing w:before="120" w:after="120" w:line="276" w:lineRule="auto"/>
            </w:pPr>
            <w:r>
              <w:t>Численность населения на уровне страны</w:t>
            </w:r>
          </w:p>
        </w:tc>
        <w:tc>
          <w:tcPr>
            <w:tcW w:w="4218" w:type="dxa"/>
          </w:tcPr>
          <w:p w:rsidR="007F0509" w:rsidRPr="007F0509" w:rsidRDefault="007F0509" w:rsidP="00E31397">
            <w:pPr>
              <w:spacing w:before="120" w:after="120" w:line="276" w:lineRule="auto"/>
              <w:rPr>
                <w:u w:val="single"/>
              </w:rPr>
            </w:pPr>
            <w:r w:rsidRPr="007F0509">
              <w:rPr>
                <w:u w:val="single"/>
              </w:rPr>
              <w:t xml:space="preserve">Отдел народонаселения ООН. </w:t>
            </w:r>
            <w:hyperlink r:id="rId9" w:history="1">
              <w:r w:rsidR="00571A4A" w:rsidRPr="00571A4A">
                <w:rPr>
                  <w:rStyle w:val="ac"/>
                  <w:color w:val="000000" w:themeColor="text1"/>
                </w:rPr>
                <w:t>https://population.un.org/wpp/</w:t>
              </w:r>
            </w:hyperlink>
          </w:p>
        </w:tc>
      </w:tr>
      <w:tr w:rsidR="007F0509" w:rsidTr="008B4D35">
        <w:tc>
          <w:tcPr>
            <w:tcW w:w="5353" w:type="dxa"/>
          </w:tcPr>
          <w:p w:rsidR="000356FB" w:rsidRDefault="000356FB" w:rsidP="00E31397">
            <w:pPr>
              <w:spacing w:before="120" w:after="120" w:line="276" w:lineRule="auto"/>
              <w:ind w:right="33"/>
            </w:pPr>
            <w:r>
              <w:t>Воздействие</w:t>
            </w:r>
          </w:p>
          <w:p w:rsidR="000356FB" w:rsidRDefault="000356FB" w:rsidP="00E31397">
            <w:pPr>
              <w:spacing w:before="120" w:after="120" w:line="276" w:lineRule="auto"/>
              <w:ind w:right="33"/>
            </w:pPr>
            <w:r>
              <w:t>К необходимым показателям воды относятся</w:t>
            </w:r>
          </w:p>
          <w:p w:rsidR="000356FB" w:rsidRDefault="000356FB" w:rsidP="00E31397">
            <w:pPr>
              <w:pStyle w:val="ab"/>
              <w:numPr>
                <w:ilvl w:val="0"/>
                <w:numId w:val="5"/>
              </w:numPr>
              <w:spacing w:before="120" w:after="120" w:line="276" w:lineRule="auto"/>
              <w:ind w:left="426" w:right="33"/>
            </w:pPr>
            <w:r>
              <w:t>безопасно организованные услуги по предоставлению питьевой воды;</w:t>
            </w:r>
          </w:p>
          <w:p w:rsidR="000356FB" w:rsidRDefault="000356FB" w:rsidP="00E31397">
            <w:pPr>
              <w:pStyle w:val="ab"/>
              <w:numPr>
                <w:ilvl w:val="0"/>
                <w:numId w:val="5"/>
              </w:numPr>
              <w:spacing w:before="120" w:after="120" w:line="276" w:lineRule="auto"/>
              <w:ind w:left="426" w:right="33"/>
            </w:pPr>
            <w:r>
              <w:t>основные услуги по обеспечению питьевой водой;</w:t>
            </w:r>
          </w:p>
          <w:p w:rsidR="000356FB" w:rsidRDefault="000356FB" w:rsidP="00E31397">
            <w:pPr>
              <w:pStyle w:val="ab"/>
              <w:numPr>
                <w:ilvl w:val="0"/>
                <w:numId w:val="5"/>
              </w:numPr>
              <w:spacing w:before="120" w:after="120" w:line="276" w:lineRule="auto"/>
              <w:ind w:left="426" w:right="33"/>
            </w:pPr>
            <w:r>
              <w:t>население, использующее поверхностные воды, неулучшенные источники питьевой воды или ограниченные услуги по обеспечению питьевой водой;</w:t>
            </w:r>
          </w:p>
          <w:p w:rsidR="000356FB" w:rsidRDefault="000356FB" w:rsidP="00E31397">
            <w:pPr>
              <w:pStyle w:val="ab"/>
              <w:numPr>
                <w:ilvl w:val="0"/>
                <w:numId w:val="5"/>
              </w:numPr>
              <w:spacing w:before="120" w:after="120" w:line="276" w:lineRule="auto"/>
              <w:ind w:left="426" w:right="33"/>
            </w:pPr>
            <w:r>
              <w:t>население, практикующее бытовую очистку воды с помощью фильтрации, хлорирования или солнечной дезинфекции.</w:t>
            </w:r>
          </w:p>
          <w:p w:rsidR="000356FB" w:rsidRDefault="000356FB" w:rsidP="00E31397">
            <w:pPr>
              <w:spacing w:before="120" w:after="120" w:line="276" w:lineRule="auto"/>
              <w:ind w:left="66" w:right="33"/>
            </w:pPr>
            <w:r>
              <w:t>К необходимым санитарным показателям относятся:</w:t>
            </w:r>
          </w:p>
          <w:p w:rsidR="000356FB" w:rsidRDefault="000356FB" w:rsidP="00E31397">
            <w:pPr>
              <w:pStyle w:val="ab"/>
              <w:numPr>
                <w:ilvl w:val="0"/>
                <w:numId w:val="5"/>
              </w:numPr>
              <w:spacing w:before="120" w:after="120" w:line="276" w:lineRule="auto"/>
              <w:ind w:left="426" w:right="33"/>
            </w:pPr>
            <w:r>
              <w:t>основные санитарно-технические услуги с подключением к канализации;</w:t>
            </w:r>
          </w:p>
          <w:p w:rsidR="000356FB" w:rsidRDefault="000356FB" w:rsidP="00E31397">
            <w:pPr>
              <w:pStyle w:val="ab"/>
              <w:numPr>
                <w:ilvl w:val="0"/>
                <w:numId w:val="5"/>
              </w:numPr>
              <w:spacing w:before="120" w:after="120" w:line="276" w:lineRule="auto"/>
              <w:ind w:left="426" w:right="33"/>
            </w:pPr>
            <w:r>
              <w:t>базовые санитарно-технические услуги без подключения к канализации;</w:t>
            </w:r>
          </w:p>
          <w:p w:rsidR="000356FB" w:rsidRDefault="000356FB" w:rsidP="00E31397">
            <w:pPr>
              <w:pStyle w:val="ab"/>
              <w:numPr>
                <w:ilvl w:val="0"/>
                <w:numId w:val="5"/>
              </w:numPr>
              <w:spacing w:before="120" w:after="120" w:line="276" w:lineRule="auto"/>
              <w:ind w:left="426" w:right="33"/>
            </w:pPr>
            <w:r>
              <w:t>открытая дефекация, неулучшенные санитарно-технические сооружения или ограниченные санитарные услуги</w:t>
            </w:r>
          </w:p>
          <w:p w:rsidR="000356FB" w:rsidRDefault="000356FB" w:rsidP="00E31397">
            <w:pPr>
              <w:spacing w:before="120" w:after="120" w:line="276" w:lineRule="auto"/>
              <w:ind w:left="66" w:right="33"/>
            </w:pPr>
            <w:r>
              <w:t>Используется один гигиенический индикатор:</w:t>
            </w:r>
          </w:p>
          <w:p w:rsidR="007F0509" w:rsidRDefault="000356FB" w:rsidP="00E31397">
            <w:pPr>
              <w:pStyle w:val="ab"/>
              <w:numPr>
                <w:ilvl w:val="0"/>
                <w:numId w:val="5"/>
              </w:numPr>
              <w:spacing w:before="120" w:after="120" w:line="276" w:lineRule="auto"/>
              <w:ind w:left="426" w:right="33"/>
            </w:pPr>
            <w:r>
              <w:t>население, практикующее мытье рук водой с мылом после потенциальных контактов с фекалиями.</w:t>
            </w:r>
          </w:p>
        </w:tc>
        <w:tc>
          <w:tcPr>
            <w:tcW w:w="4218" w:type="dxa"/>
          </w:tcPr>
          <w:p w:rsidR="009B282C" w:rsidRDefault="009B282C" w:rsidP="00E31397">
            <w:pPr>
              <w:spacing w:before="120" w:after="120" w:line="276" w:lineRule="auto"/>
            </w:pPr>
            <w:r>
              <w:t>Многие из этих данных доступны в глобальной базе данных, которую ведет Совместная программа ВОЗ/ЮНИСЕФ по мониторингу водоснабжения, санитарии и гигиены, и некоторые из них являются индикаторами ЦУР. Если в странах отсутствуют данные по одному или нескольким показателям, недостающие значения рассчитываются с использованием многоуровневого логистического моделирования (</w:t>
            </w:r>
            <w:proofErr w:type="spellStart"/>
            <w:r>
              <w:t>Wolf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, 2013; </w:t>
            </w:r>
            <w:proofErr w:type="spellStart"/>
            <w:r>
              <w:t>Prüss-Ustün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2014; </w:t>
            </w:r>
            <w:proofErr w:type="spellStart"/>
            <w:r>
              <w:t>Prüss-Ustün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2019).</w:t>
            </w:r>
          </w:p>
          <w:p w:rsidR="007F0509" w:rsidRDefault="005E0FD6" w:rsidP="00E31397">
            <w:pPr>
              <w:spacing w:before="120" w:after="120" w:line="276" w:lineRule="auto"/>
            </w:pPr>
            <w:hyperlink r:id="rId10" w:history="1">
              <w:r w:rsidR="00571A4A" w:rsidRPr="00571A4A">
                <w:rPr>
                  <w:rStyle w:val="ac"/>
                  <w:color w:val="000000" w:themeColor="text1"/>
                </w:rPr>
                <w:t>www.washdata.org</w:t>
              </w:r>
            </w:hyperlink>
          </w:p>
        </w:tc>
      </w:tr>
      <w:tr w:rsidR="007F0509" w:rsidTr="008B4D35">
        <w:tc>
          <w:tcPr>
            <w:tcW w:w="5353" w:type="dxa"/>
          </w:tcPr>
          <w:p w:rsidR="007F0509" w:rsidRDefault="007B3127" w:rsidP="00E31397">
            <w:pPr>
              <w:spacing w:before="120" w:after="120" w:line="276" w:lineRule="auto"/>
            </w:pPr>
            <w:r w:rsidRPr="007B3127">
              <w:lastRenderedPageBreak/>
              <w:t>Бремя болезней</w:t>
            </w:r>
          </w:p>
          <w:p w:rsidR="007B3127" w:rsidRDefault="007B3127" w:rsidP="00E31397">
            <w:pPr>
              <w:spacing w:before="120" w:after="120" w:line="276" w:lineRule="auto"/>
            </w:pPr>
            <w:r w:rsidRPr="007B3127">
              <w:t xml:space="preserve">Общее число смертей и DALY, вызванных </w:t>
            </w:r>
            <w:proofErr w:type="spellStart"/>
            <w:r w:rsidRPr="007B3127">
              <w:t>диарейными</w:t>
            </w:r>
            <w:proofErr w:type="spellEnd"/>
            <w:r w:rsidRPr="007B3127">
              <w:t xml:space="preserve"> заболеваниями, за год.</w:t>
            </w:r>
          </w:p>
        </w:tc>
        <w:tc>
          <w:tcPr>
            <w:tcW w:w="4218" w:type="dxa"/>
          </w:tcPr>
          <w:p w:rsidR="007F0509" w:rsidRDefault="008B4D35" w:rsidP="00E31397">
            <w:pPr>
              <w:spacing w:before="120" w:after="120" w:line="276" w:lineRule="auto"/>
            </w:pPr>
            <w:r w:rsidRPr="008B4D35">
              <w:t xml:space="preserve">Глобальная обсерватория здравоохранения ВОЗ (GHO) </w:t>
            </w:r>
            <w:hyperlink r:id="rId11" w:history="1">
              <w:r w:rsidRPr="008B4D35">
                <w:rPr>
                  <w:rStyle w:val="ac"/>
                  <w:color w:val="000000" w:themeColor="text1"/>
                </w:rPr>
                <w:t>https://www.who.int/data/gho/data/themes/mortality-and-global-health-estimates/ghe-leading-causes-of-death</w:t>
              </w:r>
            </w:hyperlink>
          </w:p>
        </w:tc>
      </w:tr>
      <w:tr w:rsidR="007F0509" w:rsidTr="008B4D35">
        <w:tc>
          <w:tcPr>
            <w:tcW w:w="5353" w:type="dxa"/>
          </w:tcPr>
          <w:p w:rsidR="00877025" w:rsidRDefault="00877025" w:rsidP="00E31397">
            <w:pPr>
              <w:spacing w:before="120" w:after="120" w:line="276" w:lineRule="auto"/>
            </w:pPr>
            <w:r>
              <w:t>Связь воздействия и реакции</w:t>
            </w:r>
          </w:p>
          <w:p w:rsidR="007F0509" w:rsidRDefault="00877025" w:rsidP="00E31397">
            <w:pPr>
              <w:spacing w:before="120" w:after="120" w:line="276" w:lineRule="auto"/>
            </w:pPr>
            <w:r>
              <w:t>Относительный риск, который связывает воздействие с заболеванием.</w:t>
            </w:r>
          </w:p>
        </w:tc>
        <w:tc>
          <w:tcPr>
            <w:tcW w:w="4218" w:type="dxa"/>
          </w:tcPr>
          <w:p w:rsidR="00877025" w:rsidRDefault="00877025" w:rsidP="00E31397">
            <w:pPr>
              <w:spacing w:before="120" w:after="120" w:line="276" w:lineRule="auto"/>
            </w:pPr>
            <w:r>
              <w:t>В расчетах используется взаимосвязь «воздействие-реакция» для питьевой воды и диареи, рассчитанная в рамках самого последнего систематического обзора исследований вмешательства в области водоснабжения и санитарии и воздействия на диарею.</w:t>
            </w:r>
          </w:p>
          <w:p w:rsidR="007F0509" w:rsidRDefault="00877025" w:rsidP="00E31397">
            <w:pPr>
              <w:spacing w:before="120" w:after="120" w:line="276" w:lineRule="auto"/>
            </w:pPr>
            <w:r>
              <w:t>(</w:t>
            </w:r>
            <w:proofErr w:type="spellStart"/>
            <w:r>
              <w:t>Wolf</w:t>
            </w:r>
            <w:proofErr w:type="spellEnd"/>
            <w:r>
              <w:t>, J, 2022 г., на рассмотрении).</w:t>
            </w:r>
          </w:p>
        </w:tc>
      </w:tr>
    </w:tbl>
    <w:p w:rsidR="00B058D0" w:rsidRDefault="00B058D0" w:rsidP="00AD2AE3"/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4C2724" w:rsidRDefault="004C2724" w:rsidP="002132FB">
      <w:pPr>
        <w:pStyle w:val="MHeader2"/>
        <w:spacing w:after="120" w:line="276" w:lineRule="auto"/>
        <w:rPr>
          <w:color w:val="auto"/>
          <w:sz w:val="24"/>
          <w:szCs w:val="24"/>
          <w:lang w:val="ru-RU"/>
        </w:rPr>
      </w:pPr>
      <w:r w:rsidRPr="004C2724">
        <w:rPr>
          <w:color w:val="auto"/>
          <w:sz w:val="24"/>
          <w:szCs w:val="24"/>
          <w:lang w:val="ru-RU"/>
        </w:rPr>
        <w:t xml:space="preserve">Предварительные оценки рассматриваются государствами-членами в рамках </w:t>
      </w:r>
      <w:proofErr w:type="spellStart"/>
      <w:r w:rsidRPr="004C2724">
        <w:rPr>
          <w:color w:val="auto"/>
          <w:sz w:val="24"/>
          <w:szCs w:val="24"/>
          <w:lang w:val="ru-RU"/>
        </w:rPr>
        <w:t>странового</w:t>
      </w:r>
      <w:proofErr w:type="spellEnd"/>
      <w:r w:rsidRPr="004C2724">
        <w:rPr>
          <w:color w:val="auto"/>
          <w:sz w:val="24"/>
          <w:szCs w:val="24"/>
          <w:lang w:val="ru-RU"/>
        </w:rPr>
        <w:t xml:space="preserve"> процесса консультаций ВОЗ и координаторами ЦУР каждый раз, когда собираются новые данные. Кроме того, методы и данные публикуются в рецензируемом журнале. Оценки за 2016 год были опубликованы в 2019 году (см. </w:t>
      </w:r>
      <w:r w:rsidR="005A309F">
        <w:rPr>
          <w:color w:val="auto"/>
          <w:sz w:val="24"/>
          <w:szCs w:val="24"/>
          <w:lang w:val="ru-RU"/>
        </w:rPr>
        <w:t xml:space="preserve">раздел </w:t>
      </w:r>
      <w:r w:rsidRPr="004C2724">
        <w:rPr>
          <w:color w:val="auto"/>
          <w:sz w:val="24"/>
          <w:szCs w:val="24"/>
          <w:lang w:val="ru-RU"/>
        </w:rPr>
        <w:t>4.c), а рукопись представляемых в настоящее время оценок за 2019 год находится в стадии разработки, и планируется представить ее в рецензируемый журнал к апрелю 2022 года.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F92D6F" w:rsidP="002132FB">
      <w:pPr>
        <w:pStyle w:val="MText"/>
        <w:spacing w:after="12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2E15F9" w:rsidP="002132FB">
      <w:pPr>
        <w:pStyle w:val="MText"/>
        <w:spacing w:after="120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5A309F">
        <w:rPr>
          <w:b/>
          <w:color w:val="auto"/>
          <w:sz w:val="24"/>
          <w:szCs w:val="24"/>
          <w:lang w:val="ru-RU"/>
        </w:rPr>
        <w:t xml:space="preserve">На </w:t>
      </w:r>
      <w:r w:rsidR="005A309F" w:rsidRPr="005A309F">
        <w:rPr>
          <w:b/>
          <w:color w:val="auto"/>
          <w:sz w:val="24"/>
          <w:szCs w:val="24"/>
          <w:lang w:val="ru-RU"/>
        </w:rPr>
        <w:t>страновом уровне:</w:t>
      </w:r>
    </w:p>
    <w:p w:rsidR="005A309F" w:rsidRDefault="005A309F" w:rsidP="005A309F">
      <w:pPr>
        <w:pStyle w:val="MText"/>
        <w:ind w:left="426"/>
        <w:rPr>
          <w:color w:val="000000" w:themeColor="text1"/>
          <w:sz w:val="24"/>
          <w:szCs w:val="24"/>
          <w:lang w:val="ru-RU"/>
        </w:rPr>
      </w:pPr>
      <w:r w:rsidRPr="005A309F">
        <w:rPr>
          <w:color w:val="000000" w:themeColor="text1"/>
          <w:sz w:val="24"/>
          <w:szCs w:val="24"/>
          <w:lang w:val="ru-RU"/>
        </w:rPr>
        <w:t>Для данных о населении и бремени болезней доступны полные наборы данных, поэтому проблем с недостающими данными на страновом уровне не возникает. Что касается данных о воздействии, многие из этих данных доступны в глобальной базе данных, которую ведет Совместная программа ВОЗ/ЮНИСЕФ по мониторингу водоснабжения, санитарии и гигиены, а некоторые из них являются индикаторами ЦУР. Если данные по одному или нескольким требуемым показателям отсутствуют, недостающие значения рассчитываются с использованием многоуровневого логистического моделирования (</w:t>
      </w:r>
      <w:proofErr w:type="spellStart"/>
      <w:r w:rsidRPr="005A309F">
        <w:rPr>
          <w:color w:val="000000" w:themeColor="text1"/>
          <w:sz w:val="24"/>
          <w:szCs w:val="24"/>
          <w:lang w:val="ru-RU"/>
        </w:rPr>
        <w:t>Wolf</w:t>
      </w:r>
      <w:proofErr w:type="spellEnd"/>
      <w:r w:rsidRPr="005A309F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A309F">
        <w:rPr>
          <w:color w:val="000000" w:themeColor="text1"/>
          <w:sz w:val="24"/>
          <w:szCs w:val="24"/>
          <w:lang w:val="ru-RU"/>
        </w:rPr>
        <w:t>et</w:t>
      </w:r>
      <w:proofErr w:type="spellEnd"/>
      <w:r w:rsidRPr="005A309F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A309F">
        <w:rPr>
          <w:color w:val="000000" w:themeColor="text1"/>
          <w:sz w:val="24"/>
          <w:szCs w:val="24"/>
          <w:lang w:val="ru-RU"/>
        </w:rPr>
        <w:t>al</w:t>
      </w:r>
      <w:proofErr w:type="spellEnd"/>
      <w:r w:rsidRPr="005A309F">
        <w:rPr>
          <w:color w:val="000000" w:themeColor="text1"/>
          <w:sz w:val="24"/>
          <w:szCs w:val="24"/>
          <w:lang w:val="ru-RU"/>
        </w:rPr>
        <w:t>, 2013).</w:t>
      </w:r>
    </w:p>
    <w:p w:rsidR="005A309F" w:rsidRDefault="005A309F" w:rsidP="005A309F">
      <w:pPr>
        <w:pStyle w:val="MText"/>
        <w:ind w:left="426"/>
        <w:rPr>
          <w:color w:val="000000" w:themeColor="text1"/>
          <w:sz w:val="24"/>
          <w:szCs w:val="24"/>
          <w:lang w:val="ru-RU"/>
        </w:rPr>
      </w:pPr>
    </w:p>
    <w:p w:rsidR="002E15F9" w:rsidRPr="00BD29EC" w:rsidRDefault="002E15F9" w:rsidP="002132FB">
      <w:pPr>
        <w:pStyle w:val="MText"/>
        <w:spacing w:after="120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5A309F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  <w:r w:rsidR="005A309F" w:rsidRPr="005A309F">
        <w:rPr>
          <w:b/>
          <w:color w:val="auto"/>
          <w:sz w:val="24"/>
          <w:szCs w:val="24"/>
          <w:lang w:val="ru-RU"/>
        </w:rPr>
        <w:t>:</w:t>
      </w:r>
    </w:p>
    <w:p w:rsidR="00694160" w:rsidRDefault="005A309F" w:rsidP="00350FCA">
      <w:pPr>
        <w:pStyle w:val="MText"/>
        <w:ind w:left="42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Pr="00BD29EC">
        <w:rPr>
          <w:color w:val="auto"/>
          <w:sz w:val="24"/>
          <w:szCs w:val="24"/>
          <w:lang w:val="ru-RU"/>
        </w:rPr>
        <w:t>.</w:t>
      </w:r>
    </w:p>
    <w:p w:rsidR="00350FCA" w:rsidRDefault="00350FCA" w:rsidP="00350FCA">
      <w:pPr>
        <w:pStyle w:val="MText"/>
        <w:ind w:left="426"/>
        <w:rPr>
          <w:color w:val="auto"/>
          <w:sz w:val="24"/>
          <w:szCs w:val="24"/>
          <w:lang w:val="ru-RU"/>
        </w:rPr>
      </w:pPr>
    </w:p>
    <w:p w:rsidR="002132FB" w:rsidRPr="005A309F" w:rsidRDefault="002132FB" w:rsidP="00350FCA">
      <w:pPr>
        <w:pStyle w:val="MText"/>
        <w:ind w:left="426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8823BE" w:rsidRDefault="00282B41" w:rsidP="008823BE">
      <w:pPr>
        <w:pStyle w:val="MText"/>
        <w:rPr>
          <w:color w:val="auto"/>
          <w:sz w:val="24"/>
          <w:szCs w:val="24"/>
          <w:lang w:val="ru-RU"/>
        </w:rPr>
      </w:pPr>
      <w:r w:rsidRPr="00282B41">
        <w:rPr>
          <w:color w:val="auto"/>
          <w:sz w:val="24"/>
          <w:szCs w:val="24"/>
          <w:lang w:val="ru-RU"/>
        </w:rPr>
        <w:t>Страновые оценки числа смертей по причинам суммируются для получения региональных и глобальных совокупных показателей. Численность населения, опубликованная в «Мировых демографических перспективах» ПРООН, агрегирована на региональном и глобальном уровнях. Затем рассчитывается уровень смертности на региональном и глобальном уровнях.</w:t>
      </w:r>
    </w:p>
    <w:p w:rsidR="008823BE" w:rsidRPr="008823BE" w:rsidRDefault="008823BE" w:rsidP="008823BE">
      <w:pPr>
        <w:pStyle w:val="MText"/>
        <w:rPr>
          <w:color w:val="auto"/>
          <w:sz w:val="24"/>
          <w:szCs w:val="24"/>
          <w:lang w:val="ru-RU"/>
        </w:rPr>
      </w:pPr>
    </w:p>
    <w:p w:rsidR="008823BE" w:rsidRPr="006D1539" w:rsidRDefault="008823B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6D1539" w:rsidRDefault="006D1539" w:rsidP="006D1539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6D1539">
        <w:rPr>
          <w:color w:val="auto"/>
          <w:sz w:val="24"/>
          <w:szCs w:val="24"/>
          <w:lang w:val="ru-RU"/>
        </w:rPr>
        <w:t>Данные для этого показателя не собираются странами на регулярной основе. Скорее, они моделируются с использованием методов сравнительной оценки рисков</w:t>
      </w:r>
      <w:r w:rsidR="00A04890">
        <w:rPr>
          <w:rStyle w:val="a6"/>
          <w:color w:val="auto"/>
          <w:sz w:val="24"/>
          <w:szCs w:val="24"/>
          <w:lang w:val="ru-RU"/>
        </w:rPr>
        <w:footnoteReference w:id="1"/>
      </w:r>
      <w:r w:rsidRPr="006D1539">
        <w:rPr>
          <w:color w:val="auto"/>
          <w:sz w:val="24"/>
          <w:szCs w:val="24"/>
          <w:lang w:val="ru-RU"/>
        </w:rPr>
        <w:t xml:space="preserve"> (более подробную информацию см. в разделе 4.c.). Однако, хотя страны на регулярной основе не собирают эти данные для включения в глобальные цифры по показателю 3.9.2, было получено небольшое количество запросов на техническую помощь от стра</w:t>
      </w:r>
      <w:r w:rsidR="003C1545">
        <w:rPr>
          <w:color w:val="auto"/>
          <w:sz w:val="24"/>
          <w:szCs w:val="24"/>
          <w:lang w:val="ru-RU"/>
        </w:rPr>
        <w:t xml:space="preserve">новых офисов ВОЗ для </w:t>
      </w:r>
      <w:r w:rsidR="00281117">
        <w:rPr>
          <w:color w:val="auto"/>
          <w:sz w:val="24"/>
          <w:szCs w:val="24"/>
          <w:lang w:val="ru-RU"/>
        </w:rPr>
        <w:t xml:space="preserve">оказания </w:t>
      </w:r>
      <w:r w:rsidR="003C1545">
        <w:rPr>
          <w:color w:val="auto"/>
          <w:sz w:val="24"/>
          <w:szCs w:val="24"/>
          <w:lang w:val="ru-RU"/>
        </w:rPr>
        <w:t xml:space="preserve">поддержки </w:t>
      </w:r>
      <w:r w:rsidR="003C1545" w:rsidRPr="003C1545">
        <w:rPr>
          <w:color w:val="auto"/>
          <w:sz w:val="24"/>
          <w:szCs w:val="24"/>
          <w:lang w:val="ru-RU"/>
        </w:rPr>
        <w:t>в расчете бремени болезней, связанных с WASH, на уровне страны.</w:t>
      </w:r>
      <w:r w:rsidR="00281117">
        <w:rPr>
          <w:color w:val="auto"/>
          <w:sz w:val="24"/>
          <w:szCs w:val="24"/>
          <w:lang w:val="ru-RU"/>
        </w:rPr>
        <w:t xml:space="preserve"> </w:t>
      </w:r>
      <w:r w:rsidRPr="006D1539">
        <w:rPr>
          <w:color w:val="auto"/>
          <w:sz w:val="24"/>
          <w:szCs w:val="24"/>
          <w:lang w:val="ru-RU"/>
        </w:rPr>
        <w:t xml:space="preserve">В настоящее время разрабатывается </w:t>
      </w:r>
      <w:proofErr w:type="spellStart"/>
      <w:r w:rsidRPr="006D1539">
        <w:rPr>
          <w:color w:val="auto"/>
          <w:sz w:val="24"/>
          <w:szCs w:val="24"/>
          <w:lang w:val="ru-RU"/>
        </w:rPr>
        <w:t>страновой</w:t>
      </w:r>
      <w:proofErr w:type="spellEnd"/>
      <w:r w:rsidRPr="006D1539">
        <w:rPr>
          <w:color w:val="auto"/>
          <w:sz w:val="24"/>
          <w:szCs w:val="24"/>
          <w:lang w:val="ru-RU"/>
        </w:rPr>
        <w:t xml:space="preserve"> инструмент, который позволит странам рассчитать предполагаемое бремя болезней, связанных с WASH, для их собственных стран, и он будет доступен позже в этом году.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DE318B" w:rsidRPr="00DE318B" w:rsidRDefault="00DE318B" w:rsidP="0075371E">
      <w:pPr>
        <w:pStyle w:val="MHeader2"/>
        <w:rPr>
          <w:color w:val="auto"/>
          <w:sz w:val="24"/>
          <w:szCs w:val="24"/>
          <w:lang w:val="ru-RU"/>
        </w:rPr>
      </w:pPr>
      <w:r w:rsidRPr="00DE318B">
        <w:rPr>
          <w:color w:val="auto"/>
          <w:sz w:val="24"/>
          <w:szCs w:val="24"/>
          <w:lang w:val="ru-RU"/>
        </w:rPr>
        <w:t>Информацию о процессах управления, обеспечения и оценки качества данных в ВОЗ можно найти по адресу:</w:t>
      </w:r>
      <w:r>
        <w:rPr>
          <w:color w:val="auto"/>
          <w:sz w:val="24"/>
          <w:szCs w:val="24"/>
          <w:lang w:val="ru-RU"/>
        </w:rPr>
        <w:t xml:space="preserve"> </w:t>
      </w:r>
      <w:hyperlink r:id="rId12" w:history="1">
        <w:r w:rsidRPr="00DE318B">
          <w:rPr>
            <w:rStyle w:val="ac"/>
            <w:sz w:val="24"/>
            <w:szCs w:val="24"/>
            <w:lang w:val="ru-RU"/>
          </w:rPr>
          <w:t>https://www.who.int/data/ddi</w:t>
        </w:r>
      </w:hyperlink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755DA6" w:rsidRPr="00755DA6" w:rsidRDefault="00755DA6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755DA6">
        <w:rPr>
          <w:color w:val="auto"/>
          <w:sz w:val="24"/>
          <w:szCs w:val="24"/>
          <w:lang w:val="ru-RU"/>
        </w:rPr>
        <w:t>Информацию о процессах управления, обеспечения и оценки качества данных в ВОЗ можно найти по адресу:</w:t>
      </w:r>
      <w:r>
        <w:rPr>
          <w:color w:val="auto"/>
          <w:sz w:val="24"/>
          <w:szCs w:val="24"/>
          <w:lang w:val="ru-RU"/>
        </w:rPr>
        <w:t xml:space="preserve"> </w:t>
      </w:r>
      <w:hyperlink r:id="rId13" w:history="1">
        <w:r w:rsidRPr="00755DA6">
          <w:rPr>
            <w:rStyle w:val="ac"/>
            <w:sz w:val="24"/>
            <w:szCs w:val="24"/>
            <w:lang w:val="ru-RU"/>
          </w:rPr>
          <w:t>https://www.who.int/data/ddi</w:t>
        </w:r>
      </w:hyperlink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</w:p>
    <w:p w:rsidR="00755DA6" w:rsidRPr="00755DA6" w:rsidRDefault="00755DA6" w:rsidP="00B43FDE">
      <w:pPr>
        <w:pStyle w:val="MHeader2"/>
        <w:spacing w:after="0"/>
        <w:rPr>
          <w:b/>
          <w:color w:val="auto"/>
          <w:sz w:val="24"/>
          <w:szCs w:val="24"/>
          <w:lang w:val="ru-RU"/>
        </w:rPr>
      </w:pPr>
      <w:r w:rsidRPr="00755DA6">
        <w:rPr>
          <w:color w:val="auto"/>
          <w:sz w:val="24"/>
          <w:szCs w:val="24"/>
          <w:lang w:val="ru-RU"/>
        </w:rPr>
        <w:t>Информацию о процессах управления, обеспечения и оценки качества данных в ВОЗ можно найти по адресу:</w:t>
      </w:r>
      <w:r>
        <w:rPr>
          <w:color w:val="auto"/>
          <w:sz w:val="24"/>
          <w:szCs w:val="24"/>
          <w:lang w:val="ru-RU"/>
        </w:rPr>
        <w:t xml:space="preserve"> </w:t>
      </w:r>
      <w:hyperlink r:id="rId14" w:history="1">
        <w:r w:rsidRPr="00755DA6">
          <w:rPr>
            <w:rStyle w:val="ac"/>
            <w:sz w:val="24"/>
            <w:szCs w:val="24"/>
            <w:lang w:val="ru-RU"/>
          </w:rPr>
          <w:t>https://www.who.int/data/ddi</w:t>
        </w:r>
      </w:hyperlink>
    </w:p>
    <w:p w:rsidR="00B43FDE" w:rsidRDefault="00B43FDE" w:rsidP="00B43FDE">
      <w:pPr>
        <w:pStyle w:val="MHeader"/>
        <w:rPr>
          <w:b/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D625C0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555523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555523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E641EA" w:rsidRDefault="00E641EA" w:rsidP="0075371E">
      <w:pPr>
        <w:pStyle w:val="MText"/>
        <w:rPr>
          <w:rFonts w:eastAsiaTheme="minorHAnsi"/>
          <w:color w:val="auto"/>
          <w:sz w:val="24"/>
          <w:szCs w:val="24"/>
          <w:lang w:val="ru-RU" w:eastAsia="en-US"/>
        </w:rPr>
      </w:pPr>
      <w:r w:rsidRPr="00E641EA">
        <w:rPr>
          <w:rFonts w:eastAsiaTheme="minorHAnsi"/>
          <w:color w:val="auto"/>
          <w:sz w:val="24"/>
          <w:szCs w:val="24"/>
          <w:lang w:val="ru-RU" w:eastAsia="en-US"/>
        </w:rPr>
        <w:t>Данные доступны по 183 государствам-членам ООН, и до</w:t>
      </w:r>
      <w:r>
        <w:rPr>
          <w:rFonts w:eastAsiaTheme="minorHAnsi"/>
          <w:color w:val="auto"/>
          <w:sz w:val="24"/>
          <w:szCs w:val="24"/>
          <w:lang w:val="ru-RU" w:eastAsia="en-US"/>
        </w:rPr>
        <w:t>ступ к ним можно получить через Глобальную обсерваторию здравоохранения </w:t>
      </w:r>
      <w:r w:rsidRPr="00E641EA">
        <w:rPr>
          <w:rFonts w:eastAsiaTheme="minorHAnsi"/>
          <w:color w:val="auto"/>
          <w:sz w:val="24"/>
          <w:szCs w:val="24"/>
          <w:lang w:val="ru-RU" w:eastAsia="en-US"/>
        </w:rPr>
        <w:t xml:space="preserve">ВОЗ: </w:t>
      </w:r>
      <w:hyperlink r:id="rId15" w:history="1">
        <w:r w:rsidRPr="00335051">
          <w:rPr>
            <w:rStyle w:val="ac"/>
            <w:rFonts w:eastAsiaTheme="minorHAnsi"/>
            <w:sz w:val="24"/>
            <w:szCs w:val="24"/>
            <w:lang w:val="ru-RU" w:eastAsia="en-US"/>
          </w:rPr>
          <w:t>https://apps.who.int/gho/data/view.main.INADEQUATEWSHv?lang=en</w:t>
        </w:r>
      </w:hyperlink>
      <w:r w:rsidRPr="00E641EA">
        <w:rPr>
          <w:rFonts w:eastAsiaTheme="minorHAnsi"/>
          <w:color w:val="auto"/>
          <w:sz w:val="24"/>
          <w:szCs w:val="24"/>
          <w:lang w:val="ru-RU" w:eastAsia="en-US"/>
        </w:rPr>
        <w:t>.</w:t>
      </w:r>
    </w:p>
    <w:p w:rsidR="00E641EA" w:rsidRDefault="00E641EA" w:rsidP="0075371E">
      <w:pPr>
        <w:pStyle w:val="MText"/>
        <w:rPr>
          <w:rFonts w:eastAsiaTheme="minorHAnsi"/>
          <w:color w:val="auto"/>
          <w:sz w:val="24"/>
          <w:szCs w:val="24"/>
          <w:lang w:val="ru-RU" w:eastAsia="en-US"/>
        </w:rPr>
      </w:pPr>
    </w:p>
    <w:p w:rsidR="0075371E" w:rsidRPr="00555523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555523">
        <w:rPr>
          <w:b/>
          <w:color w:val="auto"/>
          <w:sz w:val="24"/>
          <w:szCs w:val="24"/>
          <w:lang w:val="ru-RU"/>
        </w:rPr>
        <w:t>Временные ряды:</w:t>
      </w:r>
    </w:p>
    <w:p w:rsidR="00B43FDE" w:rsidRDefault="00B43FDE" w:rsidP="0075371E">
      <w:pPr>
        <w:pStyle w:val="MText"/>
        <w:rPr>
          <w:rFonts w:eastAsiaTheme="minorHAnsi"/>
          <w:color w:val="auto"/>
          <w:sz w:val="24"/>
          <w:szCs w:val="24"/>
          <w:lang w:val="ru-RU" w:eastAsia="en-US"/>
        </w:rPr>
      </w:pPr>
      <w:r w:rsidRPr="00B43FDE">
        <w:rPr>
          <w:rFonts w:eastAsiaTheme="minorHAnsi"/>
          <w:color w:val="auto"/>
          <w:sz w:val="24"/>
          <w:szCs w:val="24"/>
          <w:lang w:val="ru-RU" w:eastAsia="en-US"/>
        </w:rPr>
        <w:t>Предыдущие раунды оценок были опубликованы с учетом 2012, 2015 и 2016 годов. Поскольку в методах лечения диареи произошли изменения, их сопоставимость ограничена.</w:t>
      </w:r>
    </w:p>
    <w:p w:rsidR="00B43FDE" w:rsidRDefault="00B43FDE" w:rsidP="0075371E">
      <w:pPr>
        <w:pStyle w:val="MText"/>
        <w:rPr>
          <w:rFonts w:eastAsiaTheme="minorHAnsi"/>
          <w:color w:val="auto"/>
          <w:sz w:val="24"/>
          <w:szCs w:val="24"/>
          <w:lang w:val="ru-RU" w:eastAsia="en-US"/>
        </w:rPr>
      </w:pPr>
    </w:p>
    <w:p w:rsidR="0075371E" w:rsidRPr="00555523" w:rsidRDefault="00555523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555523">
        <w:rPr>
          <w:b/>
          <w:color w:val="auto"/>
          <w:sz w:val="24"/>
          <w:szCs w:val="24"/>
          <w:lang w:val="ru-RU"/>
        </w:rPr>
        <w:lastRenderedPageBreak/>
        <w:t>Дезагрегация</w:t>
      </w:r>
      <w:r w:rsidR="0075371E" w:rsidRPr="00555523">
        <w:rPr>
          <w:b/>
          <w:color w:val="auto"/>
          <w:sz w:val="24"/>
          <w:szCs w:val="24"/>
          <w:lang w:val="ru-RU"/>
        </w:rPr>
        <w:t>:</w:t>
      </w:r>
    </w:p>
    <w:p w:rsidR="0053568E" w:rsidRDefault="00B43FDE" w:rsidP="00B43FDE">
      <w:pPr>
        <w:spacing w:after="0"/>
        <w:rPr>
          <w:rFonts w:cs="Times New Roman"/>
          <w:szCs w:val="24"/>
        </w:rPr>
      </w:pPr>
      <w:r w:rsidRPr="00B43FDE">
        <w:rPr>
          <w:rFonts w:cs="Times New Roman"/>
          <w:szCs w:val="24"/>
        </w:rPr>
        <w:t>Доступны национальные, региональные и глобальные данные по общей численности населения; с разбивкой на мужское и женское население; и для населения в возрасте до пяти лет.</w:t>
      </w:r>
    </w:p>
    <w:p w:rsidR="00B43FDE" w:rsidRPr="00A31611" w:rsidRDefault="00B43FDE" w:rsidP="00B43FDE">
      <w:pPr>
        <w:spacing w:after="0"/>
        <w:rPr>
          <w:rFonts w:cs="Times New Roman"/>
          <w:szCs w:val="24"/>
        </w:rPr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566A2E" w:rsidRPr="00566A2E" w:rsidRDefault="00566A2E" w:rsidP="00566A2E">
      <w:pPr>
        <w:spacing w:after="0"/>
        <w:rPr>
          <w:b/>
          <w:lang w:eastAsia="en-GB"/>
        </w:rPr>
      </w:pPr>
      <w:r w:rsidRPr="00566A2E">
        <w:rPr>
          <w:b/>
          <w:lang w:eastAsia="en-GB"/>
        </w:rPr>
        <w:t>Источник расхождений:</w:t>
      </w:r>
    </w:p>
    <w:p w:rsidR="00FE4F50" w:rsidRDefault="00FE4F50" w:rsidP="00FE4F50">
      <w:pPr>
        <w:rPr>
          <w:lang w:eastAsia="en-GB"/>
        </w:rPr>
      </w:pPr>
      <w:r w:rsidRPr="00FE4F50">
        <w:rPr>
          <w:lang w:eastAsia="en-GB"/>
        </w:rPr>
        <w:t xml:space="preserve">В соответствии с резолюцией Всемирной ассамблеи здравоохранения </w:t>
      </w:r>
      <w:proofErr w:type="gramStart"/>
      <w:r w:rsidRPr="00FE4F50">
        <w:rPr>
          <w:lang w:eastAsia="en-GB"/>
        </w:rPr>
        <w:t>от</w:t>
      </w:r>
      <w:proofErr w:type="gramEnd"/>
      <w:r w:rsidRPr="00FE4F50">
        <w:rPr>
          <w:lang w:eastAsia="en-GB"/>
        </w:rPr>
        <w:t xml:space="preserve"> </w:t>
      </w:r>
      <w:proofErr w:type="gramStart"/>
      <w:r w:rsidRPr="00FE4F50">
        <w:rPr>
          <w:lang w:eastAsia="en-GB"/>
        </w:rPr>
        <w:t>ВОЗ</w:t>
      </w:r>
      <w:proofErr w:type="gramEnd"/>
      <w:r w:rsidRPr="00FE4F50">
        <w:rPr>
          <w:lang w:eastAsia="en-GB"/>
        </w:rPr>
        <w:t xml:space="preserve"> требуется проводить консультации по всей статистике ВОЗ и запрашивать отзывы у стран по данным о странах и территориях. Перед публикацией все оценки проходят консультации со странами.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FE4F50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FE4F50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FE4F50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566A2E" w:rsidRDefault="00566A2E" w:rsidP="00936C4E">
      <w:pPr>
        <w:spacing w:after="0"/>
        <w:rPr>
          <w:b/>
        </w:rPr>
      </w:pPr>
      <w:r w:rsidRPr="00566A2E">
        <w:rPr>
          <w:b/>
          <w:lang w:val="en-US"/>
        </w:rPr>
        <w:t>URL</w:t>
      </w:r>
      <w:r w:rsidRPr="00566A2E">
        <w:rPr>
          <w:b/>
        </w:rPr>
        <w:t>:</w:t>
      </w:r>
    </w:p>
    <w:p w:rsidR="00774510" w:rsidRPr="00566A2E" w:rsidRDefault="00774510" w:rsidP="00936C4E">
      <w:pPr>
        <w:spacing w:after="0"/>
        <w:rPr>
          <w:b/>
        </w:rPr>
      </w:pPr>
    </w:p>
    <w:p w:rsidR="00566A2E" w:rsidRDefault="00566A2E" w:rsidP="00936C4E">
      <w:pPr>
        <w:spacing w:after="0"/>
      </w:pPr>
      <w:r>
        <w:t xml:space="preserve">Определение показателя ВОЗ </w:t>
      </w:r>
      <w:hyperlink r:id="rId16" w:history="1">
        <w:r w:rsidRPr="00335051">
          <w:rPr>
            <w:rStyle w:val="ac"/>
            <w:lang w:val="en-US"/>
          </w:rPr>
          <w:t>https</w:t>
        </w:r>
        <w:r w:rsidRPr="00335051">
          <w:rPr>
            <w:rStyle w:val="ac"/>
          </w:rPr>
          <w:t>://</w:t>
        </w:r>
        <w:r w:rsidRPr="00335051">
          <w:rPr>
            <w:rStyle w:val="ac"/>
            <w:lang w:val="en-US"/>
          </w:rPr>
          <w:t>www</w:t>
        </w:r>
        <w:r w:rsidRPr="00335051">
          <w:rPr>
            <w:rStyle w:val="ac"/>
          </w:rPr>
          <w:t>.</w:t>
        </w:r>
        <w:r w:rsidRPr="00335051">
          <w:rPr>
            <w:rStyle w:val="ac"/>
            <w:lang w:val="en-US"/>
          </w:rPr>
          <w:t>who</w:t>
        </w:r>
        <w:r w:rsidRPr="00335051">
          <w:rPr>
            <w:rStyle w:val="ac"/>
          </w:rPr>
          <w:t>.</w:t>
        </w:r>
        <w:proofErr w:type="spellStart"/>
        <w:r w:rsidRPr="00335051">
          <w:rPr>
            <w:rStyle w:val="ac"/>
            <w:lang w:val="en-US"/>
          </w:rPr>
          <w:t>int</w:t>
        </w:r>
        <w:proofErr w:type="spellEnd"/>
        <w:r w:rsidRPr="00335051">
          <w:rPr>
            <w:rStyle w:val="ac"/>
          </w:rPr>
          <w:t>/</w:t>
        </w:r>
        <w:r w:rsidRPr="00335051">
          <w:rPr>
            <w:rStyle w:val="ac"/>
            <w:lang w:val="en-US"/>
          </w:rPr>
          <w:t>data</w:t>
        </w:r>
        <w:r w:rsidRPr="00335051">
          <w:rPr>
            <w:rStyle w:val="ac"/>
          </w:rPr>
          <w:t>/</w:t>
        </w:r>
        <w:proofErr w:type="spellStart"/>
        <w:r w:rsidRPr="00335051">
          <w:rPr>
            <w:rStyle w:val="ac"/>
            <w:lang w:val="en-US"/>
          </w:rPr>
          <w:t>gho</w:t>
        </w:r>
        <w:proofErr w:type="spellEnd"/>
        <w:r w:rsidRPr="00335051">
          <w:rPr>
            <w:rStyle w:val="ac"/>
          </w:rPr>
          <w:t>/</w:t>
        </w:r>
        <w:r w:rsidRPr="00335051">
          <w:rPr>
            <w:rStyle w:val="ac"/>
            <w:lang w:val="en-US"/>
          </w:rPr>
          <w:t>indicator</w:t>
        </w:r>
        <w:r w:rsidRPr="00335051">
          <w:rPr>
            <w:rStyle w:val="ac"/>
          </w:rPr>
          <w:t>-</w:t>
        </w:r>
        <w:r w:rsidRPr="00335051">
          <w:rPr>
            <w:rStyle w:val="ac"/>
            <w:lang w:val="en-US"/>
          </w:rPr>
          <w:t>metadata</w:t>
        </w:r>
        <w:r w:rsidRPr="00335051">
          <w:rPr>
            <w:rStyle w:val="ac"/>
          </w:rPr>
          <w:t>-</w:t>
        </w:r>
        <w:r w:rsidRPr="00335051">
          <w:rPr>
            <w:rStyle w:val="ac"/>
            <w:lang w:val="en-US"/>
          </w:rPr>
          <w:t>registry</w:t>
        </w:r>
        <w:r w:rsidRPr="00335051">
          <w:rPr>
            <w:rStyle w:val="ac"/>
          </w:rPr>
          <w:t>/</w:t>
        </w:r>
        <w:proofErr w:type="spellStart"/>
        <w:r w:rsidRPr="00335051">
          <w:rPr>
            <w:rStyle w:val="ac"/>
            <w:lang w:val="en-US"/>
          </w:rPr>
          <w:t>imr</w:t>
        </w:r>
        <w:proofErr w:type="spellEnd"/>
        <w:r w:rsidRPr="00335051">
          <w:rPr>
            <w:rStyle w:val="ac"/>
          </w:rPr>
          <w:t>-</w:t>
        </w:r>
        <w:r w:rsidRPr="00335051">
          <w:rPr>
            <w:rStyle w:val="ac"/>
            <w:lang w:val="en-US"/>
          </w:rPr>
          <w:t>details</w:t>
        </w:r>
        <w:r w:rsidRPr="00335051">
          <w:rPr>
            <w:rStyle w:val="ac"/>
          </w:rPr>
          <w:t>/2260</w:t>
        </w:r>
      </w:hyperlink>
    </w:p>
    <w:p w:rsidR="00774510" w:rsidRDefault="00774510" w:rsidP="00936C4E">
      <w:pPr>
        <w:spacing w:after="0"/>
      </w:pPr>
    </w:p>
    <w:p w:rsidR="00566A2E" w:rsidRPr="004F6779" w:rsidRDefault="00566A2E" w:rsidP="00936C4E">
      <w:pPr>
        <w:spacing w:after="0"/>
      </w:pPr>
      <w:r w:rsidRPr="00566A2E">
        <w:t>Методы ВОЗ и источники данных о глобальных причинах смертности, 2000–2012 гг.</w:t>
      </w:r>
      <w:r>
        <w:t xml:space="preserve"> </w:t>
      </w:r>
      <w:hyperlink r:id="rId17" w:history="1">
        <w:r w:rsidRPr="00566A2E">
          <w:rPr>
            <w:rStyle w:val="ac"/>
            <w:lang w:val="en-GB"/>
          </w:rPr>
          <w:t>https</w:t>
        </w:r>
        <w:r w:rsidRPr="004F6779">
          <w:rPr>
            <w:rStyle w:val="ac"/>
          </w:rPr>
          <w:t>://</w:t>
        </w:r>
        <w:proofErr w:type="spellStart"/>
        <w:r w:rsidRPr="00566A2E">
          <w:rPr>
            <w:rStyle w:val="ac"/>
            <w:lang w:val="en-GB"/>
          </w:rPr>
          <w:t>cdn</w:t>
        </w:r>
        <w:proofErr w:type="spellEnd"/>
        <w:r w:rsidRPr="004F6779">
          <w:rPr>
            <w:rStyle w:val="ac"/>
          </w:rPr>
          <w:t>.</w:t>
        </w:r>
        <w:r w:rsidRPr="00566A2E">
          <w:rPr>
            <w:rStyle w:val="ac"/>
            <w:lang w:val="en-GB"/>
          </w:rPr>
          <w:t>who</w:t>
        </w:r>
        <w:r w:rsidRPr="004F6779">
          <w:rPr>
            <w:rStyle w:val="ac"/>
          </w:rPr>
          <w:t>.</w:t>
        </w:r>
        <w:proofErr w:type="spellStart"/>
        <w:r w:rsidRPr="00566A2E">
          <w:rPr>
            <w:rStyle w:val="ac"/>
            <w:lang w:val="en-GB"/>
          </w:rPr>
          <w:t>int</w:t>
        </w:r>
        <w:proofErr w:type="spellEnd"/>
        <w:r w:rsidRPr="004F6779">
          <w:rPr>
            <w:rStyle w:val="ac"/>
          </w:rPr>
          <w:t>/</w:t>
        </w:r>
        <w:r w:rsidRPr="00566A2E">
          <w:rPr>
            <w:rStyle w:val="ac"/>
            <w:lang w:val="en-GB"/>
          </w:rPr>
          <w:t>media</w:t>
        </w:r>
        <w:r w:rsidRPr="004F6779">
          <w:rPr>
            <w:rStyle w:val="ac"/>
          </w:rPr>
          <w:t>/</w:t>
        </w:r>
        <w:r w:rsidRPr="00566A2E">
          <w:rPr>
            <w:rStyle w:val="ac"/>
            <w:lang w:val="en-GB"/>
          </w:rPr>
          <w:t>docs</w:t>
        </w:r>
        <w:r w:rsidRPr="004F6779">
          <w:rPr>
            <w:rStyle w:val="ac"/>
          </w:rPr>
          <w:t>/</w:t>
        </w:r>
        <w:r w:rsidRPr="00566A2E">
          <w:rPr>
            <w:rStyle w:val="ac"/>
            <w:lang w:val="en-GB"/>
          </w:rPr>
          <w:t>default</w:t>
        </w:r>
        <w:r w:rsidRPr="004F6779">
          <w:rPr>
            <w:rStyle w:val="ac"/>
          </w:rPr>
          <w:t>-</w:t>
        </w:r>
        <w:r w:rsidRPr="00566A2E">
          <w:rPr>
            <w:rStyle w:val="ac"/>
            <w:lang w:val="en-GB"/>
          </w:rPr>
          <w:t>source</w:t>
        </w:r>
        <w:r w:rsidRPr="004F6779">
          <w:rPr>
            <w:rStyle w:val="ac"/>
          </w:rPr>
          <w:t>/</w:t>
        </w:r>
        <w:proofErr w:type="spellStart"/>
        <w:r w:rsidRPr="00566A2E">
          <w:rPr>
            <w:rStyle w:val="ac"/>
            <w:lang w:val="en-GB"/>
          </w:rPr>
          <w:t>gho</w:t>
        </w:r>
        <w:proofErr w:type="spellEnd"/>
        <w:r w:rsidRPr="004F6779">
          <w:rPr>
            <w:rStyle w:val="ac"/>
          </w:rPr>
          <w:t>-</w:t>
        </w:r>
        <w:r w:rsidRPr="00566A2E">
          <w:rPr>
            <w:rStyle w:val="ac"/>
            <w:lang w:val="en-GB"/>
          </w:rPr>
          <w:t>documents</w:t>
        </w:r>
        <w:r w:rsidRPr="004F6779">
          <w:rPr>
            <w:rStyle w:val="ac"/>
          </w:rPr>
          <w:t>/</w:t>
        </w:r>
        <w:r w:rsidRPr="00566A2E">
          <w:rPr>
            <w:rStyle w:val="ac"/>
            <w:lang w:val="en-GB"/>
          </w:rPr>
          <w:t>global</w:t>
        </w:r>
        <w:r w:rsidRPr="004F6779">
          <w:rPr>
            <w:rStyle w:val="ac"/>
          </w:rPr>
          <w:t>-</w:t>
        </w:r>
        <w:r w:rsidRPr="00566A2E">
          <w:rPr>
            <w:rStyle w:val="ac"/>
            <w:lang w:val="en-GB"/>
          </w:rPr>
          <w:t>health</w:t>
        </w:r>
        <w:r w:rsidRPr="004F6779">
          <w:rPr>
            <w:rStyle w:val="ac"/>
          </w:rPr>
          <w:t>-</w:t>
        </w:r>
        <w:r w:rsidRPr="00566A2E">
          <w:rPr>
            <w:rStyle w:val="ac"/>
            <w:lang w:val="en-GB"/>
          </w:rPr>
          <w:t>estimates</w:t>
        </w:r>
        <w:r w:rsidRPr="004F6779">
          <w:rPr>
            <w:rStyle w:val="ac"/>
          </w:rPr>
          <w:t>/</w:t>
        </w:r>
        <w:proofErr w:type="spellStart"/>
        <w:r w:rsidRPr="00566A2E">
          <w:rPr>
            <w:rStyle w:val="ac"/>
            <w:lang w:val="en-GB"/>
          </w:rPr>
          <w:t>ghe</w:t>
        </w:r>
        <w:proofErr w:type="spellEnd"/>
        <w:r w:rsidRPr="004F6779">
          <w:rPr>
            <w:rStyle w:val="ac"/>
          </w:rPr>
          <w:t>2019_</w:t>
        </w:r>
        <w:r w:rsidRPr="00566A2E">
          <w:rPr>
            <w:rStyle w:val="ac"/>
            <w:lang w:val="en-GB"/>
          </w:rPr>
          <w:t>cod</w:t>
        </w:r>
        <w:r w:rsidRPr="004F6779">
          <w:rPr>
            <w:rStyle w:val="ac"/>
          </w:rPr>
          <w:t>_</w:t>
        </w:r>
        <w:r w:rsidRPr="00566A2E">
          <w:rPr>
            <w:rStyle w:val="ac"/>
            <w:lang w:val="en-GB"/>
          </w:rPr>
          <w:t>methods</w:t>
        </w:r>
        <w:r w:rsidRPr="004F6779">
          <w:rPr>
            <w:rStyle w:val="ac"/>
          </w:rPr>
          <w:t>.</w:t>
        </w:r>
        <w:r w:rsidRPr="00566A2E">
          <w:rPr>
            <w:rStyle w:val="ac"/>
            <w:lang w:val="en-GB"/>
          </w:rPr>
          <w:t>pdf</w:t>
        </w:r>
      </w:hyperlink>
    </w:p>
    <w:p w:rsidR="00774510" w:rsidRDefault="00774510" w:rsidP="00936C4E">
      <w:pPr>
        <w:spacing w:after="0"/>
        <w:rPr>
          <w:b/>
        </w:rPr>
      </w:pPr>
    </w:p>
    <w:p w:rsidR="00FE4F50" w:rsidRDefault="00566A2E" w:rsidP="00936C4E">
      <w:pPr>
        <w:spacing w:after="0"/>
        <w:rPr>
          <w:b/>
        </w:rPr>
      </w:pPr>
      <w:r w:rsidRPr="00566A2E">
        <w:rPr>
          <w:b/>
        </w:rPr>
        <w:t>Ссылки</w:t>
      </w:r>
      <w:r w:rsidRPr="00936C4E">
        <w:rPr>
          <w:b/>
          <w:lang w:val="en-US"/>
        </w:rPr>
        <w:t>:</w:t>
      </w:r>
    </w:p>
    <w:p w:rsidR="00774510" w:rsidRPr="00774510" w:rsidRDefault="00774510" w:rsidP="00936C4E">
      <w:pPr>
        <w:spacing w:after="0"/>
        <w:rPr>
          <w:b/>
        </w:rPr>
      </w:pPr>
    </w:p>
    <w:p w:rsidR="00936C4E" w:rsidRPr="00936C4E" w:rsidRDefault="00936C4E" w:rsidP="00936C4E">
      <w:pPr>
        <w:spacing w:after="0"/>
        <w:rPr>
          <w:lang w:val="en-US"/>
        </w:rPr>
      </w:pPr>
      <w:proofErr w:type="spellStart"/>
      <w:proofErr w:type="gramStart"/>
      <w:r w:rsidRPr="00936C4E">
        <w:rPr>
          <w:lang w:val="en-US"/>
        </w:rPr>
        <w:t>Clasen</w:t>
      </w:r>
      <w:proofErr w:type="spellEnd"/>
      <w:r w:rsidRPr="00936C4E">
        <w:rPr>
          <w:lang w:val="en-US"/>
        </w:rPr>
        <w:t xml:space="preserve">, T., </w:t>
      </w:r>
      <w:proofErr w:type="spellStart"/>
      <w:r w:rsidRPr="00936C4E">
        <w:rPr>
          <w:lang w:val="en-US"/>
        </w:rPr>
        <w:t>Prüss-Ustün</w:t>
      </w:r>
      <w:proofErr w:type="spellEnd"/>
      <w:r w:rsidRPr="00936C4E">
        <w:rPr>
          <w:lang w:val="en-US"/>
        </w:rPr>
        <w:t xml:space="preserve">, A., Mathers, C. D., Cumming, O., </w:t>
      </w:r>
      <w:proofErr w:type="spellStart"/>
      <w:r w:rsidRPr="00936C4E">
        <w:rPr>
          <w:lang w:val="en-US"/>
        </w:rPr>
        <w:t>Cairncross</w:t>
      </w:r>
      <w:proofErr w:type="spellEnd"/>
      <w:r w:rsidRPr="00936C4E">
        <w:rPr>
          <w:lang w:val="en-US"/>
        </w:rPr>
        <w:t xml:space="preserve">, S., &amp; </w:t>
      </w:r>
      <w:proofErr w:type="spellStart"/>
      <w:r w:rsidRPr="00936C4E">
        <w:rPr>
          <w:lang w:val="en-US"/>
        </w:rPr>
        <w:t>Colford</w:t>
      </w:r>
      <w:proofErr w:type="spellEnd"/>
      <w:r w:rsidRPr="00936C4E">
        <w:rPr>
          <w:lang w:val="en-US"/>
        </w:rPr>
        <w:t>, J. M. (2014).</w:t>
      </w:r>
      <w:proofErr w:type="gramEnd"/>
      <w:r w:rsidRPr="00936C4E">
        <w:rPr>
          <w:lang w:val="en-US"/>
        </w:rPr>
        <w:t xml:space="preserve"> </w:t>
      </w:r>
      <w:proofErr w:type="gramStart"/>
      <w:r w:rsidRPr="00936C4E">
        <w:rPr>
          <w:lang w:val="en-US"/>
        </w:rPr>
        <w:t>Estimating the impact of unsafe water, sanitation and hygiene on the global burden of disease: evolving and alternative methods.</w:t>
      </w:r>
      <w:proofErr w:type="gramEnd"/>
      <w:r w:rsidRPr="00936C4E">
        <w:rPr>
          <w:lang w:val="en-US"/>
        </w:rPr>
        <w:t xml:space="preserve"> Trop Med </w:t>
      </w:r>
      <w:proofErr w:type="spellStart"/>
      <w:r w:rsidRPr="00936C4E">
        <w:rPr>
          <w:lang w:val="en-US"/>
        </w:rPr>
        <w:t>Int</w:t>
      </w:r>
      <w:proofErr w:type="spellEnd"/>
      <w:r w:rsidRPr="00936C4E">
        <w:rPr>
          <w:lang w:val="en-US"/>
        </w:rPr>
        <w:t xml:space="preserve"> Health, 19(8), 884-893. </w:t>
      </w:r>
      <w:hyperlink r:id="rId18" w:history="1">
        <w:r w:rsidRPr="00936C4E">
          <w:rPr>
            <w:rStyle w:val="ac"/>
            <w:lang w:val="en-US"/>
          </w:rPr>
          <w:t>https://doi.org/10.1111/tmi.12330</w:t>
        </w:r>
      </w:hyperlink>
    </w:p>
    <w:p w:rsidR="00936C4E" w:rsidRPr="00936C4E" w:rsidRDefault="00936C4E" w:rsidP="00936C4E">
      <w:pPr>
        <w:spacing w:after="0"/>
        <w:rPr>
          <w:lang w:val="en-US"/>
        </w:rPr>
      </w:pPr>
    </w:p>
    <w:p w:rsidR="00936C4E" w:rsidRPr="00936C4E" w:rsidRDefault="00936C4E" w:rsidP="00936C4E">
      <w:pPr>
        <w:spacing w:after="0"/>
        <w:rPr>
          <w:lang w:val="en-US"/>
        </w:rPr>
      </w:pPr>
      <w:proofErr w:type="spellStart"/>
      <w:proofErr w:type="gramStart"/>
      <w:r w:rsidRPr="00936C4E">
        <w:rPr>
          <w:lang w:val="en-US"/>
        </w:rPr>
        <w:t>Ezzati</w:t>
      </w:r>
      <w:proofErr w:type="spellEnd"/>
      <w:r w:rsidRPr="00936C4E">
        <w:rPr>
          <w:lang w:val="en-US"/>
        </w:rPr>
        <w:t>, M., Lopez, A. D., Rodgers, A., Vander Hoorn, S., Murray, C. J., &amp; Group, C. R. A. C. (2002).</w:t>
      </w:r>
      <w:proofErr w:type="gramEnd"/>
      <w:r w:rsidRPr="00936C4E">
        <w:rPr>
          <w:lang w:val="en-US"/>
        </w:rPr>
        <w:t xml:space="preserve"> </w:t>
      </w:r>
      <w:proofErr w:type="gramStart"/>
      <w:r w:rsidRPr="00936C4E">
        <w:rPr>
          <w:lang w:val="en-US"/>
        </w:rPr>
        <w:t>Selected major risk factors and global and regional burden of disease.</w:t>
      </w:r>
      <w:proofErr w:type="gramEnd"/>
      <w:r w:rsidRPr="00936C4E">
        <w:rPr>
          <w:lang w:val="en-US"/>
        </w:rPr>
        <w:t xml:space="preserve"> Lancet, 360(9343), 1347-1360. </w:t>
      </w:r>
      <w:hyperlink r:id="rId19" w:history="1">
        <w:r w:rsidRPr="00936C4E">
          <w:rPr>
            <w:rStyle w:val="ac"/>
            <w:lang w:val="en-US"/>
          </w:rPr>
          <w:t>https://doi.org/10.1016/S0140-6736(02)11403-6</w:t>
        </w:r>
      </w:hyperlink>
    </w:p>
    <w:p w:rsidR="00936C4E" w:rsidRPr="00936C4E" w:rsidRDefault="00936C4E" w:rsidP="00936C4E">
      <w:pPr>
        <w:spacing w:after="0"/>
        <w:rPr>
          <w:lang w:val="en-US"/>
        </w:rPr>
      </w:pPr>
    </w:p>
    <w:p w:rsidR="00936C4E" w:rsidRPr="00936C4E" w:rsidRDefault="00936C4E" w:rsidP="00936C4E">
      <w:pPr>
        <w:spacing w:after="0"/>
        <w:rPr>
          <w:lang w:val="en-US"/>
        </w:rPr>
      </w:pPr>
      <w:r w:rsidRPr="00936C4E">
        <w:rPr>
          <w:lang w:val="en-US"/>
        </w:rPr>
        <w:t>'</w:t>
      </w:r>
      <w:proofErr w:type="spellStart"/>
      <w:r w:rsidRPr="00936C4E">
        <w:rPr>
          <w:lang w:val="en-US"/>
        </w:rPr>
        <w:t>Prüss-Ustün</w:t>
      </w:r>
      <w:proofErr w:type="spellEnd"/>
      <w:r w:rsidRPr="00936C4E">
        <w:rPr>
          <w:lang w:val="en-US"/>
        </w:rPr>
        <w:t xml:space="preserve">, A., Bartram, J., </w:t>
      </w:r>
      <w:proofErr w:type="spellStart"/>
      <w:r w:rsidRPr="00936C4E">
        <w:rPr>
          <w:lang w:val="en-US"/>
        </w:rPr>
        <w:t>Clasen</w:t>
      </w:r>
      <w:proofErr w:type="spellEnd"/>
      <w:r w:rsidRPr="00936C4E">
        <w:rPr>
          <w:lang w:val="en-US"/>
        </w:rPr>
        <w:t xml:space="preserve">, T., </w:t>
      </w:r>
      <w:proofErr w:type="spellStart"/>
      <w:r w:rsidRPr="00936C4E">
        <w:rPr>
          <w:lang w:val="en-US"/>
        </w:rPr>
        <w:t>Colford</w:t>
      </w:r>
      <w:proofErr w:type="spellEnd"/>
      <w:r w:rsidRPr="00936C4E">
        <w:rPr>
          <w:lang w:val="en-US"/>
        </w:rPr>
        <w:t>, J. M., Cumming, O., Curtis, V</w:t>
      </w:r>
      <w:proofErr w:type="gramStart"/>
      <w:r w:rsidRPr="00936C4E">
        <w:rPr>
          <w:lang w:val="en-US"/>
        </w:rPr>
        <w:t>., . . .</w:t>
      </w:r>
      <w:proofErr w:type="gramEnd"/>
      <w:r w:rsidRPr="00936C4E">
        <w:rPr>
          <w:lang w:val="en-US"/>
        </w:rPr>
        <w:t xml:space="preserve"> </w:t>
      </w:r>
      <w:proofErr w:type="spellStart"/>
      <w:r w:rsidRPr="00936C4E">
        <w:rPr>
          <w:lang w:val="en-US"/>
        </w:rPr>
        <w:t>Cairncross</w:t>
      </w:r>
      <w:proofErr w:type="spellEnd"/>
      <w:r w:rsidRPr="00936C4E">
        <w:rPr>
          <w:lang w:val="en-US"/>
        </w:rPr>
        <w:t xml:space="preserve">, S. (2014). Burden of disease from inadequate water, sanitation and hygiene in low- and middle-income settings: a retrospective analysis of data from 145 countries. Trop Med </w:t>
      </w:r>
      <w:proofErr w:type="spellStart"/>
      <w:r w:rsidRPr="00936C4E">
        <w:rPr>
          <w:lang w:val="en-US"/>
        </w:rPr>
        <w:t>Int</w:t>
      </w:r>
      <w:proofErr w:type="spellEnd"/>
      <w:r w:rsidRPr="00936C4E">
        <w:rPr>
          <w:lang w:val="en-US"/>
        </w:rPr>
        <w:t xml:space="preserve"> Health, 19(8), 894-905. </w:t>
      </w:r>
      <w:hyperlink r:id="rId20" w:history="1">
        <w:r w:rsidRPr="00936C4E">
          <w:rPr>
            <w:rStyle w:val="ac"/>
            <w:lang w:val="en-US"/>
          </w:rPr>
          <w:t>https://doi.org/10.1111/tmi.12329</w:t>
        </w:r>
      </w:hyperlink>
    </w:p>
    <w:p w:rsidR="00936C4E" w:rsidRPr="00936C4E" w:rsidRDefault="00936C4E" w:rsidP="00936C4E">
      <w:pPr>
        <w:spacing w:after="0"/>
        <w:rPr>
          <w:lang w:val="en-US"/>
        </w:rPr>
      </w:pPr>
    </w:p>
    <w:p w:rsidR="00936C4E" w:rsidRPr="00936C4E" w:rsidRDefault="00936C4E" w:rsidP="00936C4E">
      <w:pPr>
        <w:spacing w:after="0"/>
        <w:rPr>
          <w:lang w:val="en-GB"/>
        </w:rPr>
      </w:pPr>
      <w:proofErr w:type="spellStart"/>
      <w:r w:rsidRPr="00936C4E">
        <w:rPr>
          <w:lang w:val="en-GB"/>
        </w:rPr>
        <w:t>Prüss-Ustün</w:t>
      </w:r>
      <w:proofErr w:type="spellEnd"/>
      <w:r w:rsidRPr="00936C4E">
        <w:rPr>
          <w:lang w:val="en-GB"/>
        </w:rPr>
        <w:t xml:space="preserve"> A, Wolf J, Bartram J, </w:t>
      </w:r>
      <w:proofErr w:type="spellStart"/>
      <w:r w:rsidRPr="00936C4E">
        <w:rPr>
          <w:lang w:val="en-GB"/>
        </w:rPr>
        <w:t>Clasen</w:t>
      </w:r>
      <w:proofErr w:type="spellEnd"/>
      <w:r w:rsidRPr="00936C4E">
        <w:rPr>
          <w:lang w:val="en-GB"/>
        </w:rPr>
        <w:t xml:space="preserve"> T, Cumming O, Freeman MC, Gordon B, Hunter PR, </w:t>
      </w:r>
      <w:proofErr w:type="spellStart"/>
      <w:r w:rsidRPr="00936C4E">
        <w:rPr>
          <w:lang w:val="en-GB"/>
        </w:rPr>
        <w:t>Medlicott</w:t>
      </w:r>
      <w:proofErr w:type="spellEnd"/>
      <w:r w:rsidRPr="00936C4E">
        <w:rPr>
          <w:lang w:val="en-GB"/>
        </w:rPr>
        <w:t xml:space="preserve"> K, Johnston R. (2019) Burden of disease from inadequate water, sanitation and hygiene for selected adverse health outcomes: an updated analysis with a focus on low- and middle-income countries. </w:t>
      </w:r>
      <w:proofErr w:type="gramStart"/>
      <w:r w:rsidRPr="00936C4E">
        <w:rPr>
          <w:lang w:val="en-GB"/>
        </w:rPr>
        <w:t>International journal of hygiene and environmental health.</w:t>
      </w:r>
      <w:proofErr w:type="gramEnd"/>
      <w:r w:rsidRPr="00936C4E">
        <w:rPr>
          <w:lang w:val="en-GB"/>
        </w:rPr>
        <w:t xml:space="preserve"> 222(5): 765-77.</w:t>
      </w:r>
    </w:p>
    <w:p w:rsidR="00936C4E" w:rsidRPr="00936C4E" w:rsidRDefault="005E0FD6" w:rsidP="00936C4E">
      <w:pPr>
        <w:spacing w:after="0"/>
        <w:rPr>
          <w:lang w:val="en-GB"/>
        </w:rPr>
      </w:pPr>
      <w:hyperlink r:id="rId21" w:tgtFrame="_blank" w:tooltip="Persistent link using digital object identifier" w:history="1">
        <w:r w:rsidR="00936C4E" w:rsidRPr="00936C4E">
          <w:rPr>
            <w:rStyle w:val="ac"/>
            <w:lang w:val="en-GB"/>
          </w:rPr>
          <w:t>https://doi.org/10.1016/j.ijheh.2019.05.004</w:t>
        </w:r>
      </w:hyperlink>
    </w:p>
    <w:p w:rsidR="00936C4E" w:rsidRPr="00936C4E" w:rsidRDefault="00936C4E" w:rsidP="00936C4E">
      <w:pPr>
        <w:spacing w:after="0"/>
        <w:rPr>
          <w:lang w:val="en-US"/>
        </w:rPr>
      </w:pPr>
    </w:p>
    <w:p w:rsidR="00936C4E" w:rsidRPr="00936C4E" w:rsidRDefault="00936C4E" w:rsidP="00936C4E">
      <w:pPr>
        <w:spacing w:after="0"/>
        <w:rPr>
          <w:lang w:val="en-US"/>
        </w:rPr>
      </w:pPr>
      <w:r w:rsidRPr="00936C4E">
        <w:rPr>
          <w:lang w:val="en-US"/>
        </w:rPr>
        <w:t xml:space="preserve">'WHO (2014). </w:t>
      </w:r>
      <w:proofErr w:type="gramStart"/>
      <w:r w:rsidRPr="00936C4E">
        <w:rPr>
          <w:lang w:val="en-US"/>
        </w:rPr>
        <w:t xml:space="preserve">Preventing </w:t>
      </w:r>
      <w:proofErr w:type="spellStart"/>
      <w:r w:rsidRPr="00936C4E">
        <w:rPr>
          <w:lang w:val="en-US"/>
        </w:rPr>
        <w:t>diarrhoea</w:t>
      </w:r>
      <w:proofErr w:type="spellEnd"/>
      <w:r w:rsidRPr="00936C4E">
        <w:rPr>
          <w:lang w:val="en-US"/>
        </w:rPr>
        <w:t xml:space="preserve"> through better water, sanitation and</w:t>
      </w:r>
      <w:r w:rsidR="00466EFB">
        <w:rPr>
          <w:lang w:val="en-US"/>
        </w:rPr>
        <w:t xml:space="preserve"> hygiene: exposures and impacts</w:t>
      </w:r>
      <w:r w:rsidR="00466EFB" w:rsidRPr="00466EFB">
        <w:rPr>
          <w:lang w:val="en-US"/>
        </w:rPr>
        <w:t> </w:t>
      </w:r>
      <w:r w:rsidR="00466EFB">
        <w:rPr>
          <w:lang w:val="en-US"/>
        </w:rPr>
        <w:t>in</w:t>
      </w:r>
      <w:r w:rsidR="00466EFB" w:rsidRPr="00466EFB">
        <w:rPr>
          <w:lang w:val="en-US"/>
        </w:rPr>
        <w:t> </w:t>
      </w:r>
      <w:r w:rsidR="00466EFB">
        <w:rPr>
          <w:lang w:val="en-US"/>
        </w:rPr>
        <w:t>low-</w:t>
      </w:r>
      <w:r w:rsidR="00466EFB" w:rsidRPr="00466EFB">
        <w:rPr>
          <w:lang w:val="en-US"/>
        </w:rPr>
        <w:t> </w:t>
      </w:r>
      <w:r w:rsidR="00466EFB">
        <w:rPr>
          <w:lang w:val="en-US"/>
        </w:rPr>
        <w:t>and</w:t>
      </w:r>
      <w:r w:rsidR="00466EFB" w:rsidRPr="00466EFB">
        <w:rPr>
          <w:lang w:val="en-US"/>
        </w:rPr>
        <w:t> </w:t>
      </w:r>
      <w:r w:rsidR="00466EFB">
        <w:rPr>
          <w:lang w:val="en-US"/>
        </w:rPr>
        <w:t>middle-income</w:t>
      </w:r>
      <w:r w:rsidR="00466EFB" w:rsidRPr="00466EFB">
        <w:rPr>
          <w:lang w:val="en-US"/>
        </w:rPr>
        <w:t> </w:t>
      </w:r>
      <w:r w:rsidRPr="00936C4E">
        <w:rPr>
          <w:lang w:val="en-US"/>
        </w:rPr>
        <w:t>countries.</w:t>
      </w:r>
      <w:proofErr w:type="gramEnd"/>
      <w:r w:rsidRPr="00936C4E">
        <w:rPr>
          <w:lang w:val="en-US"/>
        </w:rPr>
        <w:t xml:space="preserve"> </w:t>
      </w:r>
      <w:hyperlink r:id="rId22" w:history="1">
        <w:r w:rsidRPr="00936C4E">
          <w:rPr>
            <w:rStyle w:val="ac"/>
            <w:lang w:val="en-US"/>
          </w:rPr>
          <w:t>https://www.who.int/publications/i/item/9789241564823</w:t>
        </w:r>
      </w:hyperlink>
      <w:r w:rsidRPr="00936C4E">
        <w:rPr>
          <w:lang w:val="en-US"/>
        </w:rPr>
        <w:t xml:space="preserve"> </w:t>
      </w:r>
    </w:p>
    <w:p w:rsidR="00936C4E" w:rsidRPr="00936C4E" w:rsidRDefault="00936C4E" w:rsidP="00936C4E">
      <w:pPr>
        <w:spacing w:after="0"/>
        <w:rPr>
          <w:lang w:val="en-GB"/>
        </w:rPr>
      </w:pPr>
    </w:p>
    <w:p w:rsidR="00936C4E" w:rsidRPr="00936C4E" w:rsidRDefault="00936C4E" w:rsidP="00936C4E">
      <w:pPr>
        <w:spacing w:after="0"/>
        <w:rPr>
          <w:lang w:val="en-GB"/>
        </w:rPr>
      </w:pPr>
      <w:proofErr w:type="gramStart"/>
      <w:r w:rsidRPr="00936C4E">
        <w:rPr>
          <w:lang w:val="en-GB"/>
        </w:rPr>
        <w:t xml:space="preserve">Wolf, J., Bonjour, S., &amp; </w:t>
      </w:r>
      <w:proofErr w:type="spellStart"/>
      <w:r w:rsidRPr="00936C4E">
        <w:rPr>
          <w:lang w:val="en-GB"/>
        </w:rPr>
        <w:t>Prüss-Ustün</w:t>
      </w:r>
      <w:proofErr w:type="spellEnd"/>
      <w:r w:rsidRPr="00936C4E">
        <w:rPr>
          <w:lang w:val="en-GB"/>
        </w:rPr>
        <w:t>, A. (2013).</w:t>
      </w:r>
      <w:proofErr w:type="gramEnd"/>
      <w:r w:rsidRPr="00936C4E">
        <w:rPr>
          <w:lang w:val="en-GB"/>
        </w:rPr>
        <w:t xml:space="preserve"> </w:t>
      </w:r>
      <w:proofErr w:type="gramStart"/>
      <w:r w:rsidRPr="00936C4E">
        <w:rPr>
          <w:lang w:val="en-GB"/>
        </w:rPr>
        <w:t xml:space="preserve">An exploration of multilevel </w:t>
      </w:r>
      <w:proofErr w:type="spellStart"/>
      <w:r w:rsidRPr="00936C4E">
        <w:rPr>
          <w:lang w:val="en-GB"/>
        </w:rPr>
        <w:t>modeling</w:t>
      </w:r>
      <w:proofErr w:type="spellEnd"/>
      <w:r w:rsidRPr="00936C4E">
        <w:rPr>
          <w:lang w:val="en-GB"/>
        </w:rPr>
        <w:t xml:space="preserve"> for estimating access to drinking-water and sanitation.</w:t>
      </w:r>
      <w:proofErr w:type="gramEnd"/>
      <w:r w:rsidRPr="00936C4E">
        <w:rPr>
          <w:lang w:val="en-GB"/>
        </w:rPr>
        <w:t> </w:t>
      </w:r>
      <w:r w:rsidRPr="00936C4E">
        <w:rPr>
          <w:i/>
          <w:iCs/>
          <w:lang w:val="en-GB"/>
        </w:rPr>
        <w:t>Journal of Water and Health</w:t>
      </w:r>
      <w:r w:rsidRPr="00936C4E">
        <w:rPr>
          <w:lang w:val="en-GB"/>
        </w:rPr>
        <w:t>, </w:t>
      </w:r>
      <w:r w:rsidRPr="00936C4E">
        <w:rPr>
          <w:i/>
          <w:iCs/>
          <w:lang w:val="en-GB"/>
        </w:rPr>
        <w:t>11</w:t>
      </w:r>
      <w:r w:rsidRPr="00936C4E">
        <w:rPr>
          <w:lang w:val="en-GB"/>
        </w:rPr>
        <w:t>(1), 64-77</w:t>
      </w:r>
    </w:p>
    <w:p w:rsidR="00FE4F50" w:rsidRPr="00936C4E" w:rsidRDefault="005E0FD6" w:rsidP="00936C4E">
      <w:pPr>
        <w:spacing w:after="0"/>
      </w:pPr>
      <w:hyperlink r:id="rId23" w:tgtFrame="_blank" w:history="1">
        <w:r w:rsidR="00936C4E" w:rsidRPr="00936C4E">
          <w:rPr>
            <w:rStyle w:val="ac"/>
            <w:lang w:val="en-GB"/>
          </w:rPr>
          <w:t>https://doi.org/10.2166/wh.2012.107</w:t>
        </w:r>
      </w:hyperlink>
    </w:p>
    <w:sectPr w:rsidR="00FE4F50" w:rsidRPr="00936C4E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D6" w:rsidRDefault="005E0FD6" w:rsidP="00F73DBC">
      <w:pPr>
        <w:spacing w:after="0" w:line="240" w:lineRule="auto"/>
      </w:pPr>
      <w:r>
        <w:separator/>
      </w:r>
    </w:p>
  </w:endnote>
  <w:endnote w:type="continuationSeparator" w:id="0">
    <w:p w:rsidR="005E0FD6" w:rsidRDefault="005E0FD6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D6" w:rsidRDefault="005E0FD6" w:rsidP="00F73DBC">
      <w:pPr>
        <w:spacing w:after="0" w:line="240" w:lineRule="auto"/>
      </w:pPr>
      <w:r>
        <w:separator/>
      </w:r>
    </w:p>
  </w:footnote>
  <w:footnote w:type="continuationSeparator" w:id="0">
    <w:p w:rsidR="005E0FD6" w:rsidRDefault="005E0FD6" w:rsidP="00F73DBC">
      <w:pPr>
        <w:spacing w:after="0" w:line="240" w:lineRule="auto"/>
      </w:pPr>
      <w:r>
        <w:continuationSeparator/>
      </w:r>
    </w:p>
  </w:footnote>
  <w:footnote w:id="1">
    <w:p w:rsidR="00A04890" w:rsidRDefault="00A04890">
      <w:pPr>
        <w:pStyle w:val="a4"/>
      </w:pPr>
      <w:r>
        <w:rPr>
          <w:rStyle w:val="a6"/>
        </w:rPr>
        <w:footnoteRef/>
      </w:r>
      <w:r w:rsidRPr="00A04890">
        <w:rPr>
          <w:lang w:val="en-US"/>
        </w:rPr>
        <w:t xml:space="preserve"> </w:t>
      </w:r>
      <w:proofErr w:type="spellStart"/>
      <w:r w:rsidRPr="00A04890">
        <w:rPr>
          <w:lang w:val="en-US"/>
        </w:rPr>
        <w:t>Prüss-Ustün</w:t>
      </w:r>
      <w:proofErr w:type="spellEnd"/>
      <w:r w:rsidRPr="00A04890">
        <w:rPr>
          <w:lang w:val="en-US"/>
        </w:rPr>
        <w:t xml:space="preserve"> A, Wolf J, Bartram J, </w:t>
      </w:r>
      <w:proofErr w:type="spellStart"/>
      <w:r w:rsidRPr="00A04890">
        <w:rPr>
          <w:lang w:val="en-US"/>
        </w:rPr>
        <w:t>Clasen</w:t>
      </w:r>
      <w:proofErr w:type="spellEnd"/>
      <w:r w:rsidRPr="00A04890">
        <w:rPr>
          <w:lang w:val="en-US"/>
        </w:rPr>
        <w:t xml:space="preserve"> T, Cumming O, Freeman MC, Gordon B, Hunter PR, </w:t>
      </w:r>
      <w:proofErr w:type="spellStart"/>
      <w:r w:rsidRPr="00A04890">
        <w:rPr>
          <w:lang w:val="en-US"/>
        </w:rPr>
        <w:t>Medlicott</w:t>
      </w:r>
      <w:proofErr w:type="spellEnd"/>
      <w:r w:rsidRPr="00A04890">
        <w:rPr>
          <w:lang w:val="en-US"/>
        </w:rPr>
        <w:t xml:space="preserve"> K, Johnston R. Burden of disease from inadequate water, sanitation and hygiene for selected adverse health outcomes: an updated analysis with a focus on low- and middle-income countries. </w:t>
      </w:r>
      <w:r w:rsidRPr="00A04890">
        <w:t xml:space="preserve">International </w:t>
      </w:r>
      <w:proofErr w:type="spellStart"/>
      <w:r w:rsidRPr="00A04890">
        <w:t>journal</w:t>
      </w:r>
      <w:proofErr w:type="spellEnd"/>
      <w:r w:rsidRPr="00A04890">
        <w:t xml:space="preserve"> </w:t>
      </w:r>
      <w:proofErr w:type="spellStart"/>
      <w:r w:rsidRPr="00A04890">
        <w:t>of</w:t>
      </w:r>
      <w:proofErr w:type="spellEnd"/>
      <w:r w:rsidRPr="00A04890">
        <w:t xml:space="preserve"> </w:t>
      </w:r>
      <w:proofErr w:type="spellStart"/>
      <w:r w:rsidRPr="00A04890">
        <w:t>hygiene</w:t>
      </w:r>
      <w:proofErr w:type="spellEnd"/>
      <w:r w:rsidRPr="00A04890">
        <w:t xml:space="preserve"> and </w:t>
      </w:r>
      <w:proofErr w:type="spellStart"/>
      <w:r w:rsidRPr="00A04890">
        <w:t>environmental</w:t>
      </w:r>
      <w:proofErr w:type="spellEnd"/>
      <w:r w:rsidRPr="00A04890">
        <w:t xml:space="preserve"> </w:t>
      </w:r>
      <w:proofErr w:type="spellStart"/>
      <w:r w:rsidRPr="00A04890">
        <w:t>health</w:t>
      </w:r>
      <w:proofErr w:type="spellEnd"/>
      <w:r w:rsidRPr="00A04890">
        <w:t xml:space="preserve">. 2019 </w:t>
      </w:r>
      <w:proofErr w:type="spellStart"/>
      <w:r w:rsidRPr="00A04890">
        <w:t>Jun</w:t>
      </w:r>
      <w:proofErr w:type="spellEnd"/>
      <w:r w:rsidRPr="00A04890">
        <w:t xml:space="preserve"> 1; 222(5): 765-77.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9508D1" w:rsidRDefault="009508D1" w:rsidP="009508D1">
    <w:pPr>
      <w:pStyle w:val="ae"/>
      <w:jc w:val="right"/>
    </w:pPr>
    <w:r>
      <w:t xml:space="preserve">Последнее обновление: </w:t>
    </w:r>
    <w:r w:rsidR="00EB41D2">
      <w:t>июль</w:t>
    </w:r>
    <w:r w:rsidR="00781DE7">
      <w:t xml:space="preserve"> 2022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E5291"/>
    <w:multiLevelType w:val="hybridMultilevel"/>
    <w:tmpl w:val="7FA8D274"/>
    <w:lvl w:ilvl="0" w:tplc="60E46FE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4A4A4A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356FB"/>
    <w:rsid w:val="00040034"/>
    <w:rsid w:val="000476F9"/>
    <w:rsid w:val="00053D20"/>
    <w:rsid w:val="00095761"/>
    <w:rsid w:val="000A210D"/>
    <w:rsid w:val="000A229E"/>
    <w:rsid w:val="000C5EF5"/>
    <w:rsid w:val="00116248"/>
    <w:rsid w:val="001470A2"/>
    <w:rsid w:val="00165896"/>
    <w:rsid w:val="001664EF"/>
    <w:rsid w:val="001A163A"/>
    <w:rsid w:val="001E2FC9"/>
    <w:rsid w:val="002132FB"/>
    <w:rsid w:val="00253F73"/>
    <w:rsid w:val="00281117"/>
    <w:rsid w:val="00282B41"/>
    <w:rsid w:val="00291FA0"/>
    <w:rsid w:val="002E122C"/>
    <w:rsid w:val="002E15F9"/>
    <w:rsid w:val="002E4362"/>
    <w:rsid w:val="002F56E3"/>
    <w:rsid w:val="002F63E5"/>
    <w:rsid w:val="00303D71"/>
    <w:rsid w:val="003143BC"/>
    <w:rsid w:val="00350FCA"/>
    <w:rsid w:val="003746BC"/>
    <w:rsid w:val="003800D6"/>
    <w:rsid w:val="003859BD"/>
    <w:rsid w:val="003B5405"/>
    <w:rsid w:val="003C1545"/>
    <w:rsid w:val="003D58DC"/>
    <w:rsid w:val="00407E4E"/>
    <w:rsid w:val="004143B4"/>
    <w:rsid w:val="00421928"/>
    <w:rsid w:val="00466EFB"/>
    <w:rsid w:val="004C2724"/>
    <w:rsid w:val="004E087E"/>
    <w:rsid w:val="004F6779"/>
    <w:rsid w:val="0053568E"/>
    <w:rsid w:val="00555523"/>
    <w:rsid w:val="00566A2E"/>
    <w:rsid w:val="00571A4A"/>
    <w:rsid w:val="005A309F"/>
    <w:rsid w:val="005E0FD6"/>
    <w:rsid w:val="005E47BD"/>
    <w:rsid w:val="005F1D01"/>
    <w:rsid w:val="005F2C0B"/>
    <w:rsid w:val="00645F94"/>
    <w:rsid w:val="006464F0"/>
    <w:rsid w:val="006704C2"/>
    <w:rsid w:val="00691C88"/>
    <w:rsid w:val="00694160"/>
    <w:rsid w:val="006B260E"/>
    <w:rsid w:val="006B3939"/>
    <w:rsid w:val="006D1539"/>
    <w:rsid w:val="006D7049"/>
    <w:rsid w:val="00702333"/>
    <w:rsid w:val="00705161"/>
    <w:rsid w:val="0075371E"/>
    <w:rsid w:val="00755DA6"/>
    <w:rsid w:val="00774510"/>
    <w:rsid w:val="00780F08"/>
    <w:rsid w:val="00781DE7"/>
    <w:rsid w:val="007A4E30"/>
    <w:rsid w:val="007B0CFD"/>
    <w:rsid w:val="007B3127"/>
    <w:rsid w:val="007C27E0"/>
    <w:rsid w:val="007D1185"/>
    <w:rsid w:val="007F0509"/>
    <w:rsid w:val="007F06DF"/>
    <w:rsid w:val="00812C04"/>
    <w:rsid w:val="00836F3E"/>
    <w:rsid w:val="00853C09"/>
    <w:rsid w:val="00877025"/>
    <w:rsid w:val="00881C5D"/>
    <w:rsid w:val="008823BE"/>
    <w:rsid w:val="008B4D35"/>
    <w:rsid w:val="0093108D"/>
    <w:rsid w:val="00936C4E"/>
    <w:rsid w:val="009508D1"/>
    <w:rsid w:val="00957A62"/>
    <w:rsid w:val="00980F79"/>
    <w:rsid w:val="00982FE8"/>
    <w:rsid w:val="009B282C"/>
    <w:rsid w:val="009C064B"/>
    <w:rsid w:val="009C0EFD"/>
    <w:rsid w:val="009F350B"/>
    <w:rsid w:val="00A04890"/>
    <w:rsid w:val="00A31611"/>
    <w:rsid w:val="00A53D4B"/>
    <w:rsid w:val="00A618FC"/>
    <w:rsid w:val="00A71EC6"/>
    <w:rsid w:val="00A82CD3"/>
    <w:rsid w:val="00A91FDE"/>
    <w:rsid w:val="00AC1A97"/>
    <w:rsid w:val="00AD2AE3"/>
    <w:rsid w:val="00B0378B"/>
    <w:rsid w:val="00B058D0"/>
    <w:rsid w:val="00B43FDE"/>
    <w:rsid w:val="00B7017A"/>
    <w:rsid w:val="00B72F77"/>
    <w:rsid w:val="00B82E46"/>
    <w:rsid w:val="00BD29EC"/>
    <w:rsid w:val="00BE15FB"/>
    <w:rsid w:val="00BE2C5D"/>
    <w:rsid w:val="00BE415C"/>
    <w:rsid w:val="00C47A4A"/>
    <w:rsid w:val="00C8596F"/>
    <w:rsid w:val="00CA1CB1"/>
    <w:rsid w:val="00CA28C0"/>
    <w:rsid w:val="00D03287"/>
    <w:rsid w:val="00D05466"/>
    <w:rsid w:val="00D228E6"/>
    <w:rsid w:val="00D2619D"/>
    <w:rsid w:val="00D625C0"/>
    <w:rsid w:val="00DA19D7"/>
    <w:rsid w:val="00DE318B"/>
    <w:rsid w:val="00E123F7"/>
    <w:rsid w:val="00E219DC"/>
    <w:rsid w:val="00E21B43"/>
    <w:rsid w:val="00E25F86"/>
    <w:rsid w:val="00E27922"/>
    <w:rsid w:val="00E31397"/>
    <w:rsid w:val="00E33CA8"/>
    <w:rsid w:val="00E52174"/>
    <w:rsid w:val="00E641EA"/>
    <w:rsid w:val="00E90BD4"/>
    <w:rsid w:val="00EB362A"/>
    <w:rsid w:val="00EB389E"/>
    <w:rsid w:val="00EB41D2"/>
    <w:rsid w:val="00EE0900"/>
    <w:rsid w:val="00F6371F"/>
    <w:rsid w:val="00F73DBC"/>
    <w:rsid w:val="00F84FF1"/>
    <w:rsid w:val="00F92D6F"/>
    <w:rsid w:val="00FA4765"/>
    <w:rsid w:val="00FB66D9"/>
    <w:rsid w:val="00FD2AA2"/>
    <w:rsid w:val="00FE35CF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F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-11">
    <w:name w:val="Таблица-сетка 1 светлая1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styleId="af4">
    <w:name w:val="No Spacing"/>
    <w:uiPriority w:val="1"/>
    <w:qFormat/>
    <w:rsid w:val="008823B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F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-11">
    <w:name w:val="Таблица-сетка 1 светлая1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styleId="af4">
    <w:name w:val="No Spacing"/>
    <w:uiPriority w:val="1"/>
    <w:qFormat/>
    <w:rsid w:val="008823B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ho.int/data/ddi" TargetMode="External"/><Relationship Id="rId18" Type="http://schemas.openxmlformats.org/officeDocument/2006/relationships/hyperlink" Target="https://doi.org/10.1111/tmi.1233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016/j.ijheh.2019.05.0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who.int/data/ddi" TargetMode="External"/><Relationship Id="rId17" Type="http://schemas.openxmlformats.org/officeDocument/2006/relationships/hyperlink" Target="https://cdn.who.int/media/docs/default-source/gho-documents/global-health-estimates/ghe2019_cod_method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ho.int/data/gho/indicator-metadata-registry/imr-details/2260" TargetMode="External"/><Relationship Id="rId20" Type="http://schemas.openxmlformats.org/officeDocument/2006/relationships/hyperlink" Target="https://doi.org/10.1111/tmi.123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ho.int/data/gho/data/themes/mortality-and-global-health-estimates/ghe-leading-causes-of-death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apps.who.int/gho/data/view.main.INADEQUATEWSHv?lang=en" TargetMode="External"/><Relationship Id="rId23" Type="http://schemas.openxmlformats.org/officeDocument/2006/relationships/hyperlink" Target="https://doi.org/10.2166/wh.2012.107" TargetMode="External"/><Relationship Id="rId10" Type="http://schemas.openxmlformats.org/officeDocument/2006/relationships/hyperlink" Target="http://www.washdata.org" TargetMode="External"/><Relationship Id="rId19" Type="http://schemas.openxmlformats.org/officeDocument/2006/relationships/hyperlink" Target="https://doi.org/10.1016/S0140-6736(02)11403-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pulation.un.org/wpp/" TargetMode="External"/><Relationship Id="rId14" Type="http://schemas.openxmlformats.org/officeDocument/2006/relationships/hyperlink" Target="https://www.who.int/data/ddi" TargetMode="External"/><Relationship Id="rId22" Type="http://schemas.openxmlformats.org/officeDocument/2006/relationships/hyperlink" Target="https://www.who.int/publications/i/item/9789241564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E13A-6B63-4DC6-8EE6-A12A408A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Павлова Ксения Сергеевна</cp:lastModifiedBy>
  <cp:revision>60</cp:revision>
  <dcterms:created xsi:type="dcterms:W3CDTF">2022-02-07T14:51:00Z</dcterms:created>
  <dcterms:modified xsi:type="dcterms:W3CDTF">2024-02-07T13:04:00Z</dcterms:modified>
</cp:coreProperties>
</file>