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3BC" w:rsidRPr="00BD29EC" w:rsidRDefault="003143BC" w:rsidP="00853C09">
      <w:pPr>
        <w:pBdr>
          <w:top w:val="nil"/>
          <w:left w:val="nil"/>
          <w:bottom w:val="nil"/>
          <w:right w:val="nil"/>
          <w:between w:val="nil"/>
          <w:bar w:val="nil"/>
        </w:pBdr>
        <w:spacing w:after="0"/>
        <w:jc w:val="center"/>
        <w:rPr>
          <w:rFonts w:eastAsia="Arial Unicode MS" w:cs="Times New Roman"/>
          <w:b/>
          <w:szCs w:val="24"/>
          <w:bdr w:val="nil"/>
          <w:lang w:eastAsia="ru-RU"/>
        </w:rPr>
      </w:pPr>
    </w:p>
    <w:p w:rsidR="003143BC" w:rsidRPr="00BD29EC" w:rsidRDefault="003143BC" w:rsidP="00853C09">
      <w:pPr>
        <w:pBdr>
          <w:top w:val="nil"/>
          <w:left w:val="nil"/>
          <w:bottom w:val="nil"/>
          <w:right w:val="nil"/>
          <w:between w:val="nil"/>
          <w:bar w:val="nil"/>
        </w:pBdr>
        <w:spacing w:after="0" w:line="360" w:lineRule="auto"/>
        <w:jc w:val="center"/>
        <w:rPr>
          <w:rFonts w:eastAsia="Arial Unicode MS" w:cs="Times New Roman"/>
          <w:b/>
          <w:szCs w:val="24"/>
          <w:bdr w:val="nil"/>
          <w:lang w:eastAsia="ru-RU"/>
        </w:rPr>
      </w:pPr>
      <w:r w:rsidRPr="00BD29EC">
        <w:rPr>
          <w:rFonts w:eastAsia="Arial Unicode MS" w:cs="Times New Roman"/>
          <w:b/>
          <w:szCs w:val="24"/>
          <w:bdr w:val="nil"/>
          <w:lang w:eastAsia="ru-RU"/>
        </w:rPr>
        <w:t>Метаданные показателя ЦУР</w:t>
      </w:r>
    </w:p>
    <w:p w:rsidR="003143BC" w:rsidRPr="00BD29EC" w:rsidRDefault="003143BC" w:rsidP="00853C09">
      <w:pPr>
        <w:pBdr>
          <w:top w:val="nil"/>
          <w:left w:val="nil"/>
          <w:bottom w:val="nil"/>
          <w:right w:val="nil"/>
          <w:between w:val="nil"/>
          <w:bar w:val="nil"/>
        </w:pBdr>
        <w:spacing w:after="0" w:line="360" w:lineRule="auto"/>
        <w:jc w:val="center"/>
        <w:rPr>
          <w:rFonts w:eastAsia="Arial Unicode MS" w:cs="Times New Roman"/>
          <w:b/>
          <w:szCs w:val="24"/>
          <w:bdr w:val="nil"/>
          <w:lang w:eastAsia="ru-RU"/>
        </w:rPr>
      </w:pPr>
      <w:r w:rsidRPr="00BD29EC">
        <w:rPr>
          <w:rFonts w:eastAsia="Arial Unicode MS" w:cs="Times New Roman"/>
          <w:b/>
          <w:szCs w:val="24"/>
          <w:bdr w:val="nil"/>
          <w:lang w:eastAsia="ru-RU"/>
        </w:rPr>
        <w:t>(Гармонизированный шаблон метаданных - версия формата 1.</w:t>
      </w:r>
      <w:r w:rsidR="003A77B5">
        <w:rPr>
          <w:rFonts w:eastAsia="Arial Unicode MS" w:cs="Times New Roman"/>
          <w:b/>
          <w:szCs w:val="24"/>
          <w:bdr w:val="nil"/>
          <w:lang w:eastAsia="ru-RU"/>
        </w:rPr>
        <w:t>1</w:t>
      </w:r>
      <w:r w:rsidRPr="00BD29EC">
        <w:rPr>
          <w:rFonts w:eastAsia="Arial Unicode MS" w:cs="Times New Roman"/>
          <w:b/>
          <w:szCs w:val="24"/>
          <w:bdr w:val="nil"/>
          <w:lang w:eastAsia="ru-RU"/>
        </w:rPr>
        <w:t>)</w:t>
      </w:r>
    </w:p>
    <w:p w:rsidR="003143BC" w:rsidRPr="00BD29EC" w:rsidRDefault="003143BC" w:rsidP="00853C09">
      <w:pPr>
        <w:pStyle w:val="ab"/>
        <w:numPr>
          <w:ilvl w:val="0"/>
          <w:numId w:val="3"/>
        </w:numPr>
        <w:pBdr>
          <w:top w:val="nil"/>
          <w:left w:val="nil"/>
          <w:bottom w:val="nil"/>
          <w:right w:val="nil"/>
          <w:between w:val="nil"/>
          <w:bar w:val="nil"/>
        </w:pBdr>
        <w:tabs>
          <w:tab w:val="left" w:pos="284"/>
        </w:tabs>
        <w:spacing w:after="0"/>
        <w:ind w:left="0" w:firstLine="0"/>
        <w:rPr>
          <w:rFonts w:eastAsia="Arial Unicode MS" w:cs="Times New Roman"/>
          <w:b/>
          <w:szCs w:val="24"/>
          <w:bdr w:val="nil"/>
          <w:lang w:eastAsia="ru-RU"/>
        </w:rPr>
      </w:pPr>
      <w:r w:rsidRPr="00BD29EC">
        <w:rPr>
          <w:rFonts w:eastAsia="Arial Unicode MS" w:cs="Times New Roman"/>
          <w:b/>
          <w:szCs w:val="24"/>
          <w:bdr w:val="nil"/>
          <w:lang w:eastAsia="ru-RU"/>
        </w:rPr>
        <w:t xml:space="preserve">Информация о показателе </w:t>
      </w:r>
    </w:p>
    <w:p w:rsidR="003143BC" w:rsidRPr="00BD29EC" w:rsidRDefault="003143BC"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a</w:t>
      </w:r>
      <w:r w:rsidRPr="00BD29EC">
        <w:rPr>
          <w:rFonts w:eastAsia="Arial Unicode MS" w:cs="Times New Roman"/>
          <w:b/>
          <w:szCs w:val="24"/>
          <w:bdr w:val="nil"/>
          <w:lang w:eastAsia="ru-RU"/>
        </w:rPr>
        <w:t>. Цель</w:t>
      </w:r>
    </w:p>
    <w:p w:rsidR="00780F08" w:rsidRPr="00BD29EC" w:rsidRDefault="003859BD" w:rsidP="00853C09">
      <w:pPr>
        <w:pBdr>
          <w:top w:val="nil"/>
          <w:left w:val="nil"/>
          <w:bottom w:val="nil"/>
          <w:right w:val="nil"/>
          <w:between w:val="nil"/>
          <w:bar w:val="nil"/>
        </w:pBdr>
        <w:spacing w:after="0"/>
        <w:rPr>
          <w:rFonts w:eastAsia="Arial Unicode MS" w:cs="Times New Roman"/>
          <w:szCs w:val="24"/>
          <w:bdr w:val="nil"/>
          <w:lang w:eastAsia="ru-RU"/>
        </w:rPr>
      </w:pPr>
      <w:r>
        <w:rPr>
          <w:rFonts w:eastAsia="Arial Unicode MS" w:cs="Times New Roman"/>
          <w:szCs w:val="24"/>
          <w:bdr w:val="nil"/>
          <w:lang w:eastAsia="ru-RU"/>
        </w:rPr>
        <w:t xml:space="preserve">Цель </w:t>
      </w:r>
      <w:r w:rsidR="00503B4A">
        <w:rPr>
          <w:rFonts w:eastAsia="Arial Unicode MS" w:cs="Times New Roman"/>
          <w:szCs w:val="24"/>
          <w:bdr w:val="nil"/>
          <w:lang w:eastAsia="ru-RU"/>
        </w:rPr>
        <w:t>6</w:t>
      </w:r>
      <w:r w:rsidR="00780F08" w:rsidRPr="00BD29EC">
        <w:rPr>
          <w:rFonts w:eastAsia="Arial Unicode MS" w:cs="Times New Roman"/>
          <w:szCs w:val="24"/>
          <w:bdr w:val="nil"/>
          <w:lang w:eastAsia="ru-RU"/>
        </w:rPr>
        <w:t xml:space="preserve">: </w:t>
      </w:r>
      <w:r w:rsidR="00B17ADA" w:rsidRPr="00B17ADA">
        <w:t>Обеспечение наличия и рационального использования водных ресурсов и санитарии для всех</w:t>
      </w:r>
    </w:p>
    <w:p w:rsidR="003143BC" w:rsidRPr="00BD29EC" w:rsidRDefault="003143BC"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b</w:t>
      </w:r>
      <w:r w:rsidRPr="00BD29EC">
        <w:rPr>
          <w:rFonts w:eastAsia="Arial Unicode MS" w:cs="Times New Roman"/>
          <w:b/>
          <w:szCs w:val="24"/>
          <w:bdr w:val="nil"/>
          <w:lang w:eastAsia="ru-RU"/>
        </w:rPr>
        <w:t>. Задача</w:t>
      </w:r>
    </w:p>
    <w:p w:rsidR="00781DE7" w:rsidRDefault="00503B4A" w:rsidP="00B17ADA">
      <w:r>
        <w:t>6</w:t>
      </w:r>
      <w:r w:rsidR="00780F08" w:rsidRPr="00BD29EC">
        <w:t>.</w:t>
      </w:r>
      <w:r w:rsidR="00B17ADA">
        <w:t>5</w:t>
      </w:r>
      <w:r w:rsidR="00780F08" w:rsidRPr="00BD29EC">
        <w:t xml:space="preserve">.  </w:t>
      </w:r>
      <w:r w:rsidR="00B17ADA" w:rsidRPr="00B17ADA">
        <w:t>К 2030 году обеспечить комплексное управление водными ресурсами на всех уровнях, в том числе при необходимости на основе трансграничного сотрудничества</w:t>
      </w:r>
    </w:p>
    <w:p w:rsidR="003143BC" w:rsidRPr="00BD29EC" w:rsidRDefault="003143BC" w:rsidP="00781DE7">
      <w:pPr>
        <w:pBdr>
          <w:top w:val="nil"/>
          <w:left w:val="nil"/>
          <w:bottom w:val="nil"/>
          <w:right w:val="nil"/>
          <w:between w:val="nil"/>
          <w:bar w:val="nil"/>
        </w:pBdr>
        <w:spacing w:after="0"/>
        <w:rPr>
          <w:rFonts w:eastAsia="Arial Unicode MS" w:cs="Times New Roman"/>
          <w:b/>
          <w:szCs w:val="24"/>
          <w:bdr w:val="nil"/>
          <w:lang w:eastAsia="ru-RU"/>
        </w:rPr>
      </w:pPr>
      <w:r w:rsidRPr="00BD29EC">
        <w:rPr>
          <w:rFonts w:eastAsia="Arial Unicode MS" w:cs="Times New Roman"/>
          <w:b/>
          <w:szCs w:val="24"/>
          <w:bdr w:val="nil"/>
          <w:lang w:eastAsia="ru-RU"/>
        </w:rPr>
        <w:t>0.с. Показатель</w:t>
      </w:r>
    </w:p>
    <w:p w:rsidR="00780F08" w:rsidRPr="00BD29EC" w:rsidRDefault="003143BC" w:rsidP="00853C09">
      <w:pPr>
        <w:pBdr>
          <w:top w:val="nil"/>
          <w:left w:val="nil"/>
          <w:bottom w:val="nil"/>
          <w:right w:val="nil"/>
          <w:between w:val="nil"/>
          <w:bar w:val="nil"/>
        </w:pBdr>
        <w:spacing w:after="0"/>
        <w:rPr>
          <w:rFonts w:cs="Times New Roman"/>
          <w:szCs w:val="24"/>
        </w:rPr>
      </w:pPr>
      <w:r w:rsidRPr="00BD29EC">
        <w:rPr>
          <w:rFonts w:cs="Times New Roman"/>
          <w:szCs w:val="24"/>
        </w:rPr>
        <w:t xml:space="preserve">Показатель </w:t>
      </w:r>
      <w:r w:rsidR="00503B4A">
        <w:rPr>
          <w:rFonts w:cs="Times New Roman"/>
          <w:szCs w:val="24"/>
        </w:rPr>
        <w:t>6</w:t>
      </w:r>
      <w:r w:rsidR="00780F08" w:rsidRPr="00BD29EC">
        <w:rPr>
          <w:rFonts w:cs="Times New Roman"/>
          <w:szCs w:val="24"/>
        </w:rPr>
        <w:t>.</w:t>
      </w:r>
      <w:r w:rsidR="00B17ADA">
        <w:rPr>
          <w:rFonts w:cs="Times New Roman"/>
          <w:szCs w:val="24"/>
        </w:rPr>
        <w:t>5</w:t>
      </w:r>
      <w:r w:rsidR="002064C4">
        <w:rPr>
          <w:rFonts w:cs="Times New Roman"/>
          <w:szCs w:val="24"/>
        </w:rPr>
        <w:t>.</w:t>
      </w:r>
      <w:r w:rsidR="00B17ADA">
        <w:rPr>
          <w:rFonts w:cs="Times New Roman"/>
          <w:szCs w:val="24"/>
        </w:rPr>
        <w:t>2</w:t>
      </w:r>
      <w:r w:rsidR="00C95AB2" w:rsidRPr="00B17ADA">
        <w:t>.</w:t>
      </w:r>
      <w:r w:rsidR="00780F08" w:rsidRPr="00B17ADA">
        <w:t xml:space="preserve"> </w:t>
      </w:r>
      <w:r w:rsidR="00B17ADA" w:rsidRPr="00B17ADA">
        <w:t>Доля трансграничных водных бассейнов, охваченных действующими договоренностями о сотрудничестве в области водопользования</w:t>
      </w:r>
    </w:p>
    <w:p w:rsidR="003143BC" w:rsidRDefault="003143BC"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d</w:t>
      </w:r>
      <w:r w:rsidRPr="00BD29EC">
        <w:rPr>
          <w:rFonts w:eastAsia="Arial Unicode MS" w:cs="Times New Roman"/>
          <w:b/>
          <w:szCs w:val="24"/>
          <w:bdr w:val="nil"/>
          <w:lang w:eastAsia="ru-RU"/>
        </w:rPr>
        <w:t xml:space="preserve">. </w:t>
      </w:r>
      <w:r w:rsidR="00291FA0">
        <w:rPr>
          <w:rFonts w:eastAsia="Arial Unicode MS" w:cs="Times New Roman"/>
          <w:b/>
          <w:szCs w:val="24"/>
          <w:bdr w:val="nil"/>
          <w:lang w:eastAsia="ru-RU"/>
        </w:rPr>
        <w:t>Ряд</w:t>
      </w:r>
    </w:p>
    <w:p w:rsidR="00B17ADA" w:rsidRPr="00BD29EC" w:rsidRDefault="00B17ADA" w:rsidP="00B17ADA">
      <w:pPr>
        <w:rPr>
          <w:bdr w:val="nil"/>
          <w:lang w:eastAsia="ru-RU"/>
        </w:rPr>
      </w:pPr>
      <w:r w:rsidRPr="00B17ADA">
        <w:rPr>
          <w:bdr w:val="nil"/>
          <w:lang w:eastAsia="ru-RU"/>
        </w:rPr>
        <w:t xml:space="preserve">Метаданные применяются ко всем </w:t>
      </w:r>
      <w:r>
        <w:rPr>
          <w:bdr w:val="nil"/>
          <w:lang w:eastAsia="ru-RU"/>
        </w:rPr>
        <w:t>рядам</w:t>
      </w:r>
      <w:r w:rsidRPr="00B17ADA">
        <w:rPr>
          <w:bdr w:val="nil"/>
          <w:lang w:eastAsia="ru-RU"/>
        </w:rPr>
        <w:t xml:space="preserve"> в соответствии с показателем 6.5.2.</w:t>
      </w:r>
    </w:p>
    <w:p w:rsidR="00C8596F" w:rsidRDefault="00C8596F"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e</w:t>
      </w:r>
      <w:r w:rsidRPr="00BD29EC">
        <w:rPr>
          <w:rFonts w:eastAsia="Arial Unicode MS" w:cs="Times New Roman"/>
          <w:b/>
          <w:szCs w:val="24"/>
          <w:bdr w:val="nil"/>
          <w:lang w:eastAsia="ru-RU"/>
        </w:rPr>
        <w:t xml:space="preserve">. Обновление данных </w:t>
      </w:r>
    </w:p>
    <w:p w:rsidR="00B17ADA" w:rsidRPr="00BD29EC" w:rsidRDefault="003A77B5" w:rsidP="00B17ADA">
      <w:pPr>
        <w:rPr>
          <w:rFonts w:eastAsia="Arial Unicode MS" w:cs="Times New Roman"/>
          <w:b/>
          <w:szCs w:val="24"/>
          <w:bdr w:val="nil"/>
          <w:lang w:eastAsia="ru-RU"/>
        </w:rPr>
      </w:pPr>
      <w:r>
        <w:t>18.07.2023</w:t>
      </w:r>
    </w:p>
    <w:p w:rsidR="00C8596F" w:rsidRDefault="00C8596F"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DA19D7">
        <w:rPr>
          <w:rFonts w:eastAsia="Arial Unicode MS" w:cs="Times New Roman"/>
          <w:b/>
          <w:szCs w:val="24"/>
          <w:bdr w:val="nil"/>
          <w:lang w:eastAsia="ru-RU"/>
        </w:rPr>
        <w:t>0.</w:t>
      </w:r>
      <w:r w:rsidRPr="00BD29EC">
        <w:rPr>
          <w:rFonts w:eastAsia="Arial Unicode MS" w:cs="Times New Roman"/>
          <w:b/>
          <w:szCs w:val="24"/>
          <w:bdr w:val="nil"/>
          <w:lang w:val="en-US" w:eastAsia="ru-RU"/>
        </w:rPr>
        <w:t>f</w:t>
      </w:r>
      <w:r w:rsidRPr="00DA19D7">
        <w:rPr>
          <w:rFonts w:eastAsia="Arial Unicode MS" w:cs="Times New Roman"/>
          <w:b/>
          <w:szCs w:val="24"/>
          <w:bdr w:val="nil"/>
          <w:lang w:eastAsia="ru-RU"/>
        </w:rPr>
        <w:t xml:space="preserve">. </w:t>
      </w:r>
      <w:r w:rsidRPr="00BD29EC">
        <w:rPr>
          <w:rFonts w:eastAsia="Arial Unicode MS" w:cs="Times New Roman"/>
          <w:b/>
          <w:szCs w:val="24"/>
          <w:bdr w:val="nil"/>
          <w:lang w:eastAsia="ru-RU"/>
        </w:rPr>
        <w:t>Связанные</w:t>
      </w:r>
      <w:r w:rsidRPr="00DA19D7">
        <w:rPr>
          <w:rFonts w:eastAsia="Arial Unicode MS" w:cs="Times New Roman"/>
          <w:b/>
          <w:szCs w:val="24"/>
          <w:bdr w:val="nil"/>
          <w:lang w:eastAsia="ru-RU"/>
        </w:rPr>
        <w:t xml:space="preserve"> </w:t>
      </w:r>
      <w:r w:rsidRPr="00BD29EC">
        <w:rPr>
          <w:rFonts w:eastAsia="Arial Unicode MS" w:cs="Times New Roman"/>
          <w:b/>
          <w:szCs w:val="24"/>
          <w:bdr w:val="nil"/>
          <w:lang w:eastAsia="ru-RU"/>
        </w:rPr>
        <w:t>показатели</w:t>
      </w:r>
      <w:r w:rsidRPr="00DA19D7">
        <w:rPr>
          <w:rFonts w:eastAsia="Arial Unicode MS" w:cs="Times New Roman"/>
          <w:b/>
          <w:szCs w:val="24"/>
          <w:bdr w:val="nil"/>
          <w:lang w:eastAsia="ru-RU"/>
        </w:rPr>
        <w:t xml:space="preserve"> </w:t>
      </w:r>
    </w:p>
    <w:p w:rsidR="00B17ADA" w:rsidRPr="00102782" w:rsidRDefault="00B17ADA" w:rsidP="00102782">
      <w:pPr>
        <w:rPr>
          <w:rFonts w:cs="Times New Roman"/>
          <w:szCs w:val="24"/>
          <w:bdr w:val="nil"/>
          <w:lang w:eastAsia="ru-RU"/>
        </w:rPr>
      </w:pPr>
      <w:r w:rsidRPr="00102782">
        <w:rPr>
          <w:rFonts w:cs="Times New Roman"/>
          <w:szCs w:val="24"/>
          <w:bdr w:val="nil"/>
          <w:lang w:eastAsia="ru-RU"/>
        </w:rPr>
        <w:t xml:space="preserve">Показатель 6.5.2 ЦУР дополняет показатель 6.5.1 ЦУР, который измеряет прогресс в области </w:t>
      </w:r>
      <w:r w:rsidR="00CB2B62">
        <w:rPr>
          <w:rFonts w:cs="Times New Roman"/>
          <w:szCs w:val="24"/>
          <w:bdr w:val="nil"/>
          <w:lang w:eastAsia="ru-RU"/>
        </w:rPr>
        <w:t>Интегрированного</w:t>
      </w:r>
      <w:r w:rsidRPr="00102782">
        <w:rPr>
          <w:rFonts w:cs="Times New Roman"/>
          <w:szCs w:val="24"/>
          <w:bdr w:val="nil"/>
          <w:lang w:eastAsia="ru-RU"/>
        </w:rPr>
        <w:t xml:space="preserve"> управления водными ресурсами (ИУВР) на всех уровнях. Кроме того, в качестве единственного показателя в Повестке дня в области устойчивого развития на период до 2030 года, прямо относящегося к трансграничному сотрудничеству, показатель 6.5.2 может играть каталитическую роль во многих ЦУР и задачах, включая:</w:t>
      </w:r>
    </w:p>
    <w:p w:rsidR="00B17ADA" w:rsidRPr="00102782" w:rsidRDefault="00B17ADA" w:rsidP="00102782">
      <w:pPr>
        <w:rPr>
          <w:rFonts w:cs="Times New Roman"/>
          <w:szCs w:val="24"/>
          <w:bdr w:val="nil"/>
          <w:lang w:eastAsia="ru-RU"/>
        </w:rPr>
      </w:pPr>
      <w:r w:rsidRPr="00102782">
        <w:rPr>
          <w:rFonts w:cs="Times New Roman"/>
          <w:szCs w:val="24"/>
          <w:bdr w:val="nil"/>
          <w:lang w:eastAsia="ru-RU"/>
        </w:rPr>
        <w:t xml:space="preserve">Цель 1 – Ликвидация нищеты </w:t>
      </w:r>
    </w:p>
    <w:p w:rsidR="00B17ADA" w:rsidRPr="00102782" w:rsidRDefault="00B17ADA" w:rsidP="00102782">
      <w:pPr>
        <w:rPr>
          <w:rFonts w:cs="Times New Roman"/>
          <w:szCs w:val="24"/>
          <w:bdr w:val="nil"/>
          <w:lang w:eastAsia="ru-RU"/>
        </w:rPr>
      </w:pPr>
      <w:r w:rsidRPr="00102782">
        <w:rPr>
          <w:rFonts w:cs="Times New Roman"/>
          <w:szCs w:val="24"/>
          <w:bdr w:val="nil"/>
          <w:lang w:eastAsia="ru-RU"/>
        </w:rPr>
        <w:t xml:space="preserve">- Показатель 1.1.1 </w:t>
      </w:r>
      <w:r w:rsidRPr="00102782">
        <w:rPr>
          <w:rFonts w:cs="Times New Roman"/>
          <w:color w:val="0E2D47"/>
          <w:szCs w:val="24"/>
          <w:shd w:val="clear" w:color="auto" w:fill="FFFFFF"/>
        </w:rPr>
        <w:t>Доля населения, живущего за международной чертой бедности, в разбивке по полу, возрасту, статусу занятости и месту проживания (городское/сельское)</w:t>
      </w:r>
    </w:p>
    <w:p w:rsidR="00B17ADA" w:rsidRPr="00102782" w:rsidRDefault="00B17ADA" w:rsidP="00102782">
      <w:pPr>
        <w:rPr>
          <w:rFonts w:cs="Times New Roman"/>
          <w:szCs w:val="24"/>
          <w:bdr w:val="nil"/>
          <w:lang w:eastAsia="ru-RU"/>
        </w:rPr>
      </w:pPr>
      <w:r w:rsidRPr="00102782">
        <w:rPr>
          <w:rFonts w:cs="Times New Roman"/>
          <w:szCs w:val="24"/>
          <w:bdr w:val="nil"/>
          <w:lang w:eastAsia="ru-RU"/>
        </w:rPr>
        <w:t xml:space="preserve">- Показатель 1.4.1 </w:t>
      </w:r>
      <w:r w:rsidRPr="00102782">
        <w:rPr>
          <w:rFonts w:cs="Times New Roman"/>
          <w:color w:val="0E2D47"/>
          <w:szCs w:val="24"/>
          <w:shd w:val="clear" w:color="auto" w:fill="FFFFFF"/>
        </w:rPr>
        <w:t>Доля населения, живущего в домохозяйствах с доступом к базовым услугам</w:t>
      </w:r>
    </w:p>
    <w:p w:rsidR="00B17ADA" w:rsidRPr="00102782" w:rsidRDefault="00B17ADA" w:rsidP="00102782">
      <w:pPr>
        <w:rPr>
          <w:rFonts w:cs="Times New Roman"/>
          <w:szCs w:val="24"/>
          <w:bdr w:val="nil"/>
          <w:lang w:eastAsia="ru-RU"/>
        </w:rPr>
      </w:pPr>
      <w:r w:rsidRPr="00102782">
        <w:rPr>
          <w:rFonts w:cs="Times New Roman"/>
          <w:szCs w:val="24"/>
          <w:bdr w:val="nil"/>
          <w:lang w:eastAsia="ru-RU"/>
        </w:rPr>
        <w:t xml:space="preserve">ЦУР 2 – Ликвидация голода </w:t>
      </w:r>
    </w:p>
    <w:p w:rsidR="00B17ADA" w:rsidRPr="00102782" w:rsidRDefault="00B17ADA" w:rsidP="00102782">
      <w:pPr>
        <w:rPr>
          <w:rFonts w:cs="Times New Roman"/>
          <w:szCs w:val="24"/>
          <w:bdr w:val="nil"/>
          <w:lang w:eastAsia="ru-RU"/>
        </w:rPr>
      </w:pPr>
      <w:r w:rsidRPr="00102782">
        <w:rPr>
          <w:rFonts w:cs="Times New Roman"/>
          <w:szCs w:val="24"/>
          <w:bdr w:val="nil"/>
          <w:lang w:eastAsia="ru-RU"/>
        </w:rPr>
        <w:t xml:space="preserve">- Показатель 2.4.1 </w:t>
      </w:r>
      <w:r w:rsidRPr="00102782">
        <w:rPr>
          <w:rFonts w:cs="Times New Roman"/>
          <w:color w:val="0E2D47"/>
          <w:szCs w:val="24"/>
          <w:shd w:val="clear" w:color="auto" w:fill="FFFFFF"/>
        </w:rPr>
        <w:t xml:space="preserve">Доля площади сельскохозяйственных угодий, на которых применяются продуктивные и </w:t>
      </w:r>
      <w:proofErr w:type="spellStart"/>
      <w:r w:rsidRPr="00102782">
        <w:rPr>
          <w:rFonts w:cs="Times New Roman"/>
          <w:color w:val="0E2D47"/>
          <w:szCs w:val="24"/>
          <w:shd w:val="clear" w:color="auto" w:fill="FFFFFF"/>
        </w:rPr>
        <w:t>неистощительные</w:t>
      </w:r>
      <w:proofErr w:type="spellEnd"/>
      <w:r w:rsidRPr="00102782">
        <w:rPr>
          <w:rFonts w:cs="Times New Roman"/>
          <w:color w:val="0E2D47"/>
          <w:szCs w:val="24"/>
          <w:shd w:val="clear" w:color="auto" w:fill="FFFFFF"/>
        </w:rPr>
        <w:t xml:space="preserve"> методы ведения сельского хозяйства</w:t>
      </w:r>
    </w:p>
    <w:p w:rsidR="00B17ADA" w:rsidRPr="00102782" w:rsidRDefault="00B17ADA" w:rsidP="00102782">
      <w:pPr>
        <w:rPr>
          <w:rFonts w:cs="Times New Roman"/>
          <w:szCs w:val="24"/>
          <w:bdr w:val="nil"/>
          <w:lang w:eastAsia="ru-RU"/>
        </w:rPr>
      </w:pPr>
      <w:r w:rsidRPr="00102782">
        <w:rPr>
          <w:rFonts w:cs="Times New Roman"/>
          <w:szCs w:val="24"/>
          <w:bdr w:val="nil"/>
          <w:lang w:eastAsia="ru-RU"/>
        </w:rPr>
        <w:t xml:space="preserve">ЦУР 3 – Хорошее здоровье и благополучие </w:t>
      </w:r>
    </w:p>
    <w:p w:rsidR="00B17ADA" w:rsidRPr="00102782" w:rsidRDefault="00B17ADA" w:rsidP="00102782">
      <w:pPr>
        <w:rPr>
          <w:rFonts w:cs="Times New Roman"/>
          <w:szCs w:val="24"/>
          <w:bdr w:val="nil"/>
          <w:lang w:eastAsia="ru-RU"/>
        </w:rPr>
      </w:pPr>
      <w:r w:rsidRPr="00102782">
        <w:rPr>
          <w:rFonts w:cs="Times New Roman"/>
          <w:szCs w:val="24"/>
          <w:bdr w:val="nil"/>
          <w:lang w:eastAsia="ru-RU"/>
        </w:rPr>
        <w:t xml:space="preserve">- Показатель 3.9.2 </w:t>
      </w:r>
      <w:r w:rsidRPr="00102782">
        <w:rPr>
          <w:rFonts w:cs="Times New Roman"/>
          <w:color w:val="0E2D47"/>
          <w:szCs w:val="24"/>
          <w:shd w:val="clear" w:color="auto" w:fill="FFFFFF"/>
        </w:rPr>
        <w:t>Смертность от отсутствия безопасной воды, безопасной санитарии и гигиены (от отсутствия безопасных услуг в области водоснабжения, санитарии и гигиены (ВССГ) для всех)</w:t>
      </w:r>
    </w:p>
    <w:p w:rsidR="00B17ADA" w:rsidRPr="00102782" w:rsidRDefault="00B17ADA" w:rsidP="00102782">
      <w:pPr>
        <w:rPr>
          <w:rFonts w:cs="Times New Roman"/>
          <w:szCs w:val="24"/>
          <w:bdr w:val="nil"/>
          <w:lang w:eastAsia="ru-RU"/>
        </w:rPr>
      </w:pPr>
      <w:r w:rsidRPr="00102782">
        <w:rPr>
          <w:rFonts w:cs="Times New Roman"/>
          <w:szCs w:val="24"/>
          <w:bdr w:val="nil"/>
          <w:lang w:eastAsia="ru-RU"/>
        </w:rPr>
        <w:t>Цель 4 – Качественное образование</w:t>
      </w:r>
    </w:p>
    <w:p w:rsidR="00B17ADA" w:rsidRPr="00102782" w:rsidRDefault="00B17ADA" w:rsidP="00102782">
      <w:pPr>
        <w:rPr>
          <w:rFonts w:cs="Times New Roman"/>
          <w:szCs w:val="24"/>
          <w:bdr w:val="nil"/>
          <w:lang w:eastAsia="ru-RU"/>
        </w:rPr>
      </w:pPr>
      <w:proofErr w:type="gramStart"/>
      <w:r w:rsidRPr="00102782">
        <w:rPr>
          <w:rFonts w:cs="Times New Roman"/>
          <w:szCs w:val="24"/>
          <w:bdr w:val="nil"/>
          <w:lang w:eastAsia="ru-RU"/>
        </w:rPr>
        <w:lastRenderedPageBreak/>
        <w:t xml:space="preserve">- Показатель 4.7.1 </w:t>
      </w:r>
      <w:r w:rsidRPr="00102782">
        <w:rPr>
          <w:rFonts w:cs="Times New Roman"/>
          <w:color w:val="0E2D47"/>
          <w:szCs w:val="24"/>
          <w:shd w:val="clear" w:color="auto" w:fill="FFFFFF"/>
        </w:rPr>
        <w:t xml:space="preserve">Статус i) воспитания в духе всемирной гражданственности и </w:t>
      </w:r>
      <w:proofErr w:type="spellStart"/>
      <w:r w:rsidRPr="00102782">
        <w:rPr>
          <w:rFonts w:cs="Times New Roman"/>
          <w:color w:val="0E2D47"/>
          <w:szCs w:val="24"/>
          <w:shd w:val="clear" w:color="auto" w:fill="FFFFFF"/>
        </w:rPr>
        <w:t>ii</w:t>
      </w:r>
      <w:proofErr w:type="spellEnd"/>
      <w:r w:rsidRPr="00102782">
        <w:rPr>
          <w:rFonts w:cs="Times New Roman"/>
          <w:color w:val="0E2D47"/>
          <w:szCs w:val="24"/>
          <w:shd w:val="clear" w:color="auto" w:fill="FFFFFF"/>
        </w:rPr>
        <w:t>) пропаганды устойчивого развития, включая гендерное равенство и права человека, на всех уровнях: a) в национальной политике в сфере образования, b) в учебных программах, c) в программах подготовки учителей и d) в системе аттестации учащихся</w:t>
      </w:r>
      <w:proofErr w:type="gramEnd"/>
    </w:p>
    <w:p w:rsidR="00B17ADA" w:rsidRPr="00102782" w:rsidRDefault="00B17ADA" w:rsidP="00102782">
      <w:pPr>
        <w:rPr>
          <w:rFonts w:cs="Times New Roman"/>
          <w:szCs w:val="24"/>
          <w:bdr w:val="nil"/>
          <w:lang w:eastAsia="ru-RU"/>
        </w:rPr>
      </w:pPr>
      <w:r w:rsidRPr="00102782">
        <w:rPr>
          <w:rFonts w:cs="Times New Roman"/>
          <w:szCs w:val="24"/>
          <w:bdr w:val="nil"/>
          <w:lang w:eastAsia="ru-RU"/>
        </w:rPr>
        <w:t xml:space="preserve">ЦУР 5 – Гендерное равенство </w:t>
      </w:r>
    </w:p>
    <w:p w:rsidR="00B17ADA" w:rsidRPr="00102782" w:rsidRDefault="00B17ADA" w:rsidP="00102782">
      <w:pPr>
        <w:rPr>
          <w:rFonts w:cs="Times New Roman"/>
          <w:color w:val="0E2D47"/>
          <w:szCs w:val="24"/>
          <w:shd w:val="clear" w:color="auto" w:fill="FFFFFF"/>
        </w:rPr>
      </w:pPr>
      <w:r w:rsidRPr="00102782">
        <w:rPr>
          <w:rFonts w:cs="Times New Roman"/>
          <w:szCs w:val="24"/>
          <w:bdr w:val="nil"/>
          <w:lang w:eastAsia="ru-RU"/>
        </w:rPr>
        <w:t xml:space="preserve">- Показатель 5.5.2 </w:t>
      </w:r>
      <w:r w:rsidRPr="00102782">
        <w:rPr>
          <w:rFonts w:cs="Times New Roman"/>
          <w:color w:val="0E2D47"/>
          <w:szCs w:val="24"/>
          <w:shd w:val="clear" w:color="auto" w:fill="FFFFFF"/>
        </w:rPr>
        <w:t>Доля женщин на руководящих должностях</w:t>
      </w:r>
    </w:p>
    <w:p w:rsidR="00946BFB" w:rsidRPr="00102782" w:rsidRDefault="00946BFB" w:rsidP="00102782">
      <w:pPr>
        <w:rPr>
          <w:rFonts w:cs="Times New Roman"/>
          <w:szCs w:val="24"/>
          <w:bdr w:val="nil"/>
          <w:lang w:eastAsia="ru-RU"/>
        </w:rPr>
      </w:pPr>
      <w:r w:rsidRPr="00102782">
        <w:rPr>
          <w:rFonts w:cs="Times New Roman"/>
          <w:szCs w:val="24"/>
          <w:bdr w:val="nil"/>
          <w:lang w:eastAsia="ru-RU"/>
        </w:rPr>
        <w:t>Цель 7 – Недорогостоящая и чистая энергия</w:t>
      </w:r>
    </w:p>
    <w:p w:rsidR="00946BFB" w:rsidRPr="00102782" w:rsidRDefault="00946BFB" w:rsidP="00102782">
      <w:pPr>
        <w:rPr>
          <w:rFonts w:cs="Times New Roman"/>
          <w:color w:val="0E2D47"/>
          <w:szCs w:val="24"/>
          <w:shd w:val="clear" w:color="auto" w:fill="FFFFFF"/>
        </w:rPr>
      </w:pPr>
      <w:r w:rsidRPr="00102782">
        <w:rPr>
          <w:rFonts w:cs="Times New Roman"/>
          <w:szCs w:val="24"/>
          <w:bdr w:val="nil"/>
          <w:lang w:eastAsia="ru-RU"/>
        </w:rPr>
        <w:t xml:space="preserve">- Показатель 7.1.2 </w:t>
      </w:r>
      <w:r w:rsidRPr="00102782">
        <w:rPr>
          <w:rFonts w:cs="Times New Roman"/>
          <w:color w:val="0E2D47"/>
          <w:szCs w:val="24"/>
          <w:shd w:val="clear" w:color="auto" w:fill="FFFFFF"/>
        </w:rPr>
        <w:t>Доля населения, использующего в основном чистые виды топлива и технологии</w:t>
      </w:r>
    </w:p>
    <w:p w:rsidR="00946BFB" w:rsidRPr="00102782" w:rsidRDefault="00946BFB" w:rsidP="00102782">
      <w:pPr>
        <w:rPr>
          <w:rFonts w:cs="Times New Roman"/>
          <w:szCs w:val="24"/>
          <w:bdr w:val="nil"/>
          <w:lang w:eastAsia="ru-RU"/>
        </w:rPr>
      </w:pPr>
      <w:r w:rsidRPr="00102782">
        <w:rPr>
          <w:rFonts w:cs="Times New Roman"/>
          <w:szCs w:val="24"/>
          <w:bdr w:val="nil"/>
          <w:lang w:eastAsia="ru-RU"/>
        </w:rPr>
        <w:t>- Показатель 7.2.1 Доля возобновляемых источников энергии в общем объеме конечного энергопотребления</w:t>
      </w:r>
    </w:p>
    <w:p w:rsidR="00946BFB" w:rsidRPr="00102782" w:rsidRDefault="00946BFB" w:rsidP="00102782">
      <w:pPr>
        <w:rPr>
          <w:rFonts w:cs="Times New Roman"/>
          <w:szCs w:val="24"/>
          <w:bdr w:val="nil"/>
          <w:lang w:eastAsia="ru-RU"/>
        </w:rPr>
      </w:pPr>
      <w:r w:rsidRPr="00102782">
        <w:rPr>
          <w:rFonts w:cs="Times New Roman"/>
          <w:szCs w:val="24"/>
          <w:bdr w:val="nil"/>
          <w:lang w:eastAsia="ru-RU"/>
        </w:rPr>
        <w:t xml:space="preserve">ЦУР 11 – Устойчивые города и населенные пункты </w:t>
      </w:r>
    </w:p>
    <w:p w:rsidR="00946BFB" w:rsidRPr="00102782" w:rsidRDefault="00946BFB" w:rsidP="00102782">
      <w:pPr>
        <w:rPr>
          <w:rFonts w:cs="Times New Roman"/>
          <w:szCs w:val="24"/>
          <w:bdr w:val="nil"/>
          <w:lang w:eastAsia="ru-RU"/>
        </w:rPr>
      </w:pPr>
      <w:r w:rsidRPr="00102782">
        <w:rPr>
          <w:rFonts w:cs="Times New Roman"/>
          <w:szCs w:val="24"/>
          <w:bdr w:val="nil"/>
          <w:lang w:eastAsia="ru-RU"/>
        </w:rPr>
        <w:t xml:space="preserve">- Показатель 11.5.2 </w:t>
      </w:r>
      <w:r w:rsidRPr="00102782">
        <w:rPr>
          <w:rFonts w:cs="Times New Roman"/>
          <w:color w:val="0E2D47"/>
          <w:szCs w:val="24"/>
          <w:shd w:val="clear" w:color="auto" w:fill="FFFFFF"/>
        </w:rPr>
        <w:t>Прямые экономические потери от бедствий в процентах к общемировому валовому внутреннему продукту (ВВП)</w:t>
      </w:r>
    </w:p>
    <w:p w:rsidR="00946BFB" w:rsidRPr="00102782" w:rsidRDefault="00946BFB" w:rsidP="00102782">
      <w:pPr>
        <w:rPr>
          <w:rFonts w:cs="Times New Roman"/>
          <w:szCs w:val="24"/>
          <w:bdr w:val="nil"/>
          <w:lang w:eastAsia="ru-RU"/>
        </w:rPr>
      </w:pPr>
      <w:r w:rsidRPr="00102782">
        <w:rPr>
          <w:rFonts w:cs="Times New Roman"/>
          <w:szCs w:val="24"/>
          <w:bdr w:val="nil"/>
          <w:lang w:eastAsia="ru-RU"/>
        </w:rPr>
        <w:t xml:space="preserve">ЦУР 14 – </w:t>
      </w:r>
      <w:r w:rsidR="00102782" w:rsidRPr="00102782">
        <w:rPr>
          <w:rFonts w:cs="Times New Roman"/>
          <w:szCs w:val="24"/>
          <w:bdr w:val="nil"/>
          <w:lang w:eastAsia="ru-RU"/>
        </w:rPr>
        <w:t>Сохранение морских экосистем</w:t>
      </w:r>
      <w:r w:rsidRPr="00102782">
        <w:rPr>
          <w:rFonts w:cs="Times New Roman"/>
          <w:szCs w:val="24"/>
          <w:bdr w:val="nil"/>
          <w:lang w:eastAsia="ru-RU"/>
        </w:rPr>
        <w:t xml:space="preserve"> </w:t>
      </w:r>
    </w:p>
    <w:p w:rsidR="00946BFB" w:rsidRPr="00102782" w:rsidRDefault="00946BFB" w:rsidP="00102782">
      <w:pPr>
        <w:rPr>
          <w:rFonts w:cs="Times New Roman"/>
          <w:szCs w:val="24"/>
          <w:bdr w:val="nil"/>
          <w:lang w:eastAsia="ru-RU"/>
        </w:rPr>
      </w:pPr>
      <w:r w:rsidRPr="00102782">
        <w:rPr>
          <w:rFonts w:cs="Times New Roman"/>
          <w:szCs w:val="24"/>
          <w:bdr w:val="nil"/>
          <w:lang w:eastAsia="ru-RU"/>
        </w:rPr>
        <w:t xml:space="preserve">- Показатель 14.1.1 </w:t>
      </w:r>
      <w:r w:rsidR="00102782" w:rsidRPr="00102782">
        <w:rPr>
          <w:rFonts w:cs="Times New Roman"/>
          <w:color w:val="0E2D47"/>
          <w:szCs w:val="24"/>
          <w:shd w:val="clear" w:color="auto" w:fill="FFFFFF"/>
        </w:rPr>
        <w:t xml:space="preserve">a) Индекс </w:t>
      </w:r>
      <w:proofErr w:type="gramStart"/>
      <w:r w:rsidR="00102782" w:rsidRPr="00102782">
        <w:rPr>
          <w:rFonts w:cs="Times New Roman"/>
          <w:color w:val="0E2D47"/>
          <w:szCs w:val="24"/>
          <w:shd w:val="clear" w:color="auto" w:fill="FFFFFF"/>
        </w:rPr>
        <w:t>прибрежной</w:t>
      </w:r>
      <w:proofErr w:type="gramEnd"/>
      <w:r w:rsidR="00102782" w:rsidRPr="00102782">
        <w:rPr>
          <w:rFonts w:cs="Times New Roman"/>
          <w:color w:val="0E2D47"/>
          <w:szCs w:val="24"/>
          <w:shd w:val="clear" w:color="auto" w:fill="FFFFFF"/>
        </w:rPr>
        <w:t xml:space="preserve"> </w:t>
      </w:r>
      <w:proofErr w:type="spellStart"/>
      <w:r w:rsidR="00102782" w:rsidRPr="00102782">
        <w:rPr>
          <w:rFonts w:cs="Times New Roman"/>
          <w:color w:val="0E2D47"/>
          <w:szCs w:val="24"/>
          <w:shd w:val="clear" w:color="auto" w:fill="FFFFFF"/>
        </w:rPr>
        <w:t>эвтрофикации</w:t>
      </w:r>
      <w:proofErr w:type="spellEnd"/>
      <w:r w:rsidR="00102782" w:rsidRPr="00102782">
        <w:rPr>
          <w:rFonts w:cs="Times New Roman"/>
          <w:color w:val="0E2D47"/>
          <w:szCs w:val="24"/>
          <w:shd w:val="clear" w:color="auto" w:fill="FFFFFF"/>
        </w:rPr>
        <w:t xml:space="preserve"> и b) плотность лома пластмасс</w:t>
      </w:r>
    </w:p>
    <w:p w:rsidR="00946BFB" w:rsidRPr="00102782" w:rsidRDefault="00946BFB" w:rsidP="00102782">
      <w:pPr>
        <w:rPr>
          <w:rFonts w:cs="Times New Roman"/>
          <w:szCs w:val="24"/>
          <w:bdr w:val="nil"/>
          <w:lang w:eastAsia="ru-RU"/>
        </w:rPr>
      </w:pPr>
      <w:r w:rsidRPr="00102782">
        <w:rPr>
          <w:rFonts w:cs="Times New Roman"/>
          <w:szCs w:val="24"/>
          <w:bdr w:val="nil"/>
          <w:lang w:eastAsia="ru-RU"/>
        </w:rPr>
        <w:t xml:space="preserve">- Показатель 14.2.1 </w:t>
      </w:r>
      <w:r w:rsidR="00102782" w:rsidRPr="00102782">
        <w:rPr>
          <w:rFonts w:cs="Times New Roman"/>
          <w:color w:val="0E2D47"/>
          <w:szCs w:val="24"/>
          <w:shd w:val="clear" w:color="auto" w:fill="FFFFFF"/>
        </w:rPr>
        <w:t xml:space="preserve">Число стран, применяющих </w:t>
      </w:r>
      <w:proofErr w:type="spellStart"/>
      <w:r w:rsidR="00102782" w:rsidRPr="00102782">
        <w:rPr>
          <w:rFonts w:cs="Times New Roman"/>
          <w:color w:val="0E2D47"/>
          <w:szCs w:val="24"/>
          <w:shd w:val="clear" w:color="auto" w:fill="FFFFFF"/>
        </w:rPr>
        <w:t>экосистемные</w:t>
      </w:r>
      <w:proofErr w:type="spellEnd"/>
      <w:r w:rsidR="00102782" w:rsidRPr="00102782">
        <w:rPr>
          <w:rFonts w:cs="Times New Roman"/>
          <w:color w:val="0E2D47"/>
          <w:szCs w:val="24"/>
          <w:shd w:val="clear" w:color="auto" w:fill="FFFFFF"/>
        </w:rPr>
        <w:t xml:space="preserve"> подходы к управлению морскими районами</w:t>
      </w:r>
    </w:p>
    <w:p w:rsidR="00946BFB" w:rsidRPr="00102782" w:rsidRDefault="00946BFB" w:rsidP="00102782">
      <w:pPr>
        <w:rPr>
          <w:rFonts w:cs="Times New Roman"/>
          <w:szCs w:val="24"/>
          <w:bdr w:val="nil"/>
          <w:lang w:eastAsia="ru-RU"/>
        </w:rPr>
      </w:pPr>
      <w:r w:rsidRPr="00102782">
        <w:rPr>
          <w:rFonts w:cs="Times New Roman"/>
          <w:szCs w:val="24"/>
          <w:bdr w:val="nil"/>
          <w:lang w:eastAsia="ru-RU"/>
        </w:rPr>
        <w:t xml:space="preserve">ЦУР 15 – </w:t>
      </w:r>
      <w:r w:rsidR="00C760F7">
        <w:rPr>
          <w:rFonts w:cs="Times New Roman"/>
          <w:szCs w:val="24"/>
          <w:bdr w:val="nil"/>
          <w:lang w:eastAsia="ru-RU"/>
        </w:rPr>
        <w:t>Сохранение экосистем суши</w:t>
      </w:r>
    </w:p>
    <w:p w:rsidR="00946BFB" w:rsidRPr="00102782" w:rsidRDefault="00946BFB" w:rsidP="00102782">
      <w:pPr>
        <w:rPr>
          <w:rFonts w:cs="Times New Roman"/>
          <w:szCs w:val="24"/>
          <w:bdr w:val="nil"/>
          <w:lang w:eastAsia="ru-RU"/>
        </w:rPr>
      </w:pPr>
      <w:r w:rsidRPr="00102782">
        <w:rPr>
          <w:rFonts w:cs="Times New Roman"/>
          <w:szCs w:val="24"/>
          <w:bdr w:val="nil"/>
          <w:lang w:eastAsia="ru-RU"/>
        </w:rPr>
        <w:t xml:space="preserve">- Показатель 15.1.2 </w:t>
      </w:r>
      <w:r w:rsidR="00102782" w:rsidRPr="00102782">
        <w:rPr>
          <w:rFonts w:cs="Times New Roman"/>
          <w:szCs w:val="24"/>
          <w:bdr w:val="nil"/>
          <w:lang w:eastAsia="ru-RU"/>
        </w:rPr>
        <w:t>Доля важных с точки зрения биологического разнообразия районов суши и пресноводных районов, находящихся под охраной, в разбивке по видам экосистем</w:t>
      </w:r>
    </w:p>
    <w:p w:rsidR="00946BFB" w:rsidRPr="00102782" w:rsidRDefault="00946BFB" w:rsidP="00102782">
      <w:pPr>
        <w:rPr>
          <w:rFonts w:cs="Times New Roman"/>
          <w:szCs w:val="24"/>
          <w:bdr w:val="nil"/>
          <w:lang w:eastAsia="ru-RU"/>
        </w:rPr>
      </w:pPr>
      <w:r w:rsidRPr="00102782">
        <w:rPr>
          <w:rFonts w:cs="Times New Roman"/>
          <w:szCs w:val="24"/>
          <w:bdr w:val="nil"/>
          <w:lang w:eastAsia="ru-RU"/>
        </w:rPr>
        <w:t xml:space="preserve">- Показатель 15.2.1 </w:t>
      </w:r>
      <w:r w:rsidR="00102782" w:rsidRPr="00102782">
        <w:rPr>
          <w:rFonts w:cs="Times New Roman"/>
          <w:color w:val="0E2D47"/>
          <w:szCs w:val="24"/>
          <w:shd w:val="clear" w:color="auto" w:fill="FFFFFF"/>
        </w:rPr>
        <w:t>Прогресс в переходе на неистощительное ведение лесного хозяйства</w:t>
      </w:r>
    </w:p>
    <w:p w:rsidR="00946BFB" w:rsidRPr="00102782" w:rsidRDefault="00946BFB" w:rsidP="00102782">
      <w:pPr>
        <w:rPr>
          <w:rFonts w:cs="Times New Roman"/>
          <w:szCs w:val="24"/>
          <w:bdr w:val="nil"/>
          <w:lang w:eastAsia="ru-RU"/>
        </w:rPr>
      </w:pPr>
      <w:r w:rsidRPr="00102782">
        <w:rPr>
          <w:rFonts w:cs="Times New Roman"/>
          <w:szCs w:val="24"/>
          <w:bdr w:val="nil"/>
          <w:lang w:eastAsia="ru-RU"/>
        </w:rPr>
        <w:t xml:space="preserve">ЦУР 16 – Мир, </w:t>
      </w:r>
      <w:r w:rsidR="00102782" w:rsidRPr="00102782">
        <w:rPr>
          <w:rFonts w:cs="Times New Roman"/>
          <w:szCs w:val="24"/>
          <w:bdr w:val="nil"/>
          <w:lang w:eastAsia="ru-RU"/>
        </w:rPr>
        <w:t>правосудие и эффективные</w:t>
      </w:r>
      <w:r w:rsidRPr="00102782">
        <w:rPr>
          <w:rFonts w:cs="Times New Roman"/>
          <w:szCs w:val="24"/>
          <w:bdr w:val="nil"/>
          <w:lang w:eastAsia="ru-RU"/>
        </w:rPr>
        <w:t xml:space="preserve"> институты </w:t>
      </w:r>
    </w:p>
    <w:p w:rsidR="00946BFB" w:rsidRPr="00102782" w:rsidRDefault="00946BFB" w:rsidP="00102782">
      <w:pPr>
        <w:rPr>
          <w:rFonts w:cs="Times New Roman"/>
          <w:szCs w:val="24"/>
          <w:bdr w:val="nil"/>
          <w:lang w:eastAsia="ru-RU"/>
        </w:rPr>
      </w:pPr>
      <w:r w:rsidRPr="00102782">
        <w:rPr>
          <w:rFonts w:cs="Times New Roman"/>
          <w:szCs w:val="24"/>
          <w:bdr w:val="nil"/>
          <w:lang w:eastAsia="ru-RU"/>
        </w:rPr>
        <w:t xml:space="preserve">- Показатель 16.1.2 </w:t>
      </w:r>
      <w:r w:rsidR="00102782" w:rsidRPr="00102782">
        <w:rPr>
          <w:rFonts w:cs="Times New Roman"/>
          <w:szCs w:val="24"/>
          <w:bdr w:val="nil"/>
          <w:lang w:eastAsia="ru-RU"/>
        </w:rPr>
        <w:t>Число связанных с конфликтами смертей на 100 000 человек в разбивке по полу, возрасту и причине</w:t>
      </w:r>
    </w:p>
    <w:p w:rsidR="00946BFB" w:rsidRPr="00102782" w:rsidRDefault="00946BFB" w:rsidP="00102782">
      <w:pPr>
        <w:rPr>
          <w:rFonts w:cs="Times New Roman"/>
          <w:szCs w:val="24"/>
          <w:bdr w:val="nil"/>
          <w:lang w:eastAsia="ru-RU"/>
        </w:rPr>
      </w:pPr>
      <w:r w:rsidRPr="00102782">
        <w:rPr>
          <w:rFonts w:cs="Times New Roman"/>
          <w:szCs w:val="24"/>
          <w:bdr w:val="nil"/>
          <w:lang w:eastAsia="ru-RU"/>
        </w:rPr>
        <w:t xml:space="preserve">- Показатель 16.7.2 </w:t>
      </w:r>
      <w:r w:rsidR="00102782" w:rsidRPr="00102782">
        <w:rPr>
          <w:rFonts w:cs="Times New Roman"/>
          <w:szCs w:val="24"/>
          <w:bdr w:val="nil"/>
          <w:lang w:eastAsia="ru-RU"/>
        </w:rPr>
        <w:t>Доля населения, считающего процесс принятия решений всеохватывающим и оперативным, в разбивке по полу, возрасту, признаку инвалидности и группе населения</w:t>
      </w:r>
    </w:p>
    <w:p w:rsidR="00946BFB" w:rsidRPr="00102782" w:rsidRDefault="00946BFB" w:rsidP="00102782">
      <w:pPr>
        <w:rPr>
          <w:rFonts w:cs="Times New Roman"/>
          <w:b/>
          <w:bCs/>
          <w:szCs w:val="24"/>
          <w:bdr w:val="nil"/>
          <w:lang w:eastAsia="ru-RU"/>
        </w:rPr>
      </w:pPr>
      <w:r w:rsidRPr="00102782">
        <w:rPr>
          <w:rFonts w:cs="Times New Roman"/>
          <w:szCs w:val="24"/>
          <w:bdr w:val="nil"/>
          <w:lang w:eastAsia="ru-RU"/>
        </w:rPr>
        <w:t xml:space="preserve">ЦУР 17 – </w:t>
      </w:r>
      <w:r w:rsidR="00102782" w:rsidRPr="00102782">
        <w:rPr>
          <w:rFonts w:cs="Times New Roman"/>
          <w:szCs w:val="24"/>
          <w:lang w:eastAsia="ru-RU"/>
        </w:rPr>
        <w:t>Партнёрство в интересах устойчивого развития</w:t>
      </w:r>
    </w:p>
    <w:p w:rsidR="00946BFB" w:rsidRPr="00102782" w:rsidRDefault="00946BFB" w:rsidP="00102782">
      <w:pPr>
        <w:rPr>
          <w:rFonts w:cs="Times New Roman"/>
          <w:szCs w:val="24"/>
          <w:bdr w:val="nil"/>
          <w:lang w:eastAsia="ru-RU"/>
        </w:rPr>
      </w:pPr>
      <w:r w:rsidRPr="00102782">
        <w:rPr>
          <w:rFonts w:cs="Times New Roman"/>
          <w:szCs w:val="24"/>
          <w:bdr w:val="nil"/>
          <w:lang w:eastAsia="ru-RU"/>
        </w:rPr>
        <w:t xml:space="preserve">- Показатель 17.9.1 </w:t>
      </w:r>
      <w:r w:rsidR="00102782" w:rsidRPr="00102782">
        <w:rPr>
          <w:rFonts w:cs="Times New Roman"/>
          <w:color w:val="0E2D47"/>
          <w:szCs w:val="24"/>
          <w:shd w:val="clear" w:color="auto" w:fill="FFFFFF"/>
        </w:rPr>
        <w:t>Объем финансовой и технической помощи (в том числе по линии Север — Юг, Юг — Юг и в рамках трехстороннего сотрудничества), предоставляемой развивающимся странам (в долларах США)</w:t>
      </w:r>
    </w:p>
    <w:p w:rsidR="00946BFB" w:rsidRPr="00102782" w:rsidRDefault="00946BFB" w:rsidP="00102782">
      <w:pPr>
        <w:rPr>
          <w:rFonts w:cs="Times New Roman"/>
          <w:szCs w:val="24"/>
          <w:bdr w:val="nil"/>
          <w:lang w:eastAsia="ru-RU"/>
        </w:rPr>
      </w:pPr>
      <w:r w:rsidRPr="00102782">
        <w:rPr>
          <w:rFonts w:cs="Times New Roman"/>
          <w:szCs w:val="24"/>
          <w:bdr w:val="nil"/>
          <w:lang w:eastAsia="ru-RU"/>
        </w:rPr>
        <w:lastRenderedPageBreak/>
        <w:t xml:space="preserve">- Показатель 17.14.1 </w:t>
      </w:r>
      <w:r w:rsidR="00102782" w:rsidRPr="00102782">
        <w:rPr>
          <w:rFonts w:cs="Times New Roman"/>
          <w:color w:val="0E2D47"/>
          <w:szCs w:val="24"/>
          <w:shd w:val="clear" w:color="auto" w:fill="FFFFFF"/>
        </w:rPr>
        <w:t>Число стран, в которых созданы механизмы для повышения согласованности политики в области устойчивого развития</w:t>
      </w:r>
    </w:p>
    <w:p w:rsidR="00A91FDE" w:rsidRPr="00BD29EC" w:rsidRDefault="00E33CA8" w:rsidP="0075371E">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g</w:t>
      </w:r>
      <w:r w:rsidRPr="00BD29EC">
        <w:rPr>
          <w:rFonts w:eastAsia="Arial Unicode MS" w:cs="Times New Roman"/>
          <w:b/>
          <w:szCs w:val="24"/>
          <w:bdr w:val="nil"/>
          <w:lang w:eastAsia="ru-RU"/>
        </w:rPr>
        <w:t>. Международные организации, ответственные за глобальный мониторинг</w:t>
      </w:r>
    </w:p>
    <w:p w:rsidR="00102782" w:rsidRPr="00102782" w:rsidRDefault="00102782" w:rsidP="00102782">
      <w:r w:rsidRPr="00102782">
        <w:t xml:space="preserve">Межправительственная гидрологическая программа Организации Объединенных Наций по вопросам образования, науки и культуры (ЮНЕСКО-МГП) </w:t>
      </w:r>
    </w:p>
    <w:p w:rsidR="00957A62" w:rsidRPr="00BD29EC" w:rsidRDefault="00102782" w:rsidP="00102782">
      <w:r w:rsidRPr="00102782">
        <w:t>Европейская экономическая комиссия Организации Объединенных Наций (ЕЭК ООН)</w:t>
      </w:r>
    </w:p>
    <w:p w:rsidR="00957A62" w:rsidRPr="00BD29EC" w:rsidRDefault="00957A62" w:rsidP="0075371E">
      <w:pPr>
        <w:pStyle w:val="MHeader"/>
        <w:rPr>
          <w:b/>
          <w:color w:val="auto"/>
          <w:sz w:val="24"/>
          <w:szCs w:val="24"/>
          <w:lang w:val="ru-RU"/>
        </w:rPr>
      </w:pPr>
      <w:bookmarkStart w:id="0" w:name="_Toc37932744"/>
      <w:bookmarkStart w:id="1" w:name="_Toc36813072"/>
      <w:bookmarkStart w:id="2" w:name="_Toc36812685"/>
      <w:bookmarkStart w:id="3" w:name="_Toc36812572"/>
      <w:bookmarkStart w:id="4" w:name="_Toc36655609"/>
      <w:r w:rsidRPr="00BD29EC">
        <w:rPr>
          <w:b/>
          <w:color w:val="auto"/>
          <w:sz w:val="24"/>
          <w:szCs w:val="24"/>
          <w:lang w:val="ru-RU"/>
        </w:rPr>
        <w:t xml:space="preserve">1. </w:t>
      </w:r>
      <w:bookmarkEnd w:id="0"/>
      <w:bookmarkEnd w:id="1"/>
      <w:bookmarkEnd w:id="2"/>
      <w:bookmarkEnd w:id="3"/>
      <w:bookmarkEnd w:id="4"/>
      <w:r w:rsidR="00853C09" w:rsidRPr="00BD29EC">
        <w:rPr>
          <w:b/>
          <w:color w:val="auto"/>
          <w:sz w:val="24"/>
          <w:szCs w:val="24"/>
          <w:lang w:val="ru-RU"/>
        </w:rPr>
        <w:t xml:space="preserve">Данные представлены </w:t>
      </w:r>
    </w:p>
    <w:p w:rsidR="00957A62" w:rsidRPr="00BD29EC" w:rsidRDefault="00957A62" w:rsidP="0075371E">
      <w:pPr>
        <w:pStyle w:val="MHeader2"/>
        <w:rPr>
          <w:color w:val="auto"/>
          <w:sz w:val="24"/>
          <w:szCs w:val="24"/>
          <w:lang w:val="ru-RU"/>
        </w:rPr>
      </w:pPr>
      <w:r w:rsidRPr="00BD29EC">
        <w:rPr>
          <w:color w:val="auto"/>
          <w:sz w:val="24"/>
          <w:szCs w:val="24"/>
          <w:lang w:val="ru-RU"/>
        </w:rPr>
        <w:t>1.</w:t>
      </w:r>
      <w:r w:rsidRPr="00BD29EC">
        <w:rPr>
          <w:color w:val="auto"/>
          <w:sz w:val="24"/>
          <w:szCs w:val="24"/>
        </w:rPr>
        <w:t>a</w:t>
      </w:r>
      <w:r w:rsidRPr="00BD29EC">
        <w:rPr>
          <w:color w:val="auto"/>
          <w:sz w:val="24"/>
          <w:szCs w:val="24"/>
          <w:lang w:val="ru-RU"/>
        </w:rPr>
        <w:t>. Организация</w:t>
      </w:r>
    </w:p>
    <w:p w:rsidR="00102782" w:rsidRPr="00102782" w:rsidRDefault="00102782" w:rsidP="00102782">
      <w:r w:rsidRPr="00102782">
        <w:t xml:space="preserve">Межправительственная гидрологическая программа Организации Объединенных Наций по вопросам образования, науки и культуры (ЮНЕСКО-МГП) </w:t>
      </w:r>
    </w:p>
    <w:p w:rsidR="00957A62" w:rsidRPr="00BD29EC" w:rsidRDefault="00102782" w:rsidP="00102782">
      <w:r w:rsidRPr="00102782">
        <w:t>Европейская экономическая комиссия Организации Объединенных Наций (ЕЭК ООН)</w:t>
      </w:r>
    </w:p>
    <w:p w:rsidR="00957A62" w:rsidRPr="00BD29EC" w:rsidRDefault="00957A62" w:rsidP="0075371E">
      <w:pPr>
        <w:pStyle w:val="MHeader"/>
        <w:rPr>
          <w:b/>
          <w:color w:val="auto"/>
          <w:sz w:val="24"/>
          <w:szCs w:val="24"/>
          <w:lang w:val="ru-RU"/>
        </w:rPr>
      </w:pPr>
      <w:r w:rsidRPr="00BD29EC">
        <w:rPr>
          <w:b/>
          <w:color w:val="auto"/>
          <w:sz w:val="24"/>
          <w:szCs w:val="24"/>
          <w:lang w:val="ru-RU"/>
        </w:rPr>
        <w:t>2. Определения, концепции и классификации</w:t>
      </w:r>
    </w:p>
    <w:p w:rsidR="00957A62" w:rsidRDefault="00957A62" w:rsidP="0075371E">
      <w:pPr>
        <w:pStyle w:val="MHeader2"/>
        <w:rPr>
          <w:color w:val="auto"/>
          <w:sz w:val="24"/>
          <w:szCs w:val="24"/>
          <w:lang w:val="ru-RU"/>
        </w:rPr>
      </w:pPr>
      <w:r w:rsidRPr="00BD29EC">
        <w:rPr>
          <w:color w:val="auto"/>
          <w:sz w:val="24"/>
          <w:szCs w:val="24"/>
          <w:lang w:val="ru-RU"/>
        </w:rPr>
        <w:t>2.</w:t>
      </w:r>
      <w:r w:rsidRPr="00781DE7">
        <w:rPr>
          <w:color w:val="auto"/>
          <w:sz w:val="24"/>
          <w:szCs w:val="24"/>
          <w:lang w:val="ru-RU"/>
        </w:rPr>
        <w:t>a</w:t>
      </w:r>
      <w:r w:rsidRPr="00BD29EC">
        <w:rPr>
          <w:color w:val="auto"/>
          <w:sz w:val="24"/>
          <w:szCs w:val="24"/>
          <w:lang w:val="ru-RU"/>
        </w:rPr>
        <w:t xml:space="preserve">. Определения и концепции </w:t>
      </w:r>
    </w:p>
    <w:p w:rsidR="00DA19D7" w:rsidRPr="00205030" w:rsidRDefault="00DA19D7" w:rsidP="00DA19D7">
      <w:pPr>
        <w:pStyle w:val="MText"/>
        <w:rPr>
          <w:b/>
          <w:color w:val="000000" w:themeColor="text1"/>
          <w:sz w:val="24"/>
          <w:szCs w:val="24"/>
          <w:lang w:val="ru-RU"/>
        </w:rPr>
      </w:pPr>
      <w:r w:rsidRPr="00205030">
        <w:rPr>
          <w:b/>
          <w:color w:val="000000" w:themeColor="text1"/>
          <w:sz w:val="24"/>
          <w:szCs w:val="24"/>
          <w:lang w:val="ru-RU"/>
        </w:rPr>
        <w:t>Определение:</w:t>
      </w:r>
    </w:p>
    <w:p w:rsidR="00102782" w:rsidRDefault="00102782" w:rsidP="0004753D">
      <w:r>
        <w:t>Показатель</w:t>
      </w:r>
      <w:r w:rsidRPr="00102782">
        <w:t xml:space="preserve"> отслеживает область </w:t>
      </w:r>
      <w:r w:rsidR="00205030">
        <w:t>«</w:t>
      </w:r>
      <w:r w:rsidRPr="00102782">
        <w:t>трансграничного бассейна</w:t>
      </w:r>
      <w:r w:rsidR="00205030">
        <w:t>»</w:t>
      </w:r>
      <w:r w:rsidRPr="00102782">
        <w:t xml:space="preserve"> в пределах страны, на которую распространяется </w:t>
      </w:r>
      <w:r w:rsidR="00205030">
        <w:t>«</w:t>
      </w:r>
      <w:r w:rsidRPr="00102782">
        <w:t>оперативное</w:t>
      </w:r>
      <w:r w:rsidR="00205030">
        <w:t>»</w:t>
      </w:r>
      <w:r w:rsidRPr="00102782">
        <w:t xml:space="preserve"> </w:t>
      </w:r>
      <w:r w:rsidR="00205030">
        <w:t>«</w:t>
      </w:r>
      <w:r w:rsidRPr="00102782">
        <w:t>соглашение о сотрудничестве в области водных ресурсов</w:t>
      </w:r>
      <w:r w:rsidR="00205030">
        <w:t>»</w:t>
      </w:r>
      <w:r w:rsidRPr="00102782">
        <w:t>.</w:t>
      </w:r>
    </w:p>
    <w:p w:rsidR="00DD1F70" w:rsidRDefault="00205030" w:rsidP="0004753D">
      <w:r>
        <w:t>«</w:t>
      </w:r>
      <w:r w:rsidR="00DD1F70" w:rsidRPr="00DD1F70">
        <w:t>Трансграничный бассейн</w:t>
      </w:r>
      <w:r>
        <w:t>»</w:t>
      </w:r>
      <w:r w:rsidR="00DD1F70" w:rsidRPr="00DD1F70">
        <w:t xml:space="preserve"> относится к бассейну реки или озера или системе водоносных горизонтов, которая отмечает, пересекает или расположена на границах между двумя или более государствами. Бассейн включает в себя всю площадь водосбора поверхностного водного объекта (реки или озера) или, для подземных вод, площадь водоносного горизонта, т.е. всю проницаемую водоносную геологическую формацию. Для целей расчета показателя ЦУР 6.5.2 площадь трансграничного бассейна представляет собой площадь водосборного бассейна (бассейн реки или озера); или площадь водоносного горизонта.</w:t>
      </w:r>
    </w:p>
    <w:p w:rsidR="0004753D" w:rsidRDefault="00205030" w:rsidP="0004753D">
      <w:r>
        <w:t>«</w:t>
      </w:r>
      <w:r w:rsidR="0004753D" w:rsidRPr="0004753D">
        <w:t>Соглашение о сотрудничестве в области водных ресурсов</w:t>
      </w:r>
      <w:r>
        <w:t>»</w:t>
      </w:r>
      <w:r w:rsidR="0004753D" w:rsidRPr="0004753D">
        <w:t xml:space="preserve"> относится к двустороннему или многостороннему договору, конвенции, соглашению или другому официальному соглашению, такому как </w:t>
      </w:r>
      <w:proofErr w:type="gramStart"/>
      <w:r w:rsidR="0004753D" w:rsidRPr="0004753D">
        <w:t>меморандум</w:t>
      </w:r>
      <w:proofErr w:type="gramEnd"/>
      <w:r w:rsidR="0004753D" w:rsidRPr="0004753D">
        <w:t xml:space="preserve"> о взаимопонимании между странами, разделяющими трансграничные бассейны, который обеспечивает основу для сотрудничества в области управления трансграничными водными ресурсами. Соглашения или другие виды официальных договоренностей могут быть межгосударственными, межправительственными, межведомственными, или между региональными органами власти.</w:t>
      </w:r>
    </w:p>
    <w:p w:rsidR="0004753D" w:rsidRDefault="00205030" w:rsidP="0004753D">
      <w:r>
        <w:t>«</w:t>
      </w:r>
      <w:r w:rsidR="0004753D">
        <w:t>Оперативный</w:t>
      </w:r>
      <w:r>
        <w:t>»</w:t>
      </w:r>
      <w:r w:rsidR="0004753D">
        <w:t xml:space="preserve"> означает, что соглашение о сотрудничестве между странами, разделяющими трансграничные бассейны, отвечает всем следующим критериям:</w:t>
      </w:r>
    </w:p>
    <w:p w:rsidR="0004753D" w:rsidRDefault="0004753D" w:rsidP="0004753D">
      <w:r>
        <w:t>- Существует совместный орган или механизм (например, организация речного бассейна) для трансграничного сотрудничества;</w:t>
      </w:r>
    </w:p>
    <w:p w:rsidR="0004753D" w:rsidRDefault="0004753D" w:rsidP="0004753D">
      <w:r>
        <w:lastRenderedPageBreak/>
        <w:t>- Существуют регулярные, т.е., по крайней мере, ежегодные, официальные контакты между прибрежными странами в форме встреч (либо на политическом и/или техническом уровне);</w:t>
      </w:r>
    </w:p>
    <w:p w:rsidR="0004753D" w:rsidRDefault="0004753D" w:rsidP="0004753D">
      <w:r>
        <w:t>- Существует совместный или скоординированный пла</w:t>
      </w:r>
      <w:proofErr w:type="gramStart"/>
      <w:r>
        <w:t>н(</w:t>
      </w:r>
      <w:proofErr w:type="gramEnd"/>
      <w:r>
        <w:t>ы) управления водными ресурсами, или были установлены совместные цели;</w:t>
      </w:r>
    </w:p>
    <w:p w:rsidR="0004753D" w:rsidRPr="00102782" w:rsidRDefault="0004753D" w:rsidP="0004753D">
      <w:r>
        <w:t>- Существует регулярный, т.е., по крайней мере, ежегодный, обмен данными и информацией.</w:t>
      </w:r>
    </w:p>
    <w:p w:rsidR="00DA19D7" w:rsidRPr="00205030" w:rsidRDefault="003859BD" w:rsidP="003A4421">
      <w:pPr>
        <w:rPr>
          <w:b/>
        </w:rPr>
      </w:pPr>
      <w:r w:rsidRPr="00205030">
        <w:rPr>
          <w:b/>
        </w:rPr>
        <w:t>Основные понятия</w:t>
      </w:r>
      <w:r w:rsidR="00205030" w:rsidRPr="00205030">
        <w:rPr>
          <w:b/>
        </w:rPr>
        <w:t>:</w:t>
      </w:r>
    </w:p>
    <w:p w:rsidR="0004753D" w:rsidRPr="00DA19D7" w:rsidRDefault="0004753D" w:rsidP="003A4421">
      <w:r w:rsidRPr="0004753D">
        <w:t xml:space="preserve">Мониторинг основывается на пространственном охвате трансграничных бассейнов, разделяемых каждой страной, и фокусируется на мониторинге того, охвачены ли они </w:t>
      </w:r>
      <w:r w:rsidR="00205030">
        <w:t>«</w:t>
      </w:r>
      <w:r w:rsidRPr="0004753D">
        <w:t>действующими</w:t>
      </w:r>
      <w:r w:rsidR="00205030">
        <w:t>»</w:t>
      </w:r>
      <w:r w:rsidRPr="0004753D">
        <w:t xml:space="preserve"> соглашениями о сотрудничестве. Критерии, которым необходимо соответствовать, чтобы сотрудничество по конкретному бассейну считалось </w:t>
      </w:r>
      <w:r w:rsidR="00205030">
        <w:t>«</w:t>
      </w:r>
      <w:r w:rsidRPr="0004753D">
        <w:t>оперативным</w:t>
      </w:r>
      <w:r w:rsidR="00205030">
        <w:t>»</w:t>
      </w:r>
      <w:r w:rsidRPr="0004753D">
        <w:t>, направлены на то, чтобы определить, обеспечивает ли соглашение (соглашения) базовые элементы, необходимые для того, чтобы позволить этому соглашению осуществлять сотрудничество в управлении водными ресурсами.</w:t>
      </w:r>
    </w:p>
    <w:p w:rsidR="00407E4E" w:rsidRPr="00BD29EC" w:rsidRDefault="00407E4E" w:rsidP="0075371E">
      <w:pPr>
        <w:pStyle w:val="MHeader2"/>
        <w:rPr>
          <w:color w:val="auto"/>
          <w:sz w:val="24"/>
          <w:szCs w:val="24"/>
          <w:lang w:val="ru-RU"/>
        </w:rPr>
      </w:pPr>
      <w:r w:rsidRPr="00BD29EC">
        <w:rPr>
          <w:color w:val="auto"/>
          <w:sz w:val="24"/>
          <w:szCs w:val="24"/>
          <w:lang w:val="ru-RU"/>
        </w:rPr>
        <w:t>2.</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Единица измерения</w:t>
      </w:r>
    </w:p>
    <w:p w:rsidR="00407E4E" w:rsidRPr="00BD29EC" w:rsidRDefault="003A4421" w:rsidP="0075371E">
      <w:pPr>
        <w:pBdr>
          <w:top w:val="nil"/>
          <w:left w:val="nil"/>
          <w:bottom w:val="nil"/>
          <w:right w:val="nil"/>
          <w:between w:val="nil"/>
          <w:bar w:val="nil"/>
        </w:pBdr>
        <w:spacing w:after="0"/>
        <w:rPr>
          <w:rFonts w:cs="Times New Roman"/>
          <w:szCs w:val="24"/>
        </w:rPr>
      </w:pPr>
      <w:r w:rsidRPr="003A4421">
        <w:rPr>
          <w:rFonts w:cs="Times New Roman"/>
          <w:szCs w:val="24"/>
        </w:rPr>
        <w:t>Площадь бассейна, в км</w:t>
      </w:r>
      <w:proofErr w:type="gramStart"/>
      <w:r w:rsidRPr="003A4421">
        <w:rPr>
          <w:rFonts w:cs="Times New Roman"/>
          <w:szCs w:val="24"/>
          <w:vertAlign w:val="superscript"/>
        </w:rPr>
        <w:t>2</w:t>
      </w:r>
      <w:proofErr w:type="gramEnd"/>
      <w:r w:rsidRPr="003A4421">
        <w:rPr>
          <w:rFonts w:cs="Times New Roman"/>
          <w:szCs w:val="24"/>
        </w:rPr>
        <w:t>, охватываемая оперативными мероприятиями.</w:t>
      </w:r>
    </w:p>
    <w:p w:rsidR="000A229E" w:rsidRPr="00BD29EC" w:rsidRDefault="000A229E" w:rsidP="0075371E">
      <w:pPr>
        <w:pStyle w:val="MHeader2"/>
        <w:rPr>
          <w:color w:val="auto"/>
          <w:sz w:val="24"/>
          <w:szCs w:val="24"/>
          <w:lang w:val="ru-RU"/>
        </w:rPr>
      </w:pPr>
      <w:r w:rsidRPr="00BD29EC">
        <w:rPr>
          <w:color w:val="auto"/>
          <w:sz w:val="24"/>
          <w:szCs w:val="24"/>
          <w:lang w:val="ru-RU"/>
        </w:rPr>
        <w:t>2.</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Классификации</w:t>
      </w:r>
    </w:p>
    <w:p w:rsidR="000A229E" w:rsidRDefault="007F30D9" w:rsidP="0075371E">
      <w:pPr>
        <w:pStyle w:val="MText"/>
        <w:rPr>
          <w:color w:val="auto"/>
          <w:sz w:val="24"/>
          <w:szCs w:val="24"/>
          <w:lang w:val="ru-RU"/>
        </w:rPr>
      </w:pPr>
      <w:r>
        <w:rPr>
          <w:color w:val="auto"/>
          <w:sz w:val="24"/>
          <w:szCs w:val="24"/>
          <w:lang w:val="ru-RU"/>
        </w:rPr>
        <w:t>Не применимо</w:t>
      </w:r>
    </w:p>
    <w:p w:rsidR="007F30D9" w:rsidRPr="00BD29EC" w:rsidRDefault="007F30D9" w:rsidP="0075371E">
      <w:pPr>
        <w:pStyle w:val="MText"/>
        <w:rPr>
          <w:color w:val="auto"/>
          <w:sz w:val="24"/>
          <w:szCs w:val="24"/>
          <w:lang w:val="ru-RU"/>
        </w:rPr>
      </w:pPr>
    </w:p>
    <w:p w:rsidR="000A229E" w:rsidRPr="00BD29EC" w:rsidRDefault="000A229E" w:rsidP="0075371E">
      <w:pPr>
        <w:pStyle w:val="MHeader"/>
        <w:rPr>
          <w:b/>
          <w:color w:val="auto"/>
          <w:sz w:val="24"/>
          <w:szCs w:val="24"/>
          <w:lang w:val="ru-RU"/>
        </w:rPr>
      </w:pPr>
      <w:r w:rsidRPr="00BD29EC">
        <w:rPr>
          <w:b/>
          <w:color w:val="auto"/>
          <w:sz w:val="24"/>
          <w:szCs w:val="24"/>
          <w:lang w:val="ru-RU"/>
        </w:rPr>
        <w:t>3. Тип источника данных и метод сбора данных</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a</w:t>
      </w:r>
      <w:r w:rsidRPr="00BD29EC">
        <w:rPr>
          <w:color w:val="auto"/>
          <w:sz w:val="24"/>
          <w:szCs w:val="24"/>
          <w:lang w:val="ru-RU"/>
        </w:rPr>
        <w:t xml:space="preserve">. </w:t>
      </w:r>
      <w:r w:rsidRPr="00A71EC6">
        <w:rPr>
          <w:b/>
          <w:color w:val="auto"/>
          <w:sz w:val="24"/>
          <w:szCs w:val="24"/>
          <w:lang w:val="ru-RU"/>
        </w:rPr>
        <w:t>Источники данных</w:t>
      </w:r>
    </w:p>
    <w:p w:rsidR="000345E4" w:rsidRDefault="000345E4" w:rsidP="00853EA4">
      <w:r w:rsidRPr="000345E4">
        <w:t>На уровне страны</w:t>
      </w:r>
      <w:r>
        <w:t>, министерств и ведомств</w:t>
      </w:r>
      <w:r w:rsidRPr="000345E4">
        <w:t>, ответственны</w:t>
      </w:r>
      <w:r>
        <w:t>х</w:t>
      </w:r>
      <w:r w:rsidRPr="000345E4">
        <w:t xml:space="preserve"> за ресурсы поверхностных и подземных вод (зависит от страны, но обычно это министерство окружающей среды, водных ресурсов, природных ресурсов, энергетики или сельского хозяйства; институты водных ресурсов, гидрологии или геологии или геологические изыскания), как правило, располагают пространственной информацией о местоположении и масштабах границ бассейнов поверхностных вод и границ водоносных горизонтов (в виде </w:t>
      </w:r>
      <w:proofErr w:type="spellStart"/>
      <w:r w:rsidRPr="000345E4">
        <w:t>шейп</w:t>
      </w:r>
      <w:proofErr w:type="spellEnd"/>
      <w:r w:rsidRPr="000345E4">
        <w:t>-файлов географических информационных систем). Информация о существующих механизмах и их эффективности также обычно доступна в тех же учреждениях.</w:t>
      </w:r>
    </w:p>
    <w:p w:rsidR="000345E4" w:rsidRDefault="000345E4" w:rsidP="00853EA4">
      <w:r>
        <w:t>Некоторые страны уже отчитываются перед региональными организациями о развитии трансграничного водного сотрудничества, и аналогичные механизмы можно было бы укрепить и облегчить.</w:t>
      </w:r>
    </w:p>
    <w:p w:rsidR="000345E4" w:rsidRDefault="000345E4" w:rsidP="00853EA4">
      <w:r>
        <w:t>В отсутствие доступной информации на национальном уровне доступны глобальные наборы данных по трансграничным бассейнам, а также базы данных соглашений и организаций по трансграничному сотрудничеству, которые могут быть использованы в отсутствие более подробной информации, в частности, в краткосрочной перспективе.</w:t>
      </w:r>
    </w:p>
    <w:p w:rsidR="00853EA4" w:rsidRDefault="00853EA4" w:rsidP="00853EA4">
      <w:r w:rsidRPr="00853EA4">
        <w:t>-</w:t>
      </w:r>
      <w:r>
        <w:t xml:space="preserve"> </w:t>
      </w:r>
      <w:r w:rsidRPr="00853EA4">
        <w:t xml:space="preserve">Границы трансграничных бассейнов </w:t>
      </w:r>
    </w:p>
    <w:p w:rsidR="00853EA4" w:rsidRDefault="00205030" w:rsidP="00853EA4">
      <w:r w:rsidRPr="00205030">
        <w:lastRenderedPageBreak/>
        <w:t>В 2021 году Университет штата Орегон определил 310 международных речных бассейнов (</w:t>
      </w:r>
      <w:hyperlink r:id="rId9" w:history="1">
        <w:r w:rsidRPr="001F66CA">
          <w:rPr>
            <w:rStyle w:val="ac"/>
          </w:rPr>
          <w:t>https://transboundarywaters.science.oregonstate.edu/sites/transboundarywaters.science.oregonstate.edu/files/Database/Data/register/McCracken_Wolf_2019.pdf</w:t>
        </w:r>
      </w:hyperlink>
      <w:r w:rsidRPr="00205030">
        <w:t xml:space="preserve">), а IRAC подготовил карту трансграничных водоносных горизонтов мира, на которой представлены 468 открытых на данный момент общих водоносных горизонтов (см. </w:t>
      </w:r>
      <w:hyperlink r:id="rId10" w:history="1">
        <w:r w:rsidRPr="001F66CA">
          <w:rPr>
            <w:rStyle w:val="ac"/>
          </w:rPr>
          <w:t>https://ggis.un-igrac.org/</w:t>
        </w:r>
      </w:hyperlink>
      <w:r w:rsidRPr="00205030">
        <w:t xml:space="preserve">). Соответствующая информация по трансграничным водоносным горизонтам была также собрана Программой ЮНЕСКО по управлению ресурсами международных водоносных горизонтов (ISARM) (см. </w:t>
      </w:r>
      <w:hyperlink r:id="rId11" w:history="1">
        <w:r w:rsidRPr="001F66CA">
          <w:rPr>
            <w:rStyle w:val="ac"/>
          </w:rPr>
          <w:t>http://www.isarm.org/</w:t>
        </w:r>
      </w:hyperlink>
      <w:r w:rsidRPr="00205030">
        <w:t>)</w:t>
      </w:r>
    </w:p>
    <w:p w:rsidR="00853EA4" w:rsidRDefault="00853EA4" w:rsidP="00853EA4">
      <w:r>
        <w:t xml:space="preserve">- Соглашения о сотрудничестве </w:t>
      </w:r>
    </w:p>
    <w:p w:rsidR="00853EA4" w:rsidRDefault="00853EA4" w:rsidP="00853EA4">
      <w:r>
        <w:t>Существующие соглашения или другие договоренности о трансграничном водном сотрудничестве доступны в базе данных Международных договоров о пресной воде, которую ведет Университет штата Орегон (OSU)</w:t>
      </w:r>
      <w:r w:rsidR="00CB6EE0">
        <w:t xml:space="preserve"> (</w:t>
      </w:r>
      <w:hyperlink r:id="rId12" w:history="1">
        <w:r w:rsidR="00CB6EE0" w:rsidRPr="001F66CA">
          <w:rPr>
            <w:rStyle w:val="ac"/>
          </w:rPr>
          <w:t>https://transboundarywaters.science.oregonstate.edu/content/international-freshwater-treaties-database</w:t>
        </w:r>
      </w:hyperlink>
      <w:r w:rsidR="00CB6EE0">
        <w:t>)</w:t>
      </w:r>
      <w:r>
        <w:t>. Это было обновлено, чтобы включить все договоренности до 2008 года, и последующее обновление будет доступно в 2021 году. База данных договоров включает в общей сложности 686 международных договоров по пресной воде.</w:t>
      </w:r>
    </w:p>
    <w:p w:rsidR="00853EA4" w:rsidRDefault="00853EA4" w:rsidP="00853EA4">
      <w:r>
        <w:t xml:space="preserve"> - Организации по трансграничному водному сотрудничеству </w:t>
      </w:r>
    </w:p>
    <w:p w:rsidR="00853EA4" w:rsidRDefault="00853EA4" w:rsidP="00853EA4">
      <w:r>
        <w:t>База данных Международной организации речных бассейнов (RBO) OSU содержит подробную информацию о более чем 120 международных организациях речных бассейнов, включая двусторонние комиссии, по всему миру</w:t>
      </w:r>
      <w:r w:rsidR="00CB6EE0">
        <w:t xml:space="preserve"> (</w:t>
      </w:r>
      <w:hyperlink r:id="rId13" w:history="1">
        <w:r w:rsidR="00CB6EE0" w:rsidRPr="001F66CA">
          <w:rPr>
            <w:rStyle w:val="ac"/>
          </w:rPr>
          <w:t>https://transboundarywaters.science.oregonstate.edu/content/international-freshwater-treaties-database</w:t>
        </w:r>
      </w:hyperlink>
      <w:r w:rsidR="00CB6EE0">
        <w:t>)</w:t>
      </w:r>
      <w:r>
        <w:t>.</w:t>
      </w:r>
    </w:p>
    <w:p w:rsidR="00853EA4" w:rsidRPr="00BD29EC" w:rsidRDefault="00CB6EE0" w:rsidP="00853EA4">
      <w:r w:rsidRPr="00CB6EE0">
        <w:t>Были проведены региональные оценки с описанием и инвентаризацией соглашений, что способствовало созданию исходных условий на глобальном уровне. Например, проведенная ЕЭК ООН оценка трансграничного водного сотрудничества в общеевропейском регионе; инвентаризация общих водных ресурсов в Западной Азии, проведенная Экономической и социальной комиссией Организации Объединенных Наций для Западной Азии (ЭСКЗА ООН); и региональные кадастры трансграничных водоносных горизонтов в рамках ISARM ЮНЕСКО-МГП: ISARM для Северной и Южной Америки, ISARM для Африки, ISARM для Юго-Восточной Европы и ISARM для Азии.</w:t>
      </w:r>
    </w:p>
    <w:p w:rsidR="000A229E" w:rsidRDefault="000A229E" w:rsidP="0075371E">
      <w:pPr>
        <w:pStyle w:val="MHeader2"/>
        <w:rPr>
          <w:b/>
          <w:color w:val="auto"/>
          <w:sz w:val="24"/>
          <w:szCs w:val="24"/>
          <w:lang w:val="ru-RU"/>
        </w:rPr>
      </w:pPr>
      <w:r w:rsidRPr="00031EA7">
        <w:rPr>
          <w:color w:val="auto"/>
          <w:sz w:val="24"/>
          <w:szCs w:val="24"/>
          <w:lang w:val="ru-RU"/>
        </w:rPr>
        <w:t>3.</w:t>
      </w:r>
      <w:r w:rsidRPr="00031EA7">
        <w:rPr>
          <w:color w:val="auto"/>
          <w:sz w:val="24"/>
          <w:szCs w:val="24"/>
        </w:rPr>
        <w:t>b</w:t>
      </w:r>
      <w:r w:rsidRPr="00031EA7">
        <w:rPr>
          <w:color w:val="auto"/>
          <w:sz w:val="24"/>
          <w:szCs w:val="24"/>
          <w:lang w:val="ru-RU"/>
        </w:rPr>
        <w:t xml:space="preserve">. </w:t>
      </w:r>
      <w:r w:rsidRPr="00031EA7">
        <w:rPr>
          <w:b/>
          <w:color w:val="auto"/>
          <w:sz w:val="24"/>
          <w:szCs w:val="24"/>
          <w:lang w:val="ru-RU"/>
        </w:rPr>
        <w:t>Метод сбора данных</w:t>
      </w:r>
    </w:p>
    <w:p w:rsidR="00DB5ED1" w:rsidRDefault="00031EA7" w:rsidP="00031EA7">
      <w:r w:rsidRPr="00031EA7">
        <w:t xml:space="preserve">Данные о трансграничных бассейнах и их эксплуатационных механизмах традиционно не включались в Национальные статистические системы, но информация, необходимая для расчета показателя, проста, не требует расширенных возможностей мониторинга и обычно доступна для всех стран. </w:t>
      </w:r>
    </w:p>
    <w:p w:rsidR="00DB5ED1" w:rsidRDefault="00031EA7" w:rsidP="00031EA7">
      <w:r w:rsidRPr="00031EA7">
        <w:t>Пространственная информация (</w:t>
      </w:r>
      <w:r w:rsidR="00CB6EE0">
        <w:t>«</w:t>
      </w:r>
      <w:r w:rsidRPr="00031EA7">
        <w:t>площадь трансграничного бассейна</w:t>
      </w:r>
      <w:r w:rsidR="00CB6EE0">
        <w:t>»</w:t>
      </w:r>
      <w:r w:rsidRPr="00031EA7">
        <w:t xml:space="preserve">) обычно доступна в министерствах, отвечающих за водные ресурсы. Что касается оперативности соглашения, то данные, необходимые для расчета показателя, могут быть непосредственно получены </w:t>
      </w:r>
      <w:r w:rsidRPr="00031EA7">
        <w:lastRenderedPageBreak/>
        <w:t xml:space="preserve">из информации из административных документов (у государств-членов есть записи о </w:t>
      </w:r>
      <w:proofErr w:type="gramStart"/>
      <w:r w:rsidRPr="00031EA7">
        <w:t>соглашениях</w:t>
      </w:r>
      <w:proofErr w:type="gramEnd"/>
      <w:r w:rsidRPr="00031EA7">
        <w:t xml:space="preserve"> о сотрудничестве). </w:t>
      </w:r>
    </w:p>
    <w:p w:rsidR="00DB5ED1" w:rsidRDefault="00031EA7" w:rsidP="00031EA7">
      <w:r w:rsidRPr="00031EA7">
        <w:t xml:space="preserve">Ограничения с точки зрения сопоставимости результатов между странами такие же, как и те, которые описаны в разделе 4.b. Тем не менее, странам доступно четкое определение и рассмотрение критериев, разработанных в подробной методологии, для обеспечения общего ориентира для стран. </w:t>
      </w:r>
    </w:p>
    <w:p w:rsidR="00DB5ED1" w:rsidRDefault="00031EA7" w:rsidP="00031EA7">
      <w:r w:rsidRPr="00031EA7">
        <w:t>Более того, элементы показателя основаны на основных принципах обычного международного водного права, которые также содержатся в двух конвенциях ООН – Конвенции 1997 года о праве несудоходных видов использования международных водотоков (Конвенция о водотоках) и Конвенции 1992 года об охране и использовании трансграничных водотоков и Международные озера (Конвенция по водам), а также проекты статей о праве трансграничных водоносных горизонтов (</w:t>
      </w:r>
      <w:r w:rsidR="006D41AA">
        <w:t xml:space="preserve">2008 год; резолюции 63/124, </w:t>
      </w:r>
      <w:r w:rsidRPr="00031EA7">
        <w:t>66/104</w:t>
      </w:r>
      <w:r w:rsidR="006D41AA">
        <w:t xml:space="preserve">, </w:t>
      </w:r>
      <w:r w:rsidR="006D41AA" w:rsidRPr="006D41AA">
        <w:t>68/118, 71/150, 74/193</w:t>
      </w:r>
      <w:r w:rsidR="006D41AA">
        <w:t xml:space="preserve"> и</w:t>
      </w:r>
      <w:r w:rsidR="006D41AA" w:rsidRPr="006D41AA">
        <w:t xml:space="preserve"> 77/112</w:t>
      </w:r>
      <w:r w:rsidRPr="00031EA7">
        <w:t xml:space="preserve"> Генеральной Ассамбл</w:t>
      </w:r>
      <w:proofErr w:type="gramStart"/>
      <w:r w:rsidRPr="00031EA7">
        <w:t>еи ОО</w:t>
      </w:r>
      <w:proofErr w:type="gramEnd"/>
      <w:r w:rsidRPr="00031EA7">
        <w:t xml:space="preserve">Н). </w:t>
      </w:r>
    </w:p>
    <w:p w:rsidR="00031EA7" w:rsidRDefault="00031EA7" w:rsidP="00031EA7">
      <w:r w:rsidRPr="00031EA7">
        <w:t>Механизм отчетности в соответствии с Конвенцией по водам также позволяет странам представлять информацию о подкомпонентах показателя, что обеспечит как большую уверенность в окончательном значении показателя (валидацию), так и повышенную сопоставимость.</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Календарь сбора данных</w:t>
      </w:r>
    </w:p>
    <w:p w:rsidR="00DB5ED1" w:rsidRPr="00BD29EC" w:rsidRDefault="00DB5ED1" w:rsidP="00DB5ED1">
      <w:r w:rsidRPr="00DB5ED1">
        <w:t>Первое отчетное мероприятие - в 2017 году, а затем с интервалом в три года.</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d</w:t>
      </w:r>
      <w:r w:rsidRPr="00BD29EC">
        <w:rPr>
          <w:color w:val="auto"/>
          <w:sz w:val="24"/>
          <w:szCs w:val="24"/>
          <w:lang w:val="ru-RU"/>
        </w:rPr>
        <w:t xml:space="preserve">. </w:t>
      </w:r>
      <w:r w:rsidRPr="00A71EC6">
        <w:rPr>
          <w:b/>
          <w:color w:val="auto"/>
          <w:sz w:val="24"/>
          <w:szCs w:val="24"/>
          <w:lang w:val="ru-RU"/>
        </w:rPr>
        <w:t>Календарь выпуска данных</w:t>
      </w:r>
    </w:p>
    <w:p w:rsidR="00DB5ED1" w:rsidRPr="00BD29EC" w:rsidRDefault="00DB5ED1" w:rsidP="00DB5ED1">
      <w:r>
        <w:t>Начало</w:t>
      </w:r>
      <w:r w:rsidRPr="00DB5ED1">
        <w:t xml:space="preserve"> 2018 года; а затем с интервалом в три года</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e</w:t>
      </w:r>
      <w:r w:rsidRPr="00BD29EC">
        <w:rPr>
          <w:color w:val="auto"/>
          <w:sz w:val="24"/>
          <w:szCs w:val="24"/>
          <w:lang w:val="ru-RU"/>
        </w:rPr>
        <w:t xml:space="preserve">. </w:t>
      </w:r>
      <w:r w:rsidR="00A71EC6" w:rsidRPr="00A71EC6">
        <w:rPr>
          <w:b/>
          <w:color w:val="auto"/>
          <w:sz w:val="24"/>
          <w:szCs w:val="24"/>
          <w:lang w:val="ru-RU"/>
        </w:rPr>
        <w:t>Поставщики данных</w:t>
      </w:r>
    </w:p>
    <w:p w:rsidR="00DB5ED1" w:rsidRPr="00A71EC6" w:rsidRDefault="00DB5ED1" w:rsidP="00DB5ED1">
      <w:r w:rsidRPr="00DB5ED1">
        <w:t>Данные пока не включены в Национальные статистические системы, но информация, необходимая для расчета показателя, проста, не требует расширенных возможностей мониторинга и обычно доступна всем странам в министерствах или ведомствах, ответственных за водные ресурсы. Пространственная информация (</w:t>
      </w:r>
      <w:r w:rsidR="00CB6EE0">
        <w:t>«</w:t>
      </w:r>
      <w:r w:rsidRPr="00DB5ED1">
        <w:t>площадь трансграничного бассейна</w:t>
      </w:r>
      <w:r w:rsidR="00CB6EE0">
        <w:t>»</w:t>
      </w:r>
      <w:r w:rsidRPr="00DB5ED1">
        <w:t xml:space="preserve">) обычно доступна в министерствах, отвечающих за водные ресурсы. Значение этого компонента относительно фиксировано, хотя точность может варьироваться (особенно в отношении водоносных горизонтов) и может потребовать лишь ограниченного обновления на основе улучшенных знаний. Что касается оперативности соглашения, то данные, необходимые для расчета показателя, могут быть непосредственно получены из информации из административных документов (у государств-членов есть записи о </w:t>
      </w:r>
      <w:proofErr w:type="gramStart"/>
      <w:r w:rsidRPr="00DB5ED1">
        <w:t>соглашениях</w:t>
      </w:r>
      <w:proofErr w:type="gramEnd"/>
      <w:r w:rsidRPr="00DB5ED1">
        <w:t xml:space="preserve"> о сотрудничестве).</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f</w:t>
      </w:r>
      <w:r w:rsidRPr="00BD29EC">
        <w:rPr>
          <w:color w:val="auto"/>
          <w:sz w:val="24"/>
          <w:szCs w:val="24"/>
          <w:lang w:val="ru-RU"/>
        </w:rPr>
        <w:t xml:space="preserve">. </w:t>
      </w:r>
      <w:r w:rsidRPr="00A71EC6">
        <w:rPr>
          <w:b/>
          <w:color w:val="auto"/>
          <w:sz w:val="24"/>
          <w:szCs w:val="24"/>
          <w:lang w:val="ru-RU"/>
        </w:rPr>
        <w:t>Составители данных</w:t>
      </w:r>
    </w:p>
    <w:p w:rsidR="007F30D9" w:rsidRDefault="00DB5ED1" w:rsidP="00DB5ED1">
      <w:r>
        <w:t xml:space="preserve">ЕЭК ООН и </w:t>
      </w:r>
      <w:r w:rsidRPr="00DB5ED1">
        <w:t>ЮНЕСКО</w:t>
      </w:r>
      <w:r>
        <w:t>-</w:t>
      </w:r>
      <w:r w:rsidR="00CB2B62">
        <w:t>МГП</w:t>
      </w:r>
      <w:r w:rsidRPr="00DB5ED1">
        <w:t xml:space="preserve"> собирают </w:t>
      </w:r>
      <w:r>
        <w:t>необходимую информацию</w:t>
      </w:r>
      <w:r w:rsidRPr="00DB5ED1">
        <w:t xml:space="preserve"> из 153 стран, имеющих общие трансграничные бассейны, для расчета показателя, особенно в отношении трансграничных бассейнов (рек, озер и водоносных горизонтов), совместно используемых странами, применимых соглашений о сотрудничестве и их эффективности. С 2017 года </w:t>
      </w:r>
      <w:r w:rsidRPr="00DB5ED1">
        <w:lastRenderedPageBreak/>
        <w:t>регулярная отчетность Конвенции по водным ресурсам о трансграничном водном сотрудничестве обязывает ее Стороны собирать информацию, соответствующую показателю</w:t>
      </w:r>
      <w:r w:rsidR="001E00EE">
        <w:t xml:space="preserve"> ЦУР</w:t>
      </w:r>
      <w:r w:rsidRPr="00DB5ED1">
        <w:t xml:space="preserve"> 6.5.2, в рамках установленного обязательного механизма для Сторон каждые 3 года. Отчетность охватывает трансграничные реки, озера и грунтовые воды. В мероприятиях Конвенции по водам принимают участие более 130 стран, также приглашаются страны, не являющиеся Сторонами. ЕЭК ООН действует в качестве С</w:t>
      </w:r>
      <w:r w:rsidR="007F30D9">
        <w:t>екретариата Конвенции по водам.</w:t>
      </w:r>
    </w:p>
    <w:p w:rsidR="00DB5ED1" w:rsidRPr="00BD29EC" w:rsidRDefault="00DB5ED1" w:rsidP="00DB5ED1">
      <w:r w:rsidRPr="00DB5ED1">
        <w:t>Некоторые страны также сообщают региональным организациям (например, Европейскому союзу или Сообществу по вопросам развития стран Юга Африки) о развитии сотрудничества в области трансграничных водных ресурсов, и аналогичные механизмы можно было бы укрепить и облегчить.</w:t>
      </w:r>
    </w:p>
    <w:p w:rsidR="000A229E" w:rsidRPr="00BD29EC" w:rsidRDefault="000A229E" w:rsidP="0075371E">
      <w:pPr>
        <w:pStyle w:val="MHeader2"/>
        <w:rPr>
          <w:color w:val="auto"/>
          <w:sz w:val="24"/>
          <w:szCs w:val="24"/>
          <w:lang w:val="ru-RU"/>
        </w:rPr>
      </w:pPr>
      <w:r w:rsidRPr="00BD29EC">
        <w:rPr>
          <w:color w:val="auto"/>
          <w:sz w:val="24"/>
          <w:szCs w:val="24"/>
          <w:lang w:val="ru-RU"/>
        </w:rPr>
        <w:t>3.</w:t>
      </w:r>
      <w:r w:rsidRPr="00BD29EC">
        <w:rPr>
          <w:color w:val="auto"/>
          <w:sz w:val="24"/>
          <w:szCs w:val="24"/>
        </w:rPr>
        <w:t>g</w:t>
      </w:r>
      <w:r w:rsidRPr="00BD29EC">
        <w:rPr>
          <w:color w:val="auto"/>
          <w:sz w:val="24"/>
          <w:szCs w:val="24"/>
          <w:lang w:val="ru-RU"/>
        </w:rPr>
        <w:t xml:space="preserve">. </w:t>
      </w:r>
      <w:r w:rsidRPr="00A71EC6">
        <w:rPr>
          <w:b/>
          <w:color w:val="auto"/>
          <w:sz w:val="24"/>
          <w:szCs w:val="24"/>
          <w:lang w:val="ru-RU"/>
        </w:rPr>
        <w:t>Институциональный мандат</w:t>
      </w:r>
    </w:p>
    <w:p w:rsidR="00980F79" w:rsidRPr="00CB6EE0" w:rsidRDefault="00CB6EE0" w:rsidP="0075371E">
      <w:pPr>
        <w:pBdr>
          <w:top w:val="nil"/>
          <w:left w:val="nil"/>
          <w:bottom w:val="nil"/>
          <w:right w:val="nil"/>
          <w:between w:val="nil"/>
          <w:bar w:val="nil"/>
        </w:pBdr>
        <w:spacing w:after="0"/>
        <w:rPr>
          <w:rFonts w:cs="Times New Roman"/>
          <w:szCs w:val="24"/>
        </w:rPr>
      </w:pPr>
      <w:r w:rsidRPr="00CB6EE0">
        <w:rPr>
          <w:rFonts w:cs="Times New Roman"/>
          <w:szCs w:val="24"/>
        </w:rPr>
        <w:t>Не применимо</w:t>
      </w:r>
    </w:p>
    <w:p w:rsidR="00CB6EE0" w:rsidRPr="00BD29EC" w:rsidRDefault="00CB6EE0" w:rsidP="0075371E">
      <w:pPr>
        <w:pBdr>
          <w:top w:val="nil"/>
          <w:left w:val="nil"/>
          <w:bottom w:val="nil"/>
          <w:right w:val="nil"/>
          <w:between w:val="nil"/>
          <w:bar w:val="nil"/>
        </w:pBdr>
        <w:spacing w:after="0"/>
        <w:rPr>
          <w:rFonts w:cs="Times New Roman"/>
          <w:b/>
          <w:szCs w:val="24"/>
        </w:rPr>
      </w:pPr>
    </w:p>
    <w:p w:rsidR="002E15F9" w:rsidRPr="00BD29EC" w:rsidRDefault="002E15F9" w:rsidP="0075371E">
      <w:pPr>
        <w:pStyle w:val="MHeader"/>
        <w:rPr>
          <w:b/>
          <w:color w:val="auto"/>
          <w:sz w:val="24"/>
          <w:szCs w:val="24"/>
          <w:lang w:val="ru-RU"/>
        </w:rPr>
      </w:pPr>
      <w:r w:rsidRPr="00BD29EC">
        <w:rPr>
          <w:b/>
          <w:color w:val="auto"/>
          <w:sz w:val="24"/>
          <w:szCs w:val="24"/>
          <w:lang w:val="ru-RU"/>
        </w:rPr>
        <w:t>4. Иные методологические соображения</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a</w:t>
      </w:r>
      <w:r w:rsidRPr="00BD29EC">
        <w:rPr>
          <w:color w:val="auto"/>
          <w:sz w:val="24"/>
          <w:szCs w:val="24"/>
          <w:lang w:val="ru-RU"/>
        </w:rPr>
        <w:t xml:space="preserve">. </w:t>
      </w:r>
      <w:r w:rsidR="00CA1CB1" w:rsidRPr="00A71EC6">
        <w:rPr>
          <w:b/>
          <w:color w:val="auto"/>
          <w:sz w:val="24"/>
          <w:szCs w:val="24"/>
          <w:lang w:val="ru-RU"/>
        </w:rPr>
        <w:t>Обоснование</w:t>
      </w:r>
    </w:p>
    <w:p w:rsidR="001E00EE" w:rsidRDefault="001E00EE" w:rsidP="001E00EE">
      <w:r w:rsidRPr="001E00EE">
        <w:t xml:space="preserve">Большинство водных ресурсов мира являются общими: выявлено 592 трансграничных водоносных горизонта, а 287 трансграничных озерных и речных бассейнов занимают почти половину поверхности суши Земли и, по оценкам, обеспечивают 60% мировой пресной воды. Примерно 40% населения мира проживает в бассейнах рек и озер, разделяемых двумя или более странами, и более 90% проживает в странах с общими бассейнами. Освоение водных ресурсов оказывает воздействие на все трансграничные бассейны, потенциально на страны, разделяющие трансграничные бассейны, а использование поверхностных или подземных вод может повлиять на другие ресурсы, которые часто взаимосвязаны. Интенсивное водопользование, регулирование стока или риски загрязнения доходят до того, что ставят под угрозу стремления стран, разделяющих трансграничные бассейны, к развитию, и поэтому требуется трансграничное сотрудничество. Однако сотрудничество во многих </w:t>
      </w:r>
      <w:r>
        <w:t>случаях не продвинулось вперед.</w:t>
      </w:r>
    </w:p>
    <w:p w:rsidR="001E00EE" w:rsidRDefault="001E00EE" w:rsidP="001E00EE">
      <w:r w:rsidRPr="001E00EE">
        <w:t xml:space="preserve">Конкретные соглашения или другие договоренности, заключенные между странами, разделяющими трансграничные бассейны, являются ключевым предварительным условием для обеспечения долгосрочного и устойчивого сотрудничества. Международное обычное водное право (отраженное в Конвенции о водотоках 1997 года, Конвенции по водам 1992 года и проектах статей о праве трансграничных водоносных горизонтов), а также существующий опыт и передовая практика указывают на минимальные требования к оперативному сотрудничеству. Эти минимальные требования отражаются в четырех критериях оперативности. </w:t>
      </w:r>
    </w:p>
    <w:p w:rsidR="00FD0D5B" w:rsidRDefault="001E00EE" w:rsidP="001E00EE">
      <w:r w:rsidRPr="001E00EE">
        <w:t xml:space="preserve">Это является основой для прямого призыва к трансграничному водному сотрудничеству в формулировке задачи 6.5 и важности мониторинга этого показателя в дополнение к показателю 6.5.1, который измеряет продвижение Интегрированного управления водными ресурсами (ИУВР). </w:t>
      </w:r>
    </w:p>
    <w:p w:rsidR="002E15F9" w:rsidRPr="00BD29EC" w:rsidRDefault="001E00EE" w:rsidP="001E00EE">
      <w:r w:rsidRPr="001E00EE">
        <w:lastRenderedPageBreak/>
        <w:t xml:space="preserve">Прогресс конкретной страны в отношении аспекта сотрудничества, предусмотренного задачей 6.5, отраженный значением показателя 6.5.2, может </w:t>
      </w:r>
      <w:proofErr w:type="gramStart"/>
      <w:r w:rsidRPr="001E00EE">
        <w:t>быть</w:t>
      </w:r>
      <w:proofErr w:type="gramEnd"/>
      <w:r w:rsidRPr="001E00EE">
        <w:t xml:space="preserve"> достигнут либо путем создания новых механизмов оперативного сотрудничества, либо приведения в действие существующих механизмов путем разработки и упорядочения деятельности, либо расширения охвата соглашений о сотрудничестве с конечной целью охвата вс</w:t>
      </w:r>
      <w:r w:rsidR="00FD0D5B">
        <w:t>ех поверхностных вод и грунтовых вод</w:t>
      </w:r>
      <w:r w:rsidRPr="001E00EE">
        <w:t>.</w:t>
      </w:r>
    </w:p>
    <w:p w:rsidR="002E15F9" w:rsidRDefault="002E15F9" w:rsidP="0075371E">
      <w:pPr>
        <w:pStyle w:val="MHeader2"/>
        <w:rPr>
          <w:b/>
          <w:color w:val="auto"/>
          <w:sz w:val="24"/>
          <w:szCs w:val="24"/>
          <w:lang w:val="ru-RU"/>
        </w:rPr>
      </w:pPr>
      <w:r w:rsidRPr="00BD29EC">
        <w:rPr>
          <w:color w:val="auto"/>
          <w:sz w:val="24"/>
          <w:szCs w:val="24"/>
          <w:lang w:val="ru-RU"/>
        </w:rPr>
        <w:t>4.</w:t>
      </w:r>
      <w:r w:rsidRPr="00BD29EC">
        <w:rPr>
          <w:color w:val="auto"/>
          <w:sz w:val="24"/>
          <w:szCs w:val="24"/>
        </w:rPr>
        <w:t>b</w:t>
      </w:r>
      <w:r w:rsidRPr="00BD29EC">
        <w:rPr>
          <w:color w:val="auto"/>
          <w:sz w:val="24"/>
          <w:szCs w:val="24"/>
          <w:lang w:val="ru-RU"/>
        </w:rPr>
        <w:t xml:space="preserve">. </w:t>
      </w:r>
      <w:r w:rsidR="00CA1CB1" w:rsidRPr="00A71EC6">
        <w:rPr>
          <w:b/>
          <w:color w:val="auto"/>
          <w:sz w:val="24"/>
          <w:szCs w:val="24"/>
          <w:lang w:val="ru-RU"/>
        </w:rPr>
        <w:t>Комментарии и ограничения</w:t>
      </w:r>
    </w:p>
    <w:p w:rsidR="00680102" w:rsidRDefault="00680102" w:rsidP="00680102">
      <w:r w:rsidRPr="00680102">
        <w:t>Пространственная информация о границах трансграничных поверхностных водных бассейнов и протяженности водосборных бассейнов общедоступна и по существу статична; следовательно, после определения не ожидае</w:t>
      </w:r>
      <w:r>
        <w:t>тся необходимости в обновлении.</w:t>
      </w:r>
    </w:p>
    <w:p w:rsidR="00680102" w:rsidRDefault="00680102" w:rsidP="00680102">
      <w:r w:rsidRPr="00680102">
        <w:t xml:space="preserve">Информация о площадной протяженности трансграничных водоносных горизонтов может изменяться с течением времени, поскольку такая информация, как правило, является более грубой, но, вероятно, будет улучшаться из-за развивающихся знаний о водоносных горизонтах. Технические исследования и обмен информацией позволят улучшить разграничение, а также могут привести к выявлению дополнительных трансграничных водоносных горизонтов. </w:t>
      </w:r>
    </w:p>
    <w:p w:rsidR="00680102" w:rsidRPr="00680102" w:rsidRDefault="00680102" w:rsidP="00680102">
      <w:r w:rsidRPr="00680102">
        <w:t>В ситуациях, когда более двух прибрежных стран совместно используют бассейн, но только некоторые из них имеют соглашения об оперативном сотрудничестве, значение показателя может скрыть разрыв, заключающийся в том, что прибрежная страна не имеет соглашений о сотрудничестве со всеми своими соседями, расположенными выше и ниже по течению. Такая дополнительная информация может быть получена путем агрегирования данных на уровне бассейнов, но не из отчетности на национальном уровне. Правовая основа сотрудничества развивается медленно: заключение новых соглашений по трансграничным водам обычно является длительным процессом, который занимает много лет.</w:t>
      </w:r>
    </w:p>
    <w:p w:rsidR="00680102" w:rsidRPr="00BD29EC" w:rsidRDefault="00680102" w:rsidP="00680102">
      <w:r w:rsidRPr="00680102">
        <w:t>Оперативность сотрудничества становится более динамичной, поскольку она развивается по мере расширения сотрудничества. Можно ожидать, что оперативность будет развиваться в течение более коротких периодов времени, и через год или два потенциально можно будет наблюдать прогресс.</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c</w:t>
      </w:r>
      <w:r w:rsidRPr="00BD29EC">
        <w:rPr>
          <w:color w:val="auto"/>
          <w:sz w:val="24"/>
          <w:szCs w:val="24"/>
          <w:lang w:val="ru-RU"/>
        </w:rPr>
        <w:t xml:space="preserve">. </w:t>
      </w:r>
      <w:r w:rsidR="00CA1CB1" w:rsidRPr="00A71EC6">
        <w:rPr>
          <w:b/>
          <w:color w:val="auto"/>
          <w:sz w:val="24"/>
          <w:szCs w:val="24"/>
          <w:lang w:val="ru-RU"/>
        </w:rPr>
        <w:t>Метод расчета</w:t>
      </w:r>
      <w:r w:rsidR="00CA1CB1" w:rsidRPr="00BD29EC">
        <w:rPr>
          <w:color w:val="auto"/>
          <w:sz w:val="24"/>
          <w:szCs w:val="24"/>
          <w:lang w:val="ru-RU"/>
        </w:rPr>
        <w:t xml:space="preserve"> </w:t>
      </w:r>
    </w:p>
    <w:p w:rsidR="00031EA7" w:rsidRPr="00031EA7" w:rsidRDefault="00031EA7" w:rsidP="00031EA7">
      <w:r w:rsidRPr="00031EA7">
        <w:t>Шаг 1. Определение трансграничных поверхностных вод и водоносных горизонтов</w:t>
      </w:r>
    </w:p>
    <w:p w:rsidR="00031EA7" w:rsidRPr="00031EA7" w:rsidRDefault="00031EA7" w:rsidP="00031EA7">
      <w:r w:rsidRPr="00031EA7">
        <w:t>Хотя идентификация трансграничной поверхностной воды является прямой, идентификация трансграничных водоносных горизонтов требует проведения расследований.</w:t>
      </w:r>
    </w:p>
    <w:p w:rsidR="00031EA7" w:rsidRPr="00031EA7" w:rsidRDefault="00031EA7" w:rsidP="00031EA7">
      <w:r w:rsidRPr="00031EA7">
        <w:t>Если нет трансграничных поверхностных вод или грунтовых вод, отчетность неприменима.</w:t>
      </w:r>
    </w:p>
    <w:p w:rsidR="00031EA7" w:rsidRPr="00031EA7" w:rsidRDefault="00031EA7" w:rsidP="00031EA7">
      <w:r w:rsidRPr="00031EA7">
        <w:t>Шаг 2. Рассчитайте площадь поверхности каждого трансграничного бассейна и общую сумму</w:t>
      </w:r>
    </w:p>
    <w:p w:rsidR="00031EA7" w:rsidRPr="00031EA7" w:rsidRDefault="00031EA7" w:rsidP="00031EA7">
      <w:r w:rsidRPr="00031EA7">
        <w:lastRenderedPageBreak/>
        <w:t>Обычно, по крайней мере, бассейны рек и озер были очерчены через топографические карты, следовательно, область бассейна известна или легко измерима.</w:t>
      </w:r>
    </w:p>
    <w:p w:rsidR="00031EA7" w:rsidRPr="00031EA7" w:rsidRDefault="00031EA7" w:rsidP="00031EA7">
      <w:r w:rsidRPr="00031EA7">
        <w:t>Общая площадь трансграничной поверхности в стране представляет собой сумму площади поверхности в стране каждого из трансграничных бассейнов и водоносных горизонтов (выраженные в км</w:t>
      </w:r>
      <w:proofErr w:type="gramStart"/>
      <w:r w:rsidRPr="00031EA7">
        <w:t>2</w:t>
      </w:r>
      <w:proofErr w:type="gramEnd"/>
      <w:r w:rsidRPr="00031EA7">
        <w:t>). Трансграничные районы для различных типов системы (например, речной бассейн и водоносный горизонт) или несколько водоносных горизонтов могут перекрываться. Следует добавить площадь трансграничных водоносных горизонтов, даже если они расположены в бассейне трансграничных рек, чтобы отслеживать прогресс сотрудничества в области трансграничных водоносных горизонтов.</w:t>
      </w:r>
    </w:p>
    <w:p w:rsidR="00031EA7" w:rsidRPr="00031EA7" w:rsidRDefault="00031EA7" w:rsidP="00031EA7">
      <w:r w:rsidRPr="00031EA7">
        <w:t>Расчеты наиболее легко переносятся с помощью Географических информационных систем (ГИС). С использованием соответствующих инструментов для пространственного анализа, формы поверхностных водосборов и водоносных горизонтов могут использоваться для сообщения как дезагрегированных (для поверхностного водного бассейна или водоносного горизонта), так и агрегированных (соглашение существует на одном).</w:t>
      </w:r>
    </w:p>
    <w:p w:rsidR="00031EA7" w:rsidRPr="00031EA7" w:rsidRDefault="00031EA7" w:rsidP="00031EA7">
      <w:r w:rsidRPr="00031EA7">
        <w:t>Шаг 3.  Рассмотрение существующих механизмов трансграничного сотрудничества в области управления водными ресурсами и проверка трансграничных вод, охваченных механизмом сотрудничества</w:t>
      </w:r>
    </w:p>
    <w:p w:rsidR="00031EA7" w:rsidRPr="00031EA7" w:rsidRDefault="00031EA7" w:rsidP="00031EA7">
      <w:r w:rsidRPr="00031EA7">
        <w:t xml:space="preserve">Некоторые оперативные меры по комплексному управлению трансграничными водами покрывают поверхностные воды и подземные воды. В таких случаях должно быть ясно, что географическая протяженность используется для расчета значения </w:t>
      </w:r>
      <w:r w:rsidR="00895469">
        <w:t>показателя</w:t>
      </w:r>
      <w:r w:rsidRPr="00031EA7">
        <w:t>.</w:t>
      </w:r>
      <w:r w:rsidR="00DE4E33">
        <w:t xml:space="preserve"> </w:t>
      </w:r>
      <w:r w:rsidRPr="00031EA7">
        <w:t xml:space="preserve">В других случаях область применения может быть ограничена пограничным участком водотока и в таких случаях только соответствующая область должна считаться потенциально имеющей оперативное устройство для вычисления значения </w:t>
      </w:r>
      <w:r w:rsidR="00895469">
        <w:t>показателя</w:t>
      </w:r>
      <w:r w:rsidRPr="00031EA7">
        <w:t>.</w:t>
      </w:r>
      <w:r w:rsidR="00DE4E33">
        <w:t xml:space="preserve"> </w:t>
      </w:r>
      <w:r w:rsidRPr="00031EA7">
        <w:t>В конце этого шага должно быть известно, какие трансграничные бассейны охвачены сотрудничеством (и их соответствующие области).</w:t>
      </w:r>
    </w:p>
    <w:p w:rsidR="00031EA7" w:rsidRPr="00031EA7" w:rsidRDefault="00031EA7" w:rsidP="00031EA7">
      <w:r w:rsidRPr="00031EA7">
        <w:t>Шаг 4. Проверьте, какие из существующих механизмов трансграничного сотрудничества в области управления водными ресурсами эксплуатационные</w:t>
      </w:r>
    </w:p>
    <w:p w:rsidR="00031EA7" w:rsidRPr="00031EA7" w:rsidRDefault="00031EA7" w:rsidP="00031EA7">
      <w:r w:rsidRPr="00031EA7">
        <w:t>Следующий контрольный список позволяет определить, будет ли договоренность о сотрудничестве в конкретном бассейне или</w:t>
      </w:r>
      <w:r w:rsidR="00895469">
        <w:t xml:space="preserve"> </w:t>
      </w:r>
      <w:r w:rsidRPr="00031EA7">
        <w:t>в отношении конкретной сопричастной страны являться оперативной:</w:t>
      </w:r>
    </w:p>
    <w:p w:rsidR="00CB6EE0" w:rsidRDefault="00CB6EE0" w:rsidP="00CB6EE0">
      <w:pPr>
        <w:pStyle w:val="ab"/>
        <w:numPr>
          <w:ilvl w:val="0"/>
          <w:numId w:val="6"/>
        </w:numPr>
      </w:pPr>
      <w:r>
        <w:t xml:space="preserve">существует ли совместный орган или механизм трансграничного водного сотрудничества? </w:t>
      </w:r>
    </w:p>
    <w:p w:rsidR="00CB6EE0" w:rsidRDefault="00CB6EE0" w:rsidP="00CB6EE0">
      <w:pPr>
        <w:pStyle w:val="ab"/>
        <w:numPr>
          <w:ilvl w:val="0"/>
          <w:numId w:val="6"/>
        </w:numPr>
      </w:pPr>
      <w:r>
        <w:t>осуществляется ли, по крайней мере, ежегодное (в среднем) официальное общение в форме совещаний на политическом и/или техническом уровнях?</w:t>
      </w:r>
    </w:p>
    <w:p w:rsidR="00CB6EE0" w:rsidRDefault="00CB6EE0" w:rsidP="00CB6EE0">
      <w:pPr>
        <w:pStyle w:val="ab"/>
        <w:numPr>
          <w:ilvl w:val="0"/>
          <w:numId w:val="6"/>
        </w:numPr>
      </w:pPr>
      <w:r>
        <w:t xml:space="preserve">были ли приняты совместные или скоординированные планы управления водными ресурсами или совместные цели? </w:t>
      </w:r>
    </w:p>
    <w:p w:rsidR="00031EA7" w:rsidRPr="00031EA7" w:rsidRDefault="00CB6EE0" w:rsidP="00CB6EE0">
      <w:pPr>
        <w:pStyle w:val="ab"/>
        <w:numPr>
          <w:ilvl w:val="0"/>
          <w:numId w:val="6"/>
        </w:numPr>
      </w:pPr>
      <w:r>
        <w:t>осуществляется ли хотя бы ежегодный (в среднем) обмен информацией и данными?</w:t>
      </w:r>
    </w:p>
    <w:p w:rsidR="00031EA7" w:rsidRPr="00031EA7" w:rsidRDefault="00031EA7" w:rsidP="00031EA7">
      <w:r w:rsidRPr="00031EA7">
        <w:lastRenderedPageBreak/>
        <w:t>Если какое-либо из условий не будет выполнено, соглашение о сотрудничестве не может считаться оперативным. Эта информация в настоящее время доступна в странах и также может быть отозвана из глобальных, региональных или бассейновых систем отчетности.</w:t>
      </w:r>
    </w:p>
    <w:p w:rsidR="00031EA7" w:rsidRPr="00031EA7" w:rsidRDefault="00031EA7" w:rsidP="00031EA7">
      <w:r w:rsidRPr="00031EA7">
        <w:t xml:space="preserve">Шаг 5. </w:t>
      </w:r>
    </w:p>
    <w:p w:rsidR="00031EA7" w:rsidRPr="00031EA7" w:rsidRDefault="00031EA7" w:rsidP="00031EA7">
      <w:pPr>
        <w:rPr>
          <w:color w:val="1C75BC"/>
          <w:sz w:val="26"/>
        </w:rPr>
      </w:pPr>
      <w:r w:rsidRPr="00031EA7">
        <w:t>Вычислите значение показателя, то есть долю области, добавив площадь поверхности в стране тех трансграничных поверхностных водных бассейнов или водоносных горизонтов, которые охвачены оперативным сотрудничеством и разделив его на общую суммарную площадь в стране всех трансграничных бассейнов (включая водоносные горизонты), умноженное на 100, чтобы получить процентную долю».</w:t>
      </w:r>
    </w:p>
    <w:p w:rsidR="002E15F9" w:rsidRPr="00BD29EC" w:rsidRDefault="002E15F9" w:rsidP="00A71EC6">
      <w:pPr>
        <w:pStyle w:val="MHeader2"/>
        <w:pBdr>
          <w:bottom w:val="single" w:sz="12" w:space="3" w:color="DDDDDD"/>
        </w:pBdr>
        <w:rPr>
          <w:color w:val="auto"/>
          <w:sz w:val="24"/>
          <w:szCs w:val="24"/>
          <w:lang w:val="ru-RU"/>
        </w:rPr>
      </w:pPr>
      <w:r w:rsidRPr="00BD29EC">
        <w:rPr>
          <w:color w:val="auto"/>
          <w:sz w:val="24"/>
          <w:szCs w:val="24"/>
          <w:lang w:val="ru-RU"/>
        </w:rPr>
        <w:t>4.</w:t>
      </w:r>
      <w:r w:rsidRPr="00BD29EC">
        <w:rPr>
          <w:color w:val="auto"/>
          <w:sz w:val="24"/>
          <w:szCs w:val="24"/>
        </w:rPr>
        <w:t>d</w:t>
      </w:r>
      <w:r w:rsidRPr="00BD29EC">
        <w:rPr>
          <w:color w:val="auto"/>
          <w:sz w:val="24"/>
          <w:szCs w:val="24"/>
          <w:lang w:val="ru-RU"/>
        </w:rPr>
        <w:t xml:space="preserve">. </w:t>
      </w:r>
      <w:r w:rsidR="00694160" w:rsidRPr="00A71EC6">
        <w:rPr>
          <w:b/>
          <w:color w:val="auto"/>
          <w:sz w:val="24"/>
          <w:szCs w:val="24"/>
          <w:lang w:val="ru-RU"/>
        </w:rPr>
        <w:t>Валидация</w:t>
      </w:r>
    </w:p>
    <w:p w:rsidR="00287C46" w:rsidRDefault="00287C46" w:rsidP="00287C46">
      <w:r w:rsidRPr="00287C46">
        <w:t>Странам предлагается представить данные о своих трансграничных бассейнах, охватываемых оперативными соглашениями, с использованием шаблона отчетности или вопросника. Шаблоны представляются учреждениям-</w:t>
      </w:r>
      <w:r>
        <w:t>кураторам</w:t>
      </w:r>
      <w:r w:rsidRPr="00287C46">
        <w:t>, ЕЭК ООН и ЮНЕСКО</w:t>
      </w:r>
      <w:r>
        <w:t>,</w:t>
      </w:r>
      <w:r w:rsidRPr="00287C46">
        <w:t xml:space="preserve"> для рассмотрения. Странам рекомендуется нап</w:t>
      </w:r>
      <w:r>
        <w:t xml:space="preserve">равлять проекты своих шаблонов </w:t>
      </w:r>
      <w:r w:rsidRPr="00287C46">
        <w:t>учреждения</w:t>
      </w:r>
      <w:r>
        <w:t>м</w:t>
      </w:r>
      <w:r w:rsidRPr="00287C46">
        <w:t>-</w:t>
      </w:r>
      <w:r>
        <w:t>кураторам</w:t>
      </w:r>
      <w:r w:rsidRPr="00287C46">
        <w:t xml:space="preserve"> для получения отзывов до окончательного представления. После отправки учреждения-</w:t>
      </w:r>
      <w:r>
        <w:t>кураторы</w:t>
      </w:r>
      <w:r w:rsidRPr="00287C46">
        <w:t xml:space="preserve"> просматривают национальные шаблоны, чтобы оценить, во-первых, предоставляется ли достаточная и точная информация для расчета значения национального показателя ЦУР, и, во-вторых, предоставляется ли официальное одобрение шаблона (в форме подписи).</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e</w:t>
      </w:r>
      <w:r w:rsidRPr="00BD29EC">
        <w:rPr>
          <w:color w:val="auto"/>
          <w:sz w:val="24"/>
          <w:szCs w:val="24"/>
          <w:lang w:val="ru-RU"/>
        </w:rPr>
        <w:t xml:space="preserve">. </w:t>
      </w:r>
      <w:r w:rsidR="00694160" w:rsidRPr="00A71EC6">
        <w:rPr>
          <w:b/>
          <w:color w:val="auto"/>
          <w:sz w:val="24"/>
          <w:szCs w:val="24"/>
          <w:lang w:val="ru-RU"/>
        </w:rPr>
        <w:t>Корректировки</w:t>
      </w:r>
    </w:p>
    <w:p w:rsidR="002E15F9" w:rsidRDefault="00F92D6F" w:rsidP="0075371E">
      <w:pPr>
        <w:pStyle w:val="MText"/>
        <w:rPr>
          <w:color w:val="auto"/>
          <w:sz w:val="24"/>
          <w:szCs w:val="24"/>
          <w:lang w:val="ru-RU"/>
        </w:rPr>
      </w:pPr>
      <w:r>
        <w:rPr>
          <w:color w:val="auto"/>
          <w:sz w:val="24"/>
          <w:szCs w:val="24"/>
          <w:lang w:val="ru-RU"/>
        </w:rPr>
        <w:t>Не применимо</w:t>
      </w:r>
      <w:r w:rsidR="00694160" w:rsidRPr="00BD29EC">
        <w:rPr>
          <w:color w:val="auto"/>
          <w:sz w:val="24"/>
          <w:szCs w:val="24"/>
          <w:lang w:val="ru-RU"/>
        </w:rPr>
        <w:t>.</w:t>
      </w:r>
    </w:p>
    <w:p w:rsidR="00CB6EE0" w:rsidRPr="00BD29EC" w:rsidRDefault="00CB6EE0" w:rsidP="0075371E">
      <w:pPr>
        <w:pStyle w:val="MText"/>
        <w:rPr>
          <w:color w:val="auto"/>
          <w:sz w:val="24"/>
          <w:szCs w:val="24"/>
          <w:lang w:val="ru-RU"/>
        </w:rPr>
      </w:pP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f</w:t>
      </w:r>
      <w:r w:rsidRPr="00BD29EC">
        <w:rPr>
          <w:color w:val="auto"/>
          <w:sz w:val="24"/>
          <w:szCs w:val="24"/>
          <w:lang w:val="ru-RU"/>
        </w:rPr>
        <w:t xml:space="preserve">. </w:t>
      </w:r>
      <w:r w:rsidR="00694160" w:rsidRPr="00A71EC6">
        <w:rPr>
          <w:b/>
          <w:color w:val="auto"/>
          <w:sz w:val="24"/>
          <w:szCs w:val="24"/>
          <w:lang w:val="ru-RU"/>
        </w:rPr>
        <w:t>Обработка отсутствующих значений (</w:t>
      </w:r>
      <w:proofErr w:type="spellStart"/>
      <w:r w:rsidR="00694160" w:rsidRPr="00A71EC6">
        <w:rPr>
          <w:b/>
          <w:color w:val="auto"/>
          <w:sz w:val="24"/>
          <w:szCs w:val="24"/>
        </w:rPr>
        <w:t>i</w:t>
      </w:r>
      <w:proofErr w:type="spellEnd"/>
      <w:r w:rsidR="00694160" w:rsidRPr="00A71EC6">
        <w:rPr>
          <w:b/>
          <w:color w:val="auto"/>
          <w:sz w:val="24"/>
          <w:szCs w:val="24"/>
          <w:lang w:val="ru-RU"/>
        </w:rPr>
        <w:t>) на уровне страны и (</w:t>
      </w:r>
      <w:r w:rsidR="00694160" w:rsidRPr="00A71EC6">
        <w:rPr>
          <w:b/>
          <w:color w:val="auto"/>
          <w:sz w:val="24"/>
          <w:szCs w:val="24"/>
        </w:rPr>
        <w:t>ii</w:t>
      </w:r>
      <w:r w:rsidR="00694160" w:rsidRPr="00A71EC6">
        <w:rPr>
          <w:b/>
          <w:color w:val="auto"/>
          <w:sz w:val="24"/>
          <w:szCs w:val="24"/>
          <w:lang w:val="ru-RU"/>
        </w:rPr>
        <w:t>) на региональном уровне</w:t>
      </w:r>
    </w:p>
    <w:p w:rsidR="002E15F9" w:rsidRPr="00CB6EE0" w:rsidRDefault="00CB6EE0" w:rsidP="00CB6EE0">
      <w:pPr>
        <w:pStyle w:val="ab"/>
        <w:numPr>
          <w:ilvl w:val="0"/>
          <w:numId w:val="8"/>
        </w:numPr>
        <w:rPr>
          <w:b/>
        </w:rPr>
      </w:pPr>
      <w:r w:rsidRPr="00CB6EE0">
        <w:rPr>
          <w:b/>
        </w:rPr>
        <w:t>На страновом уровне:</w:t>
      </w:r>
    </w:p>
    <w:p w:rsidR="002E15F9" w:rsidRPr="00BD29EC" w:rsidRDefault="007F1F9E" w:rsidP="007F1F9E">
      <w:r w:rsidRPr="007F1F9E">
        <w:t xml:space="preserve">В случае пространственных данных: Для определения границ бассейна информация цифровой модели рельефа может быть использована для определения границ бассейна поверхностных вод. Для водоносных горизонтов геологические карты могут служить основой для приблизительного определения протяженности водоносного горизонта. В случае подземных вод неопределенность в отношении трансграничного характера сохраняется до тех пор, пока не будут проведены исследования гидравлических свойств. В отсутствие административных документов пробелы в соглашениях о сотрудничестве трудно заполнить, хотя такие соглашения, как правило, </w:t>
      </w:r>
      <w:proofErr w:type="gramStart"/>
      <w:r w:rsidRPr="007F1F9E">
        <w:t>широко доступны</w:t>
      </w:r>
      <w:proofErr w:type="gramEnd"/>
      <w:r w:rsidRPr="007F1F9E">
        <w:t>.</w:t>
      </w:r>
    </w:p>
    <w:p w:rsidR="002E15F9" w:rsidRPr="00CB6EE0" w:rsidRDefault="00694160" w:rsidP="00CB6EE0">
      <w:pPr>
        <w:pStyle w:val="ab"/>
        <w:numPr>
          <w:ilvl w:val="0"/>
          <w:numId w:val="8"/>
        </w:numPr>
        <w:rPr>
          <w:b/>
          <w:szCs w:val="24"/>
        </w:rPr>
      </w:pPr>
      <w:r w:rsidRPr="00CB6EE0">
        <w:rPr>
          <w:b/>
          <w:szCs w:val="24"/>
        </w:rPr>
        <w:t>На региональном и глобальном уровнях</w:t>
      </w:r>
      <w:r w:rsidR="00CB6EE0" w:rsidRPr="00CB6EE0">
        <w:rPr>
          <w:b/>
          <w:szCs w:val="24"/>
        </w:rPr>
        <w:t>:</w:t>
      </w:r>
    </w:p>
    <w:p w:rsidR="00CB6EE0" w:rsidRDefault="007F1F9E" w:rsidP="007F1F9E">
      <w:pPr>
        <w:rPr>
          <w:szCs w:val="24"/>
        </w:rPr>
      </w:pPr>
      <w:r w:rsidRPr="007F1F9E">
        <w:rPr>
          <w:szCs w:val="24"/>
        </w:rPr>
        <w:t xml:space="preserve">Этот показатель не применяется к странам, не имеющим сухопутной границы, поэтому, в частности, островные государства не будут сообщать значение этого показателя. Международные базы данных и кадастры (как описано в разделе 3.a) доступны для ознакомления в отсутствие информации, представленной странами. Недостающий объем </w:t>
      </w:r>
      <w:r w:rsidRPr="007F1F9E">
        <w:rPr>
          <w:szCs w:val="24"/>
        </w:rPr>
        <w:lastRenderedPageBreak/>
        <w:t>бассейна поверхностных вод может быть извлечен из цифровых моделей рельефа, доступных по всему миру. Также существуют глобальные геологические карты и карты гидрогеологии/потенциала подземных вод, которые можно было бы использовать для приблизительного определения протяженности водоносного г</w:t>
      </w:r>
      <w:r w:rsidR="00CB6EE0">
        <w:rPr>
          <w:szCs w:val="24"/>
        </w:rPr>
        <w:t>оризонта (площади поверхности).</w:t>
      </w:r>
    </w:p>
    <w:p w:rsidR="00694160" w:rsidRPr="00BD29EC" w:rsidRDefault="00CB6EE0" w:rsidP="007F1F9E">
      <w:pPr>
        <w:rPr>
          <w:szCs w:val="24"/>
        </w:rPr>
      </w:pPr>
      <w:r w:rsidRPr="00CB6EE0">
        <w:rPr>
          <w:szCs w:val="24"/>
        </w:rPr>
        <w:t>Что касается механизмов, то согласованность информации, представляемой странами, совместно использующими одни и те же трансграничные бассейны, может быть использована для заполнения пробелов в информации о механизмах и их действенности.</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g</w:t>
      </w:r>
      <w:r w:rsidRPr="00BD29EC">
        <w:rPr>
          <w:color w:val="auto"/>
          <w:sz w:val="24"/>
          <w:szCs w:val="24"/>
          <w:lang w:val="ru-RU"/>
        </w:rPr>
        <w:t xml:space="preserve">. </w:t>
      </w:r>
      <w:r w:rsidR="00E27922" w:rsidRPr="00A71EC6">
        <w:rPr>
          <w:b/>
          <w:color w:val="auto"/>
          <w:sz w:val="24"/>
          <w:szCs w:val="24"/>
          <w:lang w:val="ru-RU"/>
        </w:rPr>
        <w:t>Региональное агрегирование</w:t>
      </w:r>
      <w:r w:rsidR="00E27922" w:rsidRPr="00BD29EC">
        <w:rPr>
          <w:color w:val="auto"/>
          <w:sz w:val="24"/>
          <w:szCs w:val="24"/>
          <w:lang w:val="ru-RU"/>
        </w:rPr>
        <w:t xml:space="preserve"> </w:t>
      </w:r>
    </w:p>
    <w:p w:rsidR="00CB6EE0" w:rsidRDefault="00CB6EE0" w:rsidP="00CB6EE0">
      <w:r>
        <w:t>Региональные и глобальные оценки получаются путем вычисления средних значений для отдельных стран на региональном и глобальном уровнях.</w:t>
      </w:r>
    </w:p>
    <w:p w:rsidR="002E15F9" w:rsidRPr="00BD29EC" w:rsidRDefault="00CB6EE0" w:rsidP="00CB6EE0">
      <w:r>
        <w:t>Однако базовая оценка из глобальных баз данных может быть выполнена в любом желаемом географическом масштабе: субнациональном, национальном, региональном, бассейновом, глобальном и т.д. Однако пробелы в данных могут ограничить эту возможность, начиная с регионального уровня.</w:t>
      </w:r>
    </w:p>
    <w:p w:rsidR="002E15F9" w:rsidRDefault="002E15F9" w:rsidP="0075371E">
      <w:pPr>
        <w:pStyle w:val="MHeader2"/>
        <w:rPr>
          <w:b/>
          <w:color w:val="auto"/>
          <w:sz w:val="24"/>
          <w:szCs w:val="24"/>
          <w:lang w:val="ru-RU"/>
        </w:rPr>
      </w:pPr>
      <w:r w:rsidRPr="00BD29EC">
        <w:rPr>
          <w:color w:val="auto"/>
          <w:sz w:val="24"/>
          <w:szCs w:val="24"/>
          <w:lang w:val="ru-RU"/>
        </w:rPr>
        <w:t>4.</w:t>
      </w:r>
      <w:r w:rsidRPr="00BD29EC">
        <w:rPr>
          <w:color w:val="auto"/>
          <w:sz w:val="24"/>
          <w:szCs w:val="24"/>
        </w:rPr>
        <w:t>h</w:t>
      </w:r>
      <w:r w:rsidRPr="00BD29EC">
        <w:rPr>
          <w:color w:val="auto"/>
          <w:sz w:val="24"/>
          <w:szCs w:val="24"/>
          <w:lang w:val="ru-RU"/>
        </w:rPr>
        <w:t xml:space="preserve">. </w:t>
      </w:r>
      <w:r w:rsidR="00E27922" w:rsidRPr="00A71EC6">
        <w:rPr>
          <w:b/>
          <w:color w:val="auto"/>
          <w:sz w:val="24"/>
          <w:szCs w:val="24"/>
          <w:lang w:val="ru-RU"/>
        </w:rPr>
        <w:t>Доступные странам методы для сбора данных на национальном уровне</w:t>
      </w:r>
    </w:p>
    <w:p w:rsidR="00CB6EE0" w:rsidRPr="00CB6EE0" w:rsidRDefault="00CB6EE0" w:rsidP="00CB6EE0">
      <w:pPr>
        <w:pStyle w:val="MHeader2"/>
        <w:rPr>
          <w:color w:val="auto"/>
          <w:sz w:val="24"/>
          <w:szCs w:val="24"/>
          <w:lang w:val="ru-RU"/>
        </w:rPr>
      </w:pPr>
      <w:r w:rsidRPr="00CB6EE0">
        <w:rPr>
          <w:color w:val="auto"/>
          <w:sz w:val="24"/>
          <w:szCs w:val="24"/>
          <w:lang w:val="ru-RU"/>
        </w:rPr>
        <w:t xml:space="preserve">В рамках программы "ООН </w:t>
      </w:r>
      <w:proofErr w:type="gramStart"/>
      <w:r w:rsidRPr="00CB6EE0">
        <w:rPr>
          <w:color w:val="auto"/>
          <w:sz w:val="24"/>
          <w:szCs w:val="24"/>
          <w:lang w:val="ru-RU"/>
        </w:rPr>
        <w:t>-в</w:t>
      </w:r>
      <w:proofErr w:type="gramEnd"/>
      <w:r w:rsidRPr="00CB6EE0">
        <w:rPr>
          <w:color w:val="auto"/>
          <w:sz w:val="24"/>
          <w:szCs w:val="24"/>
          <w:lang w:val="ru-RU"/>
        </w:rPr>
        <w:t xml:space="preserve">одные ресурсы" ЕЭК ООН и ЮНЕСКО разработали пошаговую методологию, которую страны могут использовать для сбора данных на национальном уровне по показателю 6.5.2 ЦУР. Методология, которая была пересмотрена в январе 2020 года перед вторым этапом подготовки отчетности, доступна на английском, французском, русском и испанском языках через веб-сайт организации "ООН - водные ресурсы" - </w:t>
      </w:r>
      <w:hyperlink r:id="rId14" w:history="1">
        <w:r w:rsidRPr="001F66CA">
          <w:rPr>
            <w:rStyle w:val="ac"/>
            <w:sz w:val="24"/>
            <w:szCs w:val="24"/>
            <w:lang w:val="ru-RU"/>
          </w:rPr>
          <w:t>https://www.unwater.org/publications/step-step-methodology-monitoring-transboundary-cooperation-6-5-2/</w:t>
        </w:r>
      </w:hyperlink>
      <w:r w:rsidRPr="00CB6EE0">
        <w:rPr>
          <w:color w:val="auto"/>
          <w:sz w:val="24"/>
          <w:szCs w:val="24"/>
          <w:lang w:val="ru-RU"/>
        </w:rPr>
        <w:t xml:space="preserve">. </w:t>
      </w:r>
    </w:p>
    <w:p w:rsidR="00CB6EE0" w:rsidRPr="00CB6EE0" w:rsidRDefault="00CB6EE0" w:rsidP="00CB6EE0">
      <w:pPr>
        <w:pStyle w:val="MHeader2"/>
        <w:rPr>
          <w:color w:val="auto"/>
          <w:sz w:val="24"/>
          <w:szCs w:val="24"/>
          <w:lang w:val="ru-RU"/>
        </w:rPr>
      </w:pPr>
      <w:r w:rsidRPr="00CB6EE0">
        <w:rPr>
          <w:color w:val="auto"/>
          <w:sz w:val="24"/>
          <w:szCs w:val="24"/>
          <w:lang w:val="ru-RU"/>
        </w:rPr>
        <w:t>Кроме того, ЕЭК ООН через группу экспертов, состоящую как из сторон, так и из государств, не являющихся сторонами Конвенции по трансграничным водам, разработала Руководство по отч</w:t>
      </w:r>
      <w:bookmarkStart w:id="5" w:name="_GoBack"/>
      <w:bookmarkEnd w:id="5"/>
      <w:r w:rsidRPr="00CB6EE0">
        <w:rPr>
          <w:color w:val="auto"/>
          <w:sz w:val="24"/>
          <w:szCs w:val="24"/>
          <w:lang w:val="ru-RU"/>
        </w:rPr>
        <w:t xml:space="preserve">етности в рамках Конвенции по трансграничным водам в качестве вклада в достижение показателя 6.5.2 ЦУР (см. </w:t>
      </w:r>
      <w:hyperlink r:id="rId15" w:history="1">
        <w:r w:rsidRPr="001F66CA">
          <w:rPr>
            <w:rStyle w:val="ac"/>
            <w:sz w:val="24"/>
            <w:szCs w:val="24"/>
            <w:lang w:val="ru-RU"/>
          </w:rPr>
          <w:t>https://unece.org/environment-policy/publications/guide-reporting-under-water-convention-and-contribution-sdg</w:t>
        </w:r>
      </w:hyperlink>
      <w:r w:rsidRPr="00CB6EE0">
        <w:rPr>
          <w:color w:val="auto"/>
          <w:sz w:val="24"/>
          <w:szCs w:val="24"/>
          <w:lang w:val="ru-RU"/>
        </w:rPr>
        <w:t>) в январе 2020 года. Руководство, которое доступно на английском, арабском, испанском, русском и французском языках, помогает странам в заполнении формы отчетности, разъясняя ключевую терминологию и приводя примеры того, как можно было бы решить конкретные вопросы.</w:t>
      </w:r>
    </w:p>
    <w:p w:rsidR="002E15F9" w:rsidRPr="00BD29EC" w:rsidRDefault="002E15F9" w:rsidP="0075371E">
      <w:pPr>
        <w:pStyle w:val="MHeader2"/>
        <w:rPr>
          <w:color w:val="auto"/>
          <w:sz w:val="24"/>
          <w:szCs w:val="24"/>
          <w:lang w:val="ru-RU"/>
        </w:rPr>
      </w:pPr>
      <w:r w:rsidRPr="00BD29EC">
        <w:rPr>
          <w:color w:val="auto"/>
          <w:sz w:val="24"/>
          <w:szCs w:val="24"/>
          <w:lang w:val="ru-RU"/>
        </w:rPr>
        <w:t>4.</w:t>
      </w:r>
      <w:proofErr w:type="spellStart"/>
      <w:r w:rsidRPr="00BD29EC">
        <w:rPr>
          <w:color w:val="auto"/>
          <w:sz w:val="24"/>
          <w:szCs w:val="24"/>
        </w:rPr>
        <w:t>i</w:t>
      </w:r>
      <w:proofErr w:type="spellEnd"/>
      <w:r w:rsidRPr="00BD29EC">
        <w:rPr>
          <w:color w:val="auto"/>
          <w:sz w:val="24"/>
          <w:szCs w:val="24"/>
          <w:lang w:val="ru-RU"/>
        </w:rPr>
        <w:t xml:space="preserve">. </w:t>
      </w:r>
      <w:r w:rsidR="00E27922" w:rsidRPr="00A71EC6">
        <w:rPr>
          <w:b/>
          <w:color w:val="auto"/>
          <w:sz w:val="24"/>
          <w:szCs w:val="24"/>
          <w:lang w:val="ru-RU"/>
        </w:rPr>
        <w:t>Управление качеством</w:t>
      </w:r>
    </w:p>
    <w:p w:rsidR="00CB6EE0" w:rsidRDefault="00CB6EE0" w:rsidP="0075371E">
      <w:pPr>
        <w:pStyle w:val="MHeader2"/>
        <w:rPr>
          <w:color w:val="auto"/>
          <w:sz w:val="24"/>
          <w:szCs w:val="24"/>
          <w:lang w:val="ru-RU"/>
        </w:rPr>
      </w:pPr>
      <w:r>
        <w:rPr>
          <w:color w:val="auto"/>
          <w:sz w:val="24"/>
          <w:szCs w:val="24"/>
          <w:lang w:val="ru-RU"/>
        </w:rPr>
        <w:t>Не применимо</w:t>
      </w:r>
    </w:p>
    <w:p w:rsidR="002E15F9" w:rsidRPr="00040034" w:rsidRDefault="002E15F9" w:rsidP="0075371E">
      <w:pPr>
        <w:pStyle w:val="MHeader2"/>
        <w:rPr>
          <w:color w:val="auto"/>
          <w:sz w:val="24"/>
          <w:szCs w:val="24"/>
          <w:lang w:val="ru-RU"/>
        </w:rPr>
      </w:pPr>
      <w:r w:rsidRPr="00040034">
        <w:rPr>
          <w:color w:val="auto"/>
          <w:sz w:val="24"/>
          <w:szCs w:val="24"/>
          <w:lang w:val="ru-RU"/>
        </w:rPr>
        <w:t>4.</w:t>
      </w:r>
      <w:r w:rsidRPr="00BD29EC">
        <w:rPr>
          <w:color w:val="auto"/>
          <w:sz w:val="24"/>
          <w:szCs w:val="24"/>
        </w:rPr>
        <w:t>j</w:t>
      </w:r>
      <w:r w:rsidR="00E27922" w:rsidRPr="00040034">
        <w:rPr>
          <w:color w:val="auto"/>
          <w:sz w:val="24"/>
          <w:szCs w:val="24"/>
          <w:lang w:val="ru-RU"/>
        </w:rPr>
        <w:t>.</w:t>
      </w:r>
      <w:r w:rsidRPr="00040034">
        <w:rPr>
          <w:color w:val="auto"/>
          <w:sz w:val="24"/>
          <w:szCs w:val="24"/>
          <w:lang w:val="ru-RU"/>
        </w:rPr>
        <w:t xml:space="preserve"> </w:t>
      </w:r>
      <w:r w:rsidR="003859BD">
        <w:rPr>
          <w:b/>
          <w:color w:val="auto"/>
          <w:sz w:val="24"/>
          <w:szCs w:val="24"/>
          <w:lang w:val="ru-RU"/>
        </w:rPr>
        <w:t>Гарантия</w:t>
      </w:r>
      <w:r w:rsidR="00E27922" w:rsidRPr="00A71EC6">
        <w:rPr>
          <w:b/>
          <w:color w:val="auto"/>
          <w:sz w:val="24"/>
          <w:szCs w:val="24"/>
          <w:lang w:val="ru-RU"/>
        </w:rPr>
        <w:t xml:space="preserve"> качества</w:t>
      </w:r>
    </w:p>
    <w:p w:rsidR="00CB6EE0" w:rsidRDefault="00CB6EE0" w:rsidP="0075371E">
      <w:pPr>
        <w:pStyle w:val="MHeader2"/>
        <w:rPr>
          <w:color w:val="auto"/>
          <w:sz w:val="24"/>
          <w:szCs w:val="24"/>
          <w:lang w:val="ru-RU"/>
        </w:rPr>
      </w:pPr>
      <w:r>
        <w:rPr>
          <w:color w:val="auto"/>
          <w:sz w:val="24"/>
          <w:szCs w:val="24"/>
          <w:lang w:val="ru-RU"/>
        </w:rPr>
        <w:t>Не применимо</w:t>
      </w:r>
    </w:p>
    <w:p w:rsidR="002E15F9" w:rsidRDefault="0075371E" w:rsidP="0075371E">
      <w:pPr>
        <w:pStyle w:val="MHeader2"/>
        <w:rPr>
          <w:color w:val="auto"/>
          <w:sz w:val="24"/>
          <w:szCs w:val="24"/>
          <w:lang w:val="ru-RU"/>
        </w:rPr>
      </w:pPr>
      <w:r w:rsidRPr="00BD29EC">
        <w:rPr>
          <w:color w:val="auto"/>
          <w:sz w:val="24"/>
          <w:szCs w:val="24"/>
          <w:lang w:val="ru-RU"/>
        </w:rPr>
        <w:t>4.</w:t>
      </w:r>
      <w:r w:rsidRPr="00BD29EC">
        <w:rPr>
          <w:color w:val="auto"/>
          <w:sz w:val="24"/>
          <w:szCs w:val="24"/>
        </w:rPr>
        <w:t>k</w:t>
      </w:r>
      <w:r w:rsidRPr="00BD29EC">
        <w:rPr>
          <w:color w:val="auto"/>
          <w:sz w:val="24"/>
          <w:szCs w:val="24"/>
          <w:lang w:val="ru-RU"/>
        </w:rPr>
        <w:t xml:space="preserve">. </w:t>
      </w:r>
      <w:r w:rsidRPr="00A71EC6">
        <w:rPr>
          <w:b/>
          <w:color w:val="auto"/>
          <w:sz w:val="24"/>
          <w:szCs w:val="24"/>
          <w:lang w:val="ru-RU"/>
        </w:rPr>
        <w:t>Оценка качества</w:t>
      </w:r>
      <w:r w:rsidRPr="00BD29EC">
        <w:rPr>
          <w:color w:val="auto"/>
          <w:sz w:val="24"/>
          <w:szCs w:val="24"/>
          <w:lang w:val="ru-RU"/>
        </w:rPr>
        <w:t xml:space="preserve"> </w:t>
      </w:r>
    </w:p>
    <w:p w:rsidR="007F1F9E" w:rsidRPr="007F1F9E" w:rsidRDefault="00CB6EE0" w:rsidP="007F1F9E">
      <w:r>
        <w:t>Не применимо</w:t>
      </w:r>
    </w:p>
    <w:p w:rsidR="00CB6EE0" w:rsidRDefault="00CB6EE0" w:rsidP="00CB6EE0">
      <w:pPr>
        <w:pStyle w:val="af4"/>
      </w:pPr>
    </w:p>
    <w:p w:rsidR="00CB6EE0" w:rsidRDefault="00CB6EE0" w:rsidP="00CB6EE0">
      <w:pPr>
        <w:pStyle w:val="af4"/>
      </w:pPr>
    </w:p>
    <w:p w:rsidR="00CB6EE0" w:rsidRDefault="00CB6EE0" w:rsidP="00CB6EE0">
      <w:pPr>
        <w:pStyle w:val="af4"/>
      </w:pPr>
    </w:p>
    <w:p w:rsidR="002E15F9" w:rsidRPr="00BD29EC" w:rsidRDefault="002E15F9" w:rsidP="0075371E">
      <w:pPr>
        <w:pStyle w:val="MHeader"/>
        <w:spacing w:after="100"/>
        <w:rPr>
          <w:b/>
          <w:color w:val="auto"/>
          <w:sz w:val="24"/>
          <w:szCs w:val="24"/>
          <w:lang w:val="ru-RU"/>
        </w:rPr>
      </w:pPr>
      <w:r w:rsidRPr="00BD29EC">
        <w:rPr>
          <w:b/>
          <w:color w:val="auto"/>
          <w:sz w:val="24"/>
          <w:szCs w:val="24"/>
          <w:lang w:val="ru-RU"/>
        </w:rPr>
        <w:lastRenderedPageBreak/>
        <w:t xml:space="preserve">5. </w:t>
      </w:r>
      <w:r w:rsidR="0075371E" w:rsidRPr="00BD29EC">
        <w:rPr>
          <w:b/>
          <w:color w:val="auto"/>
          <w:sz w:val="24"/>
          <w:szCs w:val="24"/>
          <w:lang w:val="ru-RU"/>
        </w:rPr>
        <w:t>Доступность и дезагрег</w:t>
      </w:r>
      <w:r w:rsidR="00CB6EE0">
        <w:rPr>
          <w:b/>
          <w:color w:val="auto"/>
          <w:sz w:val="24"/>
          <w:szCs w:val="24"/>
          <w:lang w:val="ru-RU"/>
        </w:rPr>
        <w:t xml:space="preserve">ация </w:t>
      </w:r>
      <w:r w:rsidR="0075371E" w:rsidRPr="00BD29EC">
        <w:rPr>
          <w:b/>
          <w:color w:val="auto"/>
          <w:sz w:val="24"/>
          <w:szCs w:val="24"/>
          <w:lang w:val="ru-RU"/>
        </w:rPr>
        <w:t>данных</w:t>
      </w:r>
    </w:p>
    <w:p w:rsidR="0075371E" w:rsidRPr="00CB6EE0" w:rsidRDefault="0075371E" w:rsidP="0075371E">
      <w:pPr>
        <w:pStyle w:val="MText"/>
        <w:rPr>
          <w:b/>
          <w:color w:val="auto"/>
          <w:sz w:val="24"/>
          <w:szCs w:val="24"/>
          <w:lang w:val="ru-RU"/>
        </w:rPr>
      </w:pPr>
      <w:r w:rsidRPr="00CB6EE0">
        <w:rPr>
          <w:b/>
          <w:color w:val="auto"/>
          <w:sz w:val="24"/>
          <w:szCs w:val="24"/>
          <w:lang w:val="ru-RU"/>
        </w:rPr>
        <w:t>Доступность данных:</w:t>
      </w:r>
    </w:p>
    <w:p w:rsidR="00501E17" w:rsidRDefault="007F1F9E" w:rsidP="007F1F9E">
      <w:r w:rsidRPr="007F1F9E">
        <w:t xml:space="preserve">До начала процесса отчетности по ЦУР данные не были включены в Национальные статистические системы, но информация, необходимая для расчета показателя, проста, не требует расширенных возможностей мониторинга и обычно доступна всем странам в министерствах или ведомствах, ответственных за водные ресурсы. </w:t>
      </w:r>
    </w:p>
    <w:p w:rsidR="007F1F9E" w:rsidRPr="00BD29EC" w:rsidRDefault="007F1F9E" w:rsidP="007F1F9E">
      <w:r w:rsidRPr="007F1F9E">
        <w:t>В ряде существующих баз данных имеются данные по 153 странам, имеющим территориальные границы.</w:t>
      </w:r>
    </w:p>
    <w:p w:rsidR="0075371E" w:rsidRPr="00F02F21" w:rsidRDefault="00F02F21" w:rsidP="0075371E">
      <w:pPr>
        <w:pStyle w:val="MText"/>
        <w:rPr>
          <w:b/>
          <w:color w:val="auto"/>
          <w:sz w:val="24"/>
          <w:szCs w:val="24"/>
          <w:lang w:val="ru-RU"/>
        </w:rPr>
      </w:pPr>
      <w:r w:rsidRPr="00F02F21">
        <w:rPr>
          <w:b/>
          <w:color w:val="auto"/>
          <w:sz w:val="24"/>
          <w:szCs w:val="24"/>
          <w:lang w:val="ru-RU"/>
        </w:rPr>
        <w:t>Дезагрегация</w:t>
      </w:r>
      <w:r w:rsidR="0075371E" w:rsidRPr="00F02F21">
        <w:rPr>
          <w:b/>
          <w:color w:val="auto"/>
          <w:sz w:val="24"/>
          <w:szCs w:val="24"/>
          <w:lang w:val="ru-RU"/>
        </w:rPr>
        <w:t>:</w:t>
      </w:r>
    </w:p>
    <w:p w:rsidR="00501E17" w:rsidRPr="00BD29EC" w:rsidRDefault="00501E17" w:rsidP="00501E17">
      <w:r>
        <w:t xml:space="preserve">Для большей надежности данные будут </w:t>
      </w:r>
      <w:r w:rsidRPr="00501E17">
        <w:t>собираться на национальном уровне. Данные на уровне бассейна также могут быть дезагрегированы на уровне страны (для национальной отчетности) и агрегированы на региональном и глобальном уровнях.</w:t>
      </w:r>
    </w:p>
    <w:p w:rsidR="002E15F9" w:rsidRPr="00BD29EC" w:rsidRDefault="002E15F9" w:rsidP="0075371E">
      <w:pPr>
        <w:pStyle w:val="MHeader"/>
        <w:spacing w:after="100"/>
        <w:rPr>
          <w:b/>
          <w:color w:val="auto"/>
          <w:sz w:val="24"/>
          <w:szCs w:val="24"/>
          <w:lang w:val="ru-RU"/>
        </w:rPr>
      </w:pPr>
      <w:r w:rsidRPr="00BD29EC">
        <w:rPr>
          <w:b/>
          <w:color w:val="auto"/>
          <w:sz w:val="24"/>
          <w:szCs w:val="24"/>
          <w:lang w:val="ru-RU"/>
        </w:rPr>
        <w:t xml:space="preserve">6. </w:t>
      </w:r>
      <w:r w:rsidR="0075371E" w:rsidRPr="00BD29EC">
        <w:rPr>
          <w:b/>
          <w:color w:val="auto"/>
          <w:sz w:val="24"/>
          <w:szCs w:val="24"/>
          <w:lang w:val="ru-RU"/>
        </w:rPr>
        <w:t>Сопоставимость / отклонение от международных стандартов</w:t>
      </w:r>
    </w:p>
    <w:p w:rsidR="00C760F7" w:rsidRPr="00C760F7" w:rsidRDefault="00C760F7" w:rsidP="00501E17">
      <w:pPr>
        <w:rPr>
          <w:b/>
          <w:lang w:eastAsia="en-GB"/>
        </w:rPr>
      </w:pPr>
      <w:r w:rsidRPr="00C760F7">
        <w:rPr>
          <w:b/>
          <w:lang w:eastAsia="en-GB"/>
        </w:rPr>
        <w:t>Источники расхождений:</w:t>
      </w:r>
    </w:p>
    <w:p w:rsidR="00501E17" w:rsidRDefault="00501E17" w:rsidP="00501E17">
      <w:pPr>
        <w:rPr>
          <w:lang w:eastAsia="en-GB"/>
        </w:rPr>
      </w:pPr>
      <w:r w:rsidRPr="00501E17">
        <w:rPr>
          <w:lang w:eastAsia="en-GB"/>
        </w:rPr>
        <w:t>Поскольку расчет показателя основан на пространственной информации (</w:t>
      </w:r>
      <w:r w:rsidR="00C760F7">
        <w:rPr>
          <w:lang w:eastAsia="en-GB"/>
        </w:rPr>
        <w:t>«</w:t>
      </w:r>
      <w:r w:rsidRPr="00501E17">
        <w:rPr>
          <w:lang w:eastAsia="en-GB"/>
        </w:rPr>
        <w:t>площадь трансграничного бассейна</w:t>
      </w:r>
      <w:r w:rsidR="00C760F7">
        <w:rPr>
          <w:lang w:eastAsia="en-GB"/>
        </w:rPr>
        <w:t>»</w:t>
      </w:r>
      <w:r w:rsidRPr="00501E17">
        <w:rPr>
          <w:lang w:eastAsia="en-GB"/>
        </w:rPr>
        <w:t xml:space="preserve">) и работоспособности механизмов в качестве двух основных компонентов, при расчете каждого из этих компонентов в отдельности могут возникнуть различия. </w:t>
      </w:r>
    </w:p>
    <w:p w:rsidR="00501E17" w:rsidRDefault="00501E17" w:rsidP="00501E17">
      <w:pPr>
        <w:rPr>
          <w:lang w:eastAsia="en-GB"/>
        </w:rPr>
      </w:pPr>
      <w:r w:rsidRPr="00501E17">
        <w:rPr>
          <w:lang w:eastAsia="en-GB"/>
        </w:rPr>
        <w:t xml:space="preserve">Что касается обоих компонентов, страны располагают самой последней информацией, которая может быть дополнена данными различных международных проектов и кадастров, которые также способствуют установлению исходных условий на глобальном уровне. </w:t>
      </w:r>
    </w:p>
    <w:p w:rsidR="00501E17" w:rsidRDefault="00501E17" w:rsidP="00501E17">
      <w:pPr>
        <w:rPr>
          <w:lang w:eastAsia="en-GB"/>
        </w:rPr>
      </w:pPr>
      <w:r w:rsidRPr="00501E17">
        <w:rPr>
          <w:lang w:eastAsia="en-GB"/>
        </w:rPr>
        <w:t xml:space="preserve">Разница в стоимости площади трансграничного бассейна может быть вызвана различным разграничением трансграничных водных объектов, особенно водоносных горизонтов, или даже учетом их трансграничного характера, поскольку их идентификация и разграничение могут основываться на различных гидрогеологических </w:t>
      </w:r>
      <w:proofErr w:type="gramStart"/>
      <w:r w:rsidRPr="00501E17">
        <w:rPr>
          <w:lang w:eastAsia="en-GB"/>
        </w:rPr>
        <w:t>исследованиях</w:t>
      </w:r>
      <w:proofErr w:type="gramEnd"/>
      <w:r w:rsidRPr="00501E17">
        <w:rPr>
          <w:lang w:eastAsia="en-GB"/>
        </w:rPr>
        <w:t xml:space="preserve"> и могут обновляться, что не обязательно отражается в международных базах данных. </w:t>
      </w:r>
    </w:p>
    <w:p w:rsidR="00501E17" w:rsidRDefault="00501E17" w:rsidP="00501E17">
      <w:pPr>
        <w:rPr>
          <w:lang w:eastAsia="en-GB"/>
        </w:rPr>
      </w:pPr>
      <w:r w:rsidRPr="00501E17">
        <w:rPr>
          <w:lang w:eastAsia="en-GB"/>
        </w:rPr>
        <w:t xml:space="preserve">Разница в рассмотрении эффективности договоренностей может возникнуть из-за того, что не определены одни и те же договоренности или по-разному рассматриваются четыре критерия, которые служат основой для классификации эффективности: </w:t>
      </w:r>
    </w:p>
    <w:p w:rsidR="00501E17" w:rsidRDefault="00501E17" w:rsidP="00501E17">
      <w:pPr>
        <w:rPr>
          <w:lang w:eastAsia="en-GB"/>
        </w:rPr>
      </w:pPr>
      <w:r w:rsidRPr="00501E17">
        <w:rPr>
          <w:lang w:eastAsia="en-GB"/>
        </w:rPr>
        <w:t xml:space="preserve">- наличие совместного органа или механизма для трансграничного сотрудничества </w:t>
      </w:r>
    </w:p>
    <w:p w:rsidR="00501E17" w:rsidRDefault="00501E17" w:rsidP="00501E17">
      <w:pPr>
        <w:rPr>
          <w:lang w:eastAsia="en-GB"/>
        </w:rPr>
      </w:pPr>
      <w:r w:rsidRPr="00501E17">
        <w:rPr>
          <w:lang w:eastAsia="en-GB"/>
        </w:rPr>
        <w:t xml:space="preserve">- регулярность официального общения в форме встреч </w:t>
      </w:r>
    </w:p>
    <w:p w:rsidR="00501E17" w:rsidRDefault="00501E17" w:rsidP="00501E17">
      <w:pPr>
        <w:rPr>
          <w:lang w:eastAsia="en-GB"/>
        </w:rPr>
      </w:pPr>
      <w:r w:rsidRPr="00501E17">
        <w:rPr>
          <w:lang w:eastAsia="en-GB"/>
        </w:rPr>
        <w:t>- наличие совместных или скоординированн</w:t>
      </w:r>
      <w:r>
        <w:rPr>
          <w:lang w:eastAsia="en-GB"/>
        </w:rPr>
        <w:t>ого (</w:t>
      </w:r>
      <w:proofErr w:type="spellStart"/>
      <w:r w:rsidRPr="00501E17">
        <w:rPr>
          <w:lang w:eastAsia="en-GB"/>
        </w:rPr>
        <w:t>ы</w:t>
      </w:r>
      <w:r w:rsidR="00C760F7">
        <w:rPr>
          <w:lang w:eastAsia="en-GB"/>
        </w:rPr>
        <w:t>х</w:t>
      </w:r>
      <w:proofErr w:type="spellEnd"/>
      <w:r w:rsidR="00C760F7">
        <w:rPr>
          <w:lang w:eastAsia="en-GB"/>
        </w:rPr>
        <w:t>) плана (</w:t>
      </w:r>
      <w:proofErr w:type="spellStart"/>
      <w:r w:rsidR="00C760F7">
        <w:rPr>
          <w:lang w:eastAsia="en-GB"/>
        </w:rPr>
        <w:t>ов</w:t>
      </w:r>
      <w:proofErr w:type="spellEnd"/>
      <w:r w:rsidR="00C760F7">
        <w:rPr>
          <w:lang w:eastAsia="en-GB"/>
        </w:rPr>
        <w:t>)</w:t>
      </w:r>
      <w:r w:rsidRPr="00501E17">
        <w:rPr>
          <w:lang w:eastAsia="en-GB"/>
        </w:rPr>
        <w:t xml:space="preserve"> управления водными ресурсами или совместных целей </w:t>
      </w:r>
    </w:p>
    <w:p w:rsidR="00501E17" w:rsidRDefault="00501E17" w:rsidP="00501E17">
      <w:pPr>
        <w:rPr>
          <w:lang w:eastAsia="en-GB"/>
        </w:rPr>
      </w:pPr>
      <w:r w:rsidRPr="00501E17">
        <w:rPr>
          <w:lang w:eastAsia="en-GB"/>
        </w:rPr>
        <w:t xml:space="preserve">- регулярность обмена информацией и данными </w:t>
      </w:r>
    </w:p>
    <w:p w:rsidR="00501E17" w:rsidRDefault="00501E17" w:rsidP="00501E17">
      <w:pPr>
        <w:rPr>
          <w:lang w:eastAsia="en-GB"/>
        </w:rPr>
      </w:pPr>
      <w:r w:rsidRPr="00501E17">
        <w:rPr>
          <w:lang w:eastAsia="en-GB"/>
        </w:rPr>
        <w:lastRenderedPageBreak/>
        <w:t xml:space="preserve">Различная интерпретация объекта применения (только поверхностные воды или как поверхностные, так и подземные воды) может быть еще одной причиной. </w:t>
      </w:r>
    </w:p>
    <w:p w:rsidR="00501E17" w:rsidRDefault="00501E17" w:rsidP="00501E17">
      <w:pPr>
        <w:rPr>
          <w:lang w:eastAsia="en-GB"/>
        </w:rPr>
      </w:pPr>
      <w:r w:rsidRPr="00501E17">
        <w:rPr>
          <w:lang w:eastAsia="en-GB"/>
        </w:rPr>
        <w:t xml:space="preserve">Сбор информации от стран с помощью механизмов проверки </w:t>
      </w:r>
      <w:proofErr w:type="gramStart"/>
      <w:r w:rsidRPr="00501E17">
        <w:rPr>
          <w:lang w:eastAsia="en-GB"/>
        </w:rPr>
        <w:t>улучшил</w:t>
      </w:r>
      <w:proofErr w:type="gramEnd"/>
      <w:r w:rsidRPr="00501E17">
        <w:rPr>
          <w:lang w:eastAsia="en-GB"/>
        </w:rPr>
        <w:t xml:space="preserve"> и будет продолжать улучшать согласованность и точность информации по странам по мере продвижения мониторинга.</w:t>
      </w:r>
    </w:p>
    <w:p w:rsidR="00040034" w:rsidRDefault="00040034" w:rsidP="00040034">
      <w:pPr>
        <w:pBdr>
          <w:bottom w:val="single" w:sz="12" w:space="4" w:color="DDDDDD"/>
        </w:pBdr>
        <w:shd w:val="clear" w:color="auto" w:fill="FFFFFF"/>
        <w:spacing w:after="100"/>
        <w:outlineLvl w:val="2"/>
        <w:rPr>
          <w:rFonts w:eastAsia="Times New Roman" w:cs="Times New Roman"/>
          <w:b/>
          <w:szCs w:val="24"/>
          <w:lang w:eastAsia="en-GB"/>
        </w:rPr>
      </w:pPr>
      <w:r w:rsidRPr="00501E17">
        <w:rPr>
          <w:rFonts w:eastAsia="Times New Roman" w:cs="Times New Roman"/>
          <w:b/>
          <w:szCs w:val="24"/>
          <w:lang w:eastAsia="en-GB"/>
        </w:rPr>
        <w:t xml:space="preserve">7. </w:t>
      </w:r>
      <w:r>
        <w:rPr>
          <w:rFonts w:eastAsia="Times New Roman" w:cs="Times New Roman"/>
          <w:b/>
          <w:szCs w:val="24"/>
          <w:lang w:eastAsia="en-GB"/>
        </w:rPr>
        <w:t>Ссылки</w:t>
      </w:r>
      <w:r w:rsidRPr="00501E17">
        <w:rPr>
          <w:rFonts w:eastAsia="Times New Roman" w:cs="Times New Roman"/>
          <w:b/>
          <w:szCs w:val="24"/>
          <w:lang w:eastAsia="en-GB"/>
        </w:rPr>
        <w:t xml:space="preserve"> </w:t>
      </w:r>
      <w:r>
        <w:rPr>
          <w:rFonts w:eastAsia="Times New Roman" w:cs="Times New Roman"/>
          <w:b/>
          <w:szCs w:val="24"/>
          <w:lang w:eastAsia="en-GB"/>
        </w:rPr>
        <w:t>и</w:t>
      </w:r>
      <w:r w:rsidRPr="00501E17">
        <w:rPr>
          <w:rFonts w:eastAsia="Times New Roman" w:cs="Times New Roman"/>
          <w:b/>
          <w:szCs w:val="24"/>
          <w:lang w:eastAsia="en-GB"/>
        </w:rPr>
        <w:t xml:space="preserve"> </w:t>
      </w:r>
      <w:r>
        <w:rPr>
          <w:rFonts w:eastAsia="Times New Roman" w:cs="Times New Roman"/>
          <w:b/>
          <w:szCs w:val="24"/>
          <w:lang w:eastAsia="en-GB"/>
        </w:rPr>
        <w:t>документы</w:t>
      </w:r>
    </w:p>
    <w:p w:rsidR="00C760F7" w:rsidRPr="00C760F7" w:rsidRDefault="00C760F7" w:rsidP="002B6E5B">
      <w:pPr>
        <w:rPr>
          <w:lang w:eastAsia="en-GB"/>
        </w:rPr>
      </w:pPr>
      <w:r>
        <w:rPr>
          <w:lang w:eastAsia="en-GB"/>
        </w:rPr>
        <w:t>ЕЭК ООН:</w:t>
      </w:r>
      <w:hyperlink r:id="rId16" w:history="1">
        <w:r w:rsidRPr="001F66CA">
          <w:rPr>
            <w:rStyle w:val="ac"/>
            <w:lang w:eastAsia="en-GB"/>
          </w:rPr>
          <w:t>https://unece.org/environmental-policy/water/transboundary_water_cooperation_reporting</w:t>
        </w:r>
      </w:hyperlink>
    </w:p>
    <w:p w:rsidR="00C760F7" w:rsidRPr="002B6E5B" w:rsidRDefault="002B6E5B" w:rsidP="002B6E5B">
      <w:pPr>
        <w:rPr>
          <w:lang w:eastAsia="en-GB"/>
        </w:rPr>
      </w:pPr>
      <w:r w:rsidRPr="002B6E5B">
        <w:rPr>
          <w:lang w:eastAsia="en-GB"/>
        </w:rPr>
        <w:t xml:space="preserve">ЮНЕСКО: </w:t>
      </w:r>
      <w:hyperlink r:id="rId17" w:history="1">
        <w:r w:rsidR="00C760F7" w:rsidRPr="001F66CA">
          <w:rPr>
            <w:rStyle w:val="ac"/>
            <w:lang w:eastAsia="en-GB"/>
          </w:rPr>
          <w:t>http://www.unesco.org/new/en/ihp</w:t>
        </w:r>
      </w:hyperlink>
      <w:r w:rsidRPr="002B6E5B">
        <w:rPr>
          <w:lang w:eastAsia="en-GB"/>
        </w:rPr>
        <w:t>;</w:t>
      </w:r>
    </w:p>
    <w:p w:rsidR="002B6E5B" w:rsidRPr="002B6E5B" w:rsidRDefault="002B6E5B" w:rsidP="002B6E5B">
      <w:pPr>
        <w:rPr>
          <w:lang w:eastAsia="en-GB"/>
        </w:rPr>
      </w:pPr>
      <w:r w:rsidRPr="002B6E5B">
        <w:rPr>
          <w:lang w:eastAsia="en-GB"/>
        </w:rPr>
        <w:t xml:space="preserve">Мониторинг ЦУР 6 </w:t>
      </w:r>
      <w:proofErr w:type="gramStart"/>
      <w:r w:rsidRPr="002B6E5B">
        <w:rPr>
          <w:lang w:eastAsia="en-GB"/>
        </w:rPr>
        <w:t>ООН-ВОДНЫЕ</w:t>
      </w:r>
      <w:proofErr w:type="gramEnd"/>
      <w:r w:rsidRPr="002B6E5B">
        <w:rPr>
          <w:lang w:eastAsia="en-GB"/>
        </w:rPr>
        <w:t xml:space="preserve"> РЕСУРСЫ: </w:t>
      </w:r>
      <w:hyperlink r:id="rId18" w:history="1">
        <w:r w:rsidR="00C760F7" w:rsidRPr="001F66CA">
          <w:rPr>
            <w:rStyle w:val="ac"/>
            <w:lang w:eastAsia="en-GB"/>
          </w:rPr>
          <w:t>www.sdg6monitoring.org/indicator-652</w:t>
        </w:r>
      </w:hyperlink>
    </w:p>
    <w:p w:rsidR="002B6E5B" w:rsidRPr="002B6E5B" w:rsidRDefault="002B6E5B" w:rsidP="002B6E5B">
      <w:pPr>
        <w:rPr>
          <w:lang w:eastAsia="en-GB"/>
        </w:rPr>
      </w:pPr>
      <w:r w:rsidRPr="002B6E5B">
        <w:rPr>
          <w:lang w:eastAsia="en-GB"/>
        </w:rPr>
        <w:t xml:space="preserve">Информационный портал ЦУР 6 </w:t>
      </w:r>
      <w:proofErr w:type="gramStart"/>
      <w:r w:rsidRPr="002B6E5B">
        <w:rPr>
          <w:lang w:eastAsia="en-GB"/>
        </w:rPr>
        <w:t>ООН-ВОДНЫЕ</w:t>
      </w:r>
      <w:proofErr w:type="gramEnd"/>
      <w:r w:rsidRPr="002B6E5B">
        <w:rPr>
          <w:lang w:eastAsia="en-GB"/>
        </w:rPr>
        <w:t xml:space="preserve"> РЕСУРСЫ: </w:t>
      </w:r>
      <w:hyperlink r:id="rId19" w:history="1">
        <w:r w:rsidR="00C760F7" w:rsidRPr="001F66CA">
          <w:rPr>
            <w:rStyle w:val="ac"/>
            <w:lang w:eastAsia="en-GB"/>
          </w:rPr>
          <w:t>www.sdg6data.org/indicator/6.5.2</w:t>
        </w:r>
      </w:hyperlink>
    </w:p>
    <w:p w:rsidR="002B6E5B" w:rsidRPr="002B6E5B" w:rsidRDefault="002B6E5B" w:rsidP="002B6E5B">
      <w:pPr>
        <w:rPr>
          <w:lang w:eastAsia="en-GB"/>
        </w:rPr>
      </w:pPr>
      <w:r w:rsidRPr="002B6E5B">
        <w:rPr>
          <w:lang w:eastAsia="en-GB"/>
        </w:rPr>
        <w:t xml:space="preserve">Решение VII/2 о создании механизма отчетности в соответствии с Конвенцией по водам: </w:t>
      </w:r>
      <w:hyperlink r:id="rId20" w:history="1">
        <w:r w:rsidR="00C760F7" w:rsidRPr="001F66CA">
          <w:rPr>
            <w:rStyle w:val="ac"/>
            <w:lang w:eastAsia="en-GB"/>
          </w:rPr>
          <w:t>https://unece.org/DAM/env/documents/2015/WAT/11Nov_17-19_MOP7_Budapest/ece.mp.wat.49.add.2.eng.pdf</w:t>
        </w:r>
      </w:hyperlink>
    </w:p>
    <w:p w:rsidR="002B6E5B" w:rsidRPr="00C760F7" w:rsidRDefault="002B6E5B" w:rsidP="002B6E5B">
      <w:pPr>
        <w:rPr>
          <w:b/>
          <w:lang w:eastAsia="en-GB"/>
        </w:rPr>
      </w:pPr>
      <w:r w:rsidRPr="00C760F7">
        <w:rPr>
          <w:b/>
          <w:lang w:eastAsia="en-GB"/>
        </w:rPr>
        <w:t>Дополнительная документация:</w:t>
      </w:r>
    </w:p>
    <w:p w:rsidR="002B6E5B" w:rsidRPr="002B6E5B" w:rsidRDefault="002B6E5B" w:rsidP="002B6E5B">
      <w:pPr>
        <w:rPr>
          <w:lang w:eastAsia="en-GB"/>
        </w:rPr>
      </w:pPr>
      <w:r w:rsidRPr="002B6E5B">
        <w:rPr>
          <w:lang w:eastAsia="en-GB"/>
        </w:rPr>
        <w:t xml:space="preserve">Проект Глобального экологического фонда по оценке трансграничных вод: </w:t>
      </w:r>
      <w:hyperlink r:id="rId21" w:history="1">
        <w:r w:rsidR="00C760F7" w:rsidRPr="001F66CA">
          <w:rPr>
            <w:rStyle w:val="ac"/>
            <w:lang w:eastAsia="en-GB"/>
          </w:rPr>
          <w:t>http://www.geftwap.org/</w:t>
        </w:r>
      </w:hyperlink>
    </w:p>
    <w:p w:rsidR="002B6E5B" w:rsidRDefault="002B6E5B" w:rsidP="002B6E5B">
      <w:pPr>
        <w:rPr>
          <w:lang w:eastAsia="en-GB"/>
        </w:rPr>
      </w:pPr>
      <w:r w:rsidRPr="002B6E5B">
        <w:rPr>
          <w:lang w:eastAsia="en-GB"/>
        </w:rPr>
        <w:t xml:space="preserve">Управление ресурсами водоносного горизонта, совместно используемыми на Международном уровне (Международная гидрологическая программа ЮНЕСКО): </w:t>
      </w:r>
      <w:hyperlink r:id="rId22" w:history="1">
        <w:r w:rsidR="00C760F7" w:rsidRPr="001F66CA">
          <w:rPr>
            <w:rStyle w:val="ac"/>
            <w:lang w:eastAsia="en-GB"/>
          </w:rPr>
          <w:t>http://www.isarm.org/</w:t>
        </w:r>
      </w:hyperlink>
    </w:p>
    <w:p w:rsidR="002B6E5B" w:rsidRDefault="002B6E5B" w:rsidP="002B6E5B">
      <w:pPr>
        <w:rPr>
          <w:lang w:eastAsia="en-GB"/>
        </w:rPr>
      </w:pPr>
      <w:r>
        <w:rPr>
          <w:lang w:eastAsia="en-GB"/>
        </w:rPr>
        <w:t xml:space="preserve">Договоры о трансграничных водах, Университет штата Орегон: </w:t>
      </w:r>
      <w:hyperlink r:id="rId23" w:history="1">
        <w:r w:rsidR="00C760F7" w:rsidRPr="001F66CA">
          <w:rPr>
            <w:rStyle w:val="ac"/>
            <w:lang w:eastAsia="en-GB"/>
          </w:rPr>
          <w:t>https://transboundarywaters.science.oregonstate.edu/content/international-freshwater-treaties-database</w:t>
        </w:r>
      </w:hyperlink>
    </w:p>
    <w:p w:rsidR="002B6E5B" w:rsidRDefault="002B6E5B" w:rsidP="002B6E5B">
      <w:pPr>
        <w:rPr>
          <w:lang w:eastAsia="en-GB"/>
        </w:rPr>
      </w:pPr>
      <w:r>
        <w:rPr>
          <w:lang w:eastAsia="en-GB"/>
        </w:rPr>
        <w:t xml:space="preserve">База данных Международных организаций речных бассейнов, Университет штата Орегон: </w:t>
      </w:r>
      <w:hyperlink r:id="rId24" w:history="1">
        <w:r w:rsidR="00C760F7" w:rsidRPr="001F66CA">
          <w:rPr>
            <w:rStyle w:val="ac"/>
            <w:lang w:eastAsia="en-GB"/>
          </w:rPr>
          <w:t>https://transboundarywaters.science.oregonstate.edu/content/international-river-basin-organization-rbo-database</w:t>
        </w:r>
      </w:hyperlink>
    </w:p>
    <w:p w:rsidR="002B6E5B" w:rsidRDefault="002B6E5B" w:rsidP="002B6E5B">
      <w:pPr>
        <w:rPr>
          <w:lang w:eastAsia="en-GB"/>
        </w:rPr>
      </w:pPr>
      <w:r>
        <w:rPr>
          <w:lang w:eastAsia="en-GB"/>
        </w:rPr>
        <w:t>Региональные примеры:</w:t>
      </w:r>
    </w:p>
    <w:p w:rsidR="002B6E5B" w:rsidRDefault="002B6E5B" w:rsidP="002B6E5B">
      <w:pPr>
        <w:rPr>
          <w:lang w:eastAsia="en-GB"/>
        </w:rPr>
      </w:pPr>
      <w:r>
        <w:rPr>
          <w:lang w:eastAsia="en-GB"/>
        </w:rPr>
        <w:t xml:space="preserve">Оценка трансграничного водного сотрудничества в общеевропейском регионе: </w:t>
      </w:r>
      <w:hyperlink r:id="rId25" w:history="1">
        <w:r w:rsidR="00C760F7" w:rsidRPr="001F66CA">
          <w:rPr>
            <w:rStyle w:val="ac"/>
            <w:lang w:eastAsia="en-GB"/>
          </w:rPr>
          <w:t>https://unece.org/environment-policy/publications/second-assessment-transboundary-rivers-lakes-and-groundwaters</w:t>
        </w:r>
      </w:hyperlink>
    </w:p>
    <w:p w:rsidR="002B6E5B" w:rsidRPr="00501E17" w:rsidRDefault="002B6E5B" w:rsidP="002B6E5B">
      <w:pPr>
        <w:rPr>
          <w:lang w:eastAsia="en-GB"/>
        </w:rPr>
      </w:pPr>
      <w:r>
        <w:rPr>
          <w:lang w:eastAsia="en-GB"/>
        </w:rPr>
        <w:t xml:space="preserve">Инвентаризация общих водных ресурсов в Западной Азии: </w:t>
      </w:r>
      <w:hyperlink r:id="rId26" w:history="1">
        <w:r w:rsidR="00C760F7" w:rsidRPr="001F66CA">
          <w:rPr>
            <w:rStyle w:val="ac"/>
            <w:lang w:eastAsia="en-GB"/>
          </w:rPr>
          <w:t>https://www.unescwa.org/publications/inventory-shared-water-resources-western-asia</w:t>
        </w:r>
      </w:hyperlink>
      <w:r w:rsidR="00C760F7">
        <w:rPr>
          <w:lang w:eastAsia="en-GB"/>
        </w:rPr>
        <w:t xml:space="preserve"> </w:t>
      </w:r>
    </w:p>
    <w:sectPr w:rsidR="002B6E5B" w:rsidRPr="00501E17">
      <w:headerReference w:type="default" r:id="rId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0F9" w:rsidRDefault="00A110F9" w:rsidP="00F73DBC">
      <w:pPr>
        <w:spacing w:after="0" w:line="240" w:lineRule="auto"/>
      </w:pPr>
      <w:r>
        <w:separator/>
      </w:r>
    </w:p>
  </w:endnote>
  <w:endnote w:type="continuationSeparator" w:id="0">
    <w:p w:rsidR="00A110F9" w:rsidRDefault="00A110F9" w:rsidP="00F73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Neue">
    <w:altName w:val="Segoe Print"/>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0F9" w:rsidRDefault="00A110F9" w:rsidP="00F73DBC">
      <w:pPr>
        <w:spacing w:after="0" w:line="240" w:lineRule="auto"/>
      </w:pPr>
      <w:r>
        <w:separator/>
      </w:r>
    </w:p>
  </w:footnote>
  <w:footnote w:type="continuationSeparator" w:id="0">
    <w:p w:rsidR="00A110F9" w:rsidRDefault="00A110F9" w:rsidP="00F73D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8D1" w:rsidRPr="00087B96" w:rsidRDefault="009508D1" w:rsidP="009508D1">
    <w:pPr>
      <w:pStyle w:val="ae"/>
      <w:jc w:val="right"/>
      <w:rPr>
        <w:rFonts w:cs="Times New Roman"/>
        <w:i/>
      </w:rPr>
    </w:pPr>
    <w:r w:rsidRPr="00087B96">
      <w:rPr>
        <w:rFonts w:cs="Times New Roman"/>
        <w:i/>
      </w:rPr>
      <w:t xml:space="preserve">Неофициальный перевод </w:t>
    </w:r>
  </w:p>
  <w:p w:rsidR="009508D1" w:rsidRPr="00087B96" w:rsidRDefault="009508D1" w:rsidP="009508D1">
    <w:pPr>
      <w:pStyle w:val="ae"/>
      <w:jc w:val="right"/>
      <w:rPr>
        <w:rFonts w:cs="Times New Roman"/>
      </w:rPr>
    </w:pPr>
    <w:r w:rsidRPr="00087B96">
      <w:rPr>
        <w:rFonts w:cs="Times New Roman"/>
      </w:rPr>
      <w:t xml:space="preserve">Последнее обновление: </w:t>
    </w:r>
    <w:r w:rsidR="003A77B5">
      <w:rPr>
        <w:rFonts w:cs="Times New Roman"/>
      </w:rPr>
      <w:t>июль</w:t>
    </w:r>
    <w:r w:rsidR="00781DE7" w:rsidRPr="00087B96">
      <w:rPr>
        <w:rFonts w:cs="Times New Roman"/>
      </w:rPr>
      <w:t xml:space="preserve"> 202</w:t>
    </w:r>
    <w:r w:rsidR="003A77B5">
      <w:rPr>
        <w:rFonts w:cs="Times New Roman"/>
      </w:rPr>
      <w:t>4</w:t>
    </w:r>
  </w:p>
  <w:p w:rsidR="009508D1" w:rsidRDefault="009508D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B63BB"/>
    <w:multiLevelType w:val="hybridMultilevel"/>
    <w:tmpl w:val="B0C86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B104AB"/>
    <w:multiLevelType w:val="hybridMultilevel"/>
    <w:tmpl w:val="72CED5E4"/>
    <w:lvl w:ilvl="0" w:tplc="6C9C20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AE4071C"/>
    <w:multiLevelType w:val="hybridMultilevel"/>
    <w:tmpl w:val="0B66C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927464"/>
    <w:multiLevelType w:val="hybridMultilevel"/>
    <w:tmpl w:val="C56A2C72"/>
    <w:lvl w:ilvl="0" w:tplc="6C9C20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26A3170"/>
    <w:multiLevelType w:val="hybridMultilevel"/>
    <w:tmpl w:val="1CF669A2"/>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CB7303"/>
    <w:multiLevelType w:val="hybridMultilevel"/>
    <w:tmpl w:val="0A20A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B6904FA"/>
    <w:multiLevelType w:val="hybridMultilevel"/>
    <w:tmpl w:val="8436A3E6"/>
    <w:lvl w:ilvl="0" w:tplc="27868E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614A86"/>
    <w:multiLevelType w:val="hybridMultilevel"/>
    <w:tmpl w:val="F768F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6"/>
  </w:num>
  <w:num w:numId="5">
    <w:abstractNumId w:val="5"/>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8FC"/>
    <w:rsid w:val="00031EA7"/>
    <w:rsid w:val="000345E4"/>
    <w:rsid w:val="00040034"/>
    <w:rsid w:val="0004753D"/>
    <w:rsid w:val="000476F9"/>
    <w:rsid w:val="00053D20"/>
    <w:rsid w:val="00087B96"/>
    <w:rsid w:val="000A210D"/>
    <w:rsid w:val="000A229E"/>
    <w:rsid w:val="000C5EF5"/>
    <w:rsid w:val="00102782"/>
    <w:rsid w:val="00116248"/>
    <w:rsid w:val="001470A2"/>
    <w:rsid w:val="00165896"/>
    <w:rsid w:val="001A163A"/>
    <w:rsid w:val="001E00EE"/>
    <w:rsid w:val="001E2FC9"/>
    <w:rsid w:val="00205030"/>
    <w:rsid w:val="002064C4"/>
    <w:rsid w:val="00287C46"/>
    <w:rsid w:val="00291FA0"/>
    <w:rsid w:val="002B6E5B"/>
    <w:rsid w:val="002E122C"/>
    <w:rsid w:val="002E15F9"/>
    <w:rsid w:val="002F63E5"/>
    <w:rsid w:val="00303D71"/>
    <w:rsid w:val="003143BC"/>
    <w:rsid w:val="003746BC"/>
    <w:rsid w:val="003859BD"/>
    <w:rsid w:val="003A4421"/>
    <w:rsid w:val="003A77B5"/>
    <w:rsid w:val="003D58DC"/>
    <w:rsid w:val="00407E4E"/>
    <w:rsid w:val="004143B4"/>
    <w:rsid w:val="00421928"/>
    <w:rsid w:val="004E087E"/>
    <w:rsid w:val="00501E17"/>
    <w:rsid w:val="00503B4A"/>
    <w:rsid w:val="00587D0B"/>
    <w:rsid w:val="005E47BD"/>
    <w:rsid w:val="005F2C0B"/>
    <w:rsid w:val="006704C2"/>
    <w:rsid w:val="00680102"/>
    <w:rsid w:val="00694160"/>
    <w:rsid w:val="006B260E"/>
    <w:rsid w:val="006B3939"/>
    <w:rsid w:val="006D41AA"/>
    <w:rsid w:val="006D7049"/>
    <w:rsid w:val="00702333"/>
    <w:rsid w:val="00705161"/>
    <w:rsid w:val="0075371E"/>
    <w:rsid w:val="00772EE7"/>
    <w:rsid w:val="00780F08"/>
    <w:rsid w:val="00781DE7"/>
    <w:rsid w:val="007B07B2"/>
    <w:rsid w:val="007B0CFD"/>
    <w:rsid w:val="007C27E0"/>
    <w:rsid w:val="007D1185"/>
    <w:rsid w:val="007F06DF"/>
    <w:rsid w:val="007F1F9E"/>
    <w:rsid w:val="007F30D9"/>
    <w:rsid w:val="00836F3E"/>
    <w:rsid w:val="00853C09"/>
    <w:rsid w:val="00853EA4"/>
    <w:rsid w:val="008543F7"/>
    <w:rsid w:val="00895469"/>
    <w:rsid w:val="00946BFB"/>
    <w:rsid w:val="009508D1"/>
    <w:rsid w:val="00957A62"/>
    <w:rsid w:val="009655B4"/>
    <w:rsid w:val="00980F79"/>
    <w:rsid w:val="00982FE8"/>
    <w:rsid w:val="009C064B"/>
    <w:rsid w:val="00A110F9"/>
    <w:rsid w:val="00A53D4B"/>
    <w:rsid w:val="00A618FC"/>
    <w:rsid w:val="00A71EC6"/>
    <w:rsid w:val="00A82CD3"/>
    <w:rsid w:val="00A91FDE"/>
    <w:rsid w:val="00AC1A97"/>
    <w:rsid w:val="00B0378B"/>
    <w:rsid w:val="00B17ADA"/>
    <w:rsid w:val="00B72F77"/>
    <w:rsid w:val="00BD29EC"/>
    <w:rsid w:val="00BE2C5D"/>
    <w:rsid w:val="00BE415C"/>
    <w:rsid w:val="00C47A4A"/>
    <w:rsid w:val="00C760F7"/>
    <w:rsid w:val="00C8596F"/>
    <w:rsid w:val="00C90708"/>
    <w:rsid w:val="00C95AB2"/>
    <w:rsid w:val="00CA1CB1"/>
    <w:rsid w:val="00CB2B62"/>
    <w:rsid w:val="00CB6EE0"/>
    <w:rsid w:val="00D05466"/>
    <w:rsid w:val="00D2619D"/>
    <w:rsid w:val="00DA19D7"/>
    <w:rsid w:val="00DB5ED1"/>
    <w:rsid w:val="00DC18AA"/>
    <w:rsid w:val="00DD1F70"/>
    <w:rsid w:val="00DE4E33"/>
    <w:rsid w:val="00E123F7"/>
    <w:rsid w:val="00E21B43"/>
    <w:rsid w:val="00E27922"/>
    <w:rsid w:val="00E33CA8"/>
    <w:rsid w:val="00E90BD4"/>
    <w:rsid w:val="00EB362A"/>
    <w:rsid w:val="00EB389E"/>
    <w:rsid w:val="00EE0900"/>
    <w:rsid w:val="00F02F21"/>
    <w:rsid w:val="00F6371F"/>
    <w:rsid w:val="00F73DBC"/>
    <w:rsid w:val="00F84FF1"/>
    <w:rsid w:val="00F92D6F"/>
    <w:rsid w:val="00FB66D9"/>
    <w:rsid w:val="00FD0D5B"/>
    <w:rsid w:val="00FE35CF"/>
    <w:rsid w:val="00FF2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B2"/>
    <w:pPr>
      <w:jc w:val="both"/>
    </w:pPr>
    <w:rPr>
      <w:rFonts w:ascii="Times New Roman" w:hAnsi="Times New Roman"/>
      <w:sz w:val="24"/>
    </w:rPr>
  </w:style>
  <w:style w:type="paragraph" w:styleId="1">
    <w:name w:val="heading 1"/>
    <w:basedOn w:val="a"/>
    <w:next w:val="a"/>
    <w:link w:val="10"/>
    <w:uiPriority w:val="9"/>
    <w:qFormat/>
    <w:rsid w:val="001027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B0CFD"/>
    <w:pPr>
      <w:ind w:left="720"/>
      <w:contextualSpacing/>
    </w:pPr>
  </w:style>
  <w:style w:type="character" w:styleId="ac">
    <w:name w:val="Hyperlink"/>
    <w:basedOn w:val="a0"/>
    <w:uiPriority w:val="99"/>
    <w:unhideWhenUsed/>
    <w:rsid w:val="00EB389E"/>
    <w:rPr>
      <w:color w:val="0000FF" w:themeColor="hyperlink"/>
      <w:u w:val="single"/>
    </w:rPr>
  </w:style>
  <w:style w:type="table" w:styleId="ad">
    <w:name w:val="Light Shading"/>
    <w:basedOn w:val="a1"/>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heme="minorEastAsia"/>
      <w:sz w:val="20"/>
      <w:szCs w:val="20"/>
      <w:lang w:val="en-GB" w:eastAsia="zh-CN"/>
    </w:rPr>
  </w:style>
  <w:style w:type="character" w:customStyle="1" w:styleId="af3">
    <w:name w:val="Текст примечания Знак"/>
    <w:basedOn w:val="a0"/>
    <w:link w:val="af2"/>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1"/>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paragraph" w:customStyle="1" w:styleId="Default">
    <w:name w:val="Default"/>
    <w:rsid w:val="00B17ADA"/>
    <w:pPr>
      <w:autoSpaceDE w:val="0"/>
      <w:autoSpaceDN w:val="0"/>
      <w:adjustRightInd w:val="0"/>
      <w:spacing w:after="0" w:line="240" w:lineRule="auto"/>
    </w:pPr>
    <w:rPr>
      <w:rFonts w:ascii="Calibri" w:hAnsi="Calibri" w:cs="Calibri"/>
      <w:color w:val="000000"/>
      <w:sz w:val="24"/>
      <w:szCs w:val="24"/>
    </w:rPr>
  </w:style>
  <w:style w:type="character" w:customStyle="1" w:styleId="10">
    <w:name w:val="Заголовок 1 Знак"/>
    <w:basedOn w:val="a0"/>
    <w:link w:val="1"/>
    <w:uiPriority w:val="9"/>
    <w:rsid w:val="00102782"/>
    <w:rPr>
      <w:rFonts w:asciiTheme="majorHAnsi" w:eastAsiaTheme="majorEastAsia" w:hAnsiTheme="majorHAnsi" w:cstheme="majorBidi"/>
      <w:b/>
      <w:bCs/>
      <w:color w:val="365F91" w:themeColor="accent1" w:themeShade="BF"/>
      <w:sz w:val="28"/>
      <w:szCs w:val="28"/>
    </w:rPr>
  </w:style>
  <w:style w:type="paragraph" w:styleId="af4">
    <w:name w:val="No Spacing"/>
    <w:uiPriority w:val="1"/>
    <w:qFormat/>
    <w:rsid w:val="00CB6EE0"/>
    <w:pPr>
      <w:spacing w:after="0" w:line="240" w:lineRule="auto"/>
      <w:jc w:val="both"/>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B2"/>
    <w:pPr>
      <w:jc w:val="both"/>
    </w:pPr>
    <w:rPr>
      <w:rFonts w:ascii="Times New Roman" w:hAnsi="Times New Roman"/>
      <w:sz w:val="24"/>
    </w:rPr>
  </w:style>
  <w:style w:type="paragraph" w:styleId="1">
    <w:name w:val="heading 1"/>
    <w:basedOn w:val="a"/>
    <w:next w:val="a"/>
    <w:link w:val="10"/>
    <w:uiPriority w:val="9"/>
    <w:qFormat/>
    <w:rsid w:val="001027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B0CFD"/>
    <w:pPr>
      <w:ind w:left="720"/>
      <w:contextualSpacing/>
    </w:pPr>
  </w:style>
  <w:style w:type="character" w:styleId="ac">
    <w:name w:val="Hyperlink"/>
    <w:basedOn w:val="a0"/>
    <w:uiPriority w:val="99"/>
    <w:unhideWhenUsed/>
    <w:rsid w:val="00EB389E"/>
    <w:rPr>
      <w:color w:val="0000FF" w:themeColor="hyperlink"/>
      <w:u w:val="single"/>
    </w:rPr>
  </w:style>
  <w:style w:type="table" w:styleId="ad">
    <w:name w:val="Light Shading"/>
    <w:basedOn w:val="a1"/>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heme="minorEastAsia"/>
      <w:sz w:val="20"/>
      <w:szCs w:val="20"/>
      <w:lang w:val="en-GB" w:eastAsia="zh-CN"/>
    </w:rPr>
  </w:style>
  <w:style w:type="character" w:customStyle="1" w:styleId="af3">
    <w:name w:val="Текст примечания Знак"/>
    <w:basedOn w:val="a0"/>
    <w:link w:val="af2"/>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1"/>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paragraph" w:customStyle="1" w:styleId="Default">
    <w:name w:val="Default"/>
    <w:rsid w:val="00B17ADA"/>
    <w:pPr>
      <w:autoSpaceDE w:val="0"/>
      <w:autoSpaceDN w:val="0"/>
      <w:adjustRightInd w:val="0"/>
      <w:spacing w:after="0" w:line="240" w:lineRule="auto"/>
    </w:pPr>
    <w:rPr>
      <w:rFonts w:ascii="Calibri" w:hAnsi="Calibri" w:cs="Calibri"/>
      <w:color w:val="000000"/>
      <w:sz w:val="24"/>
      <w:szCs w:val="24"/>
    </w:rPr>
  </w:style>
  <w:style w:type="character" w:customStyle="1" w:styleId="10">
    <w:name w:val="Заголовок 1 Знак"/>
    <w:basedOn w:val="a0"/>
    <w:link w:val="1"/>
    <w:uiPriority w:val="9"/>
    <w:rsid w:val="00102782"/>
    <w:rPr>
      <w:rFonts w:asciiTheme="majorHAnsi" w:eastAsiaTheme="majorEastAsia" w:hAnsiTheme="majorHAnsi" w:cstheme="majorBidi"/>
      <w:b/>
      <w:bCs/>
      <w:color w:val="365F91" w:themeColor="accent1" w:themeShade="BF"/>
      <w:sz w:val="28"/>
      <w:szCs w:val="28"/>
    </w:rPr>
  </w:style>
  <w:style w:type="paragraph" w:styleId="af4">
    <w:name w:val="No Spacing"/>
    <w:uiPriority w:val="1"/>
    <w:qFormat/>
    <w:rsid w:val="00CB6EE0"/>
    <w:pPr>
      <w:spacing w:after="0" w:line="240" w:lineRule="auto"/>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854384">
      <w:bodyDiv w:val="1"/>
      <w:marLeft w:val="0"/>
      <w:marRight w:val="0"/>
      <w:marTop w:val="0"/>
      <w:marBottom w:val="0"/>
      <w:divBdr>
        <w:top w:val="none" w:sz="0" w:space="0" w:color="auto"/>
        <w:left w:val="none" w:sz="0" w:space="0" w:color="auto"/>
        <w:bottom w:val="none" w:sz="0" w:space="0" w:color="auto"/>
        <w:right w:val="none" w:sz="0" w:space="0" w:color="auto"/>
      </w:divBdr>
    </w:div>
    <w:div w:id="1416242796">
      <w:bodyDiv w:val="1"/>
      <w:marLeft w:val="0"/>
      <w:marRight w:val="0"/>
      <w:marTop w:val="0"/>
      <w:marBottom w:val="0"/>
      <w:divBdr>
        <w:top w:val="none" w:sz="0" w:space="0" w:color="auto"/>
        <w:left w:val="none" w:sz="0" w:space="0" w:color="auto"/>
        <w:bottom w:val="none" w:sz="0" w:space="0" w:color="auto"/>
        <w:right w:val="none" w:sz="0" w:space="0" w:color="auto"/>
      </w:divBdr>
    </w:div>
    <w:div w:id="1706978677">
      <w:bodyDiv w:val="1"/>
      <w:marLeft w:val="0"/>
      <w:marRight w:val="0"/>
      <w:marTop w:val="0"/>
      <w:marBottom w:val="0"/>
      <w:divBdr>
        <w:top w:val="none" w:sz="0" w:space="0" w:color="auto"/>
        <w:left w:val="none" w:sz="0" w:space="0" w:color="auto"/>
        <w:bottom w:val="none" w:sz="0" w:space="0" w:color="auto"/>
        <w:right w:val="none" w:sz="0" w:space="0" w:color="auto"/>
      </w:divBdr>
    </w:div>
    <w:div w:id="1971587598">
      <w:bodyDiv w:val="1"/>
      <w:marLeft w:val="0"/>
      <w:marRight w:val="0"/>
      <w:marTop w:val="0"/>
      <w:marBottom w:val="0"/>
      <w:divBdr>
        <w:top w:val="none" w:sz="0" w:space="0" w:color="auto"/>
        <w:left w:val="none" w:sz="0" w:space="0" w:color="auto"/>
        <w:bottom w:val="none" w:sz="0" w:space="0" w:color="auto"/>
        <w:right w:val="none" w:sz="0" w:space="0" w:color="auto"/>
      </w:divBdr>
      <w:divsChild>
        <w:div w:id="1241058033">
          <w:marLeft w:val="0"/>
          <w:marRight w:val="0"/>
          <w:marTop w:val="0"/>
          <w:marBottom w:val="0"/>
          <w:divBdr>
            <w:top w:val="none" w:sz="0" w:space="0" w:color="auto"/>
            <w:left w:val="none" w:sz="0" w:space="0" w:color="auto"/>
            <w:bottom w:val="none" w:sz="0" w:space="0" w:color="auto"/>
            <w:right w:val="none" w:sz="0" w:space="0" w:color="auto"/>
          </w:divBdr>
          <w:divsChild>
            <w:div w:id="1056591856">
              <w:marLeft w:val="0"/>
              <w:marRight w:val="60"/>
              <w:marTop w:val="0"/>
              <w:marBottom w:val="0"/>
              <w:divBdr>
                <w:top w:val="none" w:sz="0" w:space="0" w:color="auto"/>
                <w:left w:val="none" w:sz="0" w:space="0" w:color="auto"/>
                <w:bottom w:val="none" w:sz="0" w:space="0" w:color="auto"/>
                <w:right w:val="none" w:sz="0" w:space="0" w:color="auto"/>
              </w:divBdr>
              <w:divsChild>
                <w:div w:id="1369186745">
                  <w:marLeft w:val="0"/>
                  <w:marRight w:val="0"/>
                  <w:marTop w:val="0"/>
                  <w:marBottom w:val="120"/>
                  <w:divBdr>
                    <w:top w:val="single" w:sz="6" w:space="0" w:color="C0C0C0"/>
                    <w:left w:val="single" w:sz="6" w:space="0" w:color="D9D9D9"/>
                    <w:bottom w:val="single" w:sz="6" w:space="0" w:color="D9D9D9"/>
                    <w:right w:val="single" w:sz="6" w:space="0" w:color="D9D9D9"/>
                  </w:divBdr>
                  <w:divsChild>
                    <w:div w:id="355885312">
                      <w:marLeft w:val="0"/>
                      <w:marRight w:val="0"/>
                      <w:marTop w:val="0"/>
                      <w:marBottom w:val="0"/>
                      <w:divBdr>
                        <w:top w:val="none" w:sz="0" w:space="0" w:color="auto"/>
                        <w:left w:val="none" w:sz="0" w:space="0" w:color="auto"/>
                        <w:bottom w:val="none" w:sz="0" w:space="0" w:color="auto"/>
                        <w:right w:val="none" w:sz="0" w:space="0" w:color="auto"/>
                      </w:divBdr>
                    </w:div>
                    <w:div w:id="14047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728724">
          <w:marLeft w:val="0"/>
          <w:marRight w:val="0"/>
          <w:marTop w:val="0"/>
          <w:marBottom w:val="0"/>
          <w:divBdr>
            <w:top w:val="none" w:sz="0" w:space="0" w:color="auto"/>
            <w:left w:val="none" w:sz="0" w:space="0" w:color="auto"/>
            <w:bottom w:val="none" w:sz="0" w:space="0" w:color="auto"/>
            <w:right w:val="none" w:sz="0" w:space="0" w:color="auto"/>
          </w:divBdr>
          <w:divsChild>
            <w:div w:id="705913797">
              <w:marLeft w:val="60"/>
              <w:marRight w:val="0"/>
              <w:marTop w:val="0"/>
              <w:marBottom w:val="0"/>
              <w:divBdr>
                <w:top w:val="none" w:sz="0" w:space="0" w:color="auto"/>
                <w:left w:val="none" w:sz="0" w:space="0" w:color="auto"/>
                <w:bottom w:val="none" w:sz="0" w:space="0" w:color="auto"/>
                <w:right w:val="none" w:sz="0" w:space="0" w:color="auto"/>
              </w:divBdr>
              <w:divsChild>
                <w:div w:id="331955539">
                  <w:marLeft w:val="0"/>
                  <w:marRight w:val="0"/>
                  <w:marTop w:val="0"/>
                  <w:marBottom w:val="0"/>
                  <w:divBdr>
                    <w:top w:val="none" w:sz="0" w:space="0" w:color="auto"/>
                    <w:left w:val="none" w:sz="0" w:space="0" w:color="auto"/>
                    <w:bottom w:val="none" w:sz="0" w:space="0" w:color="auto"/>
                    <w:right w:val="none" w:sz="0" w:space="0" w:color="auto"/>
                  </w:divBdr>
                  <w:divsChild>
                    <w:div w:id="675494967">
                      <w:marLeft w:val="0"/>
                      <w:marRight w:val="0"/>
                      <w:marTop w:val="0"/>
                      <w:marBottom w:val="120"/>
                      <w:divBdr>
                        <w:top w:val="single" w:sz="6" w:space="0" w:color="F5F5F5"/>
                        <w:left w:val="single" w:sz="6" w:space="0" w:color="F5F5F5"/>
                        <w:bottom w:val="single" w:sz="6" w:space="0" w:color="F5F5F5"/>
                        <w:right w:val="single" w:sz="6" w:space="0" w:color="F5F5F5"/>
                      </w:divBdr>
                      <w:divsChild>
                        <w:div w:id="889072327">
                          <w:marLeft w:val="0"/>
                          <w:marRight w:val="0"/>
                          <w:marTop w:val="0"/>
                          <w:marBottom w:val="0"/>
                          <w:divBdr>
                            <w:top w:val="none" w:sz="0" w:space="0" w:color="auto"/>
                            <w:left w:val="none" w:sz="0" w:space="0" w:color="auto"/>
                            <w:bottom w:val="none" w:sz="0" w:space="0" w:color="auto"/>
                            <w:right w:val="none" w:sz="0" w:space="0" w:color="auto"/>
                          </w:divBdr>
                          <w:divsChild>
                            <w:div w:id="12898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ransboundarywaters.science.oregonstate.edu/content/international-freshwater-treaties-database" TargetMode="External"/><Relationship Id="rId18" Type="http://schemas.openxmlformats.org/officeDocument/2006/relationships/hyperlink" Target="http://www.sdg6monitoring.org/indicator-652" TargetMode="External"/><Relationship Id="rId26" Type="http://schemas.openxmlformats.org/officeDocument/2006/relationships/hyperlink" Target="https://www.unescwa.org/publications/inventory-shared-water-resources-western-asia" TargetMode="External"/><Relationship Id="rId3" Type="http://schemas.openxmlformats.org/officeDocument/2006/relationships/styles" Target="styles.xml"/><Relationship Id="rId21" Type="http://schemas.openxmlformats.org/officeDocument/2006/relationships/hyperlink" Target="http://www.geftwap.org/" TargetMode="External"/><Relationship Id="rId7" Type="http://schemas.openxmlformats.org/officeDocument/2006/relationships/footnotes" Target="footnotes.xml"/><Relationship Id="rId12" Type="http://schemas.openxmlformats.org/officeDocument/2006/relationships/hyperlink" Target="https://transboundarywaters.science.oregonstate.edu/content/international-freshwater-treaties-database" TargetMode="External"/><Relationship Id="rId17" Type="http://schemas.openxmlformats.org/officeDocument/2006/relationships/hyperlink" Target="http://www.unesco.org/new/en/ihp" TargetMode="External"/><Relationship Id="rId25" Type="http://schemas.openxmlformats.org/officeDocument/2006/relationships/hyperlink" Target="https://unece.org/environment-policy/publications/second-assessment-transboundary-rivers-lakes-and-groundwaters" TargetMode="External"/><Relationship Id="rId2" Type="http://schemas.openxmlformats.org/officeDocument/2006/relationships/numbering" Target="numbering.xml"/><Relationship Id="rId16" Type="http://schemas.openxmlformats.org/officeDocument/2006/relationships/hyperlink" Target="https://unece.org/environmental-policy/water/transboundary_water_cooperation_reporting" TargetMode="External"/><Relationship Id="rId20" Type="http://schemas.openxmlformats.org/officeDocument/2006/relationships/hyperlink" Target="https://unece.org/DAM/env/documents/2015/WAT/11Nov_17-19_MOP7_Budapest/ece.mp.wat.49.add.2.eng.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sarm.org/" TargetMode="External"/><Relationship Id="rId24" Type="http://schemas.openxmlformats.org/officeDocument/2006/relationships/hyperlink" Target="https://transboundarywaters.science.oregonstate.edu/content/international-river-basin-organization-rbo-database" TargetMode="External"/><Relationship Id="rId5" Type="http://schemas.openxmlformats.org/officeDocument/2006/relationships/settings" Target="settings.xml"/><Relationship Id="rId15" Type="http://schemas.openxmlformats.org/officeDocument/2006/relationships/hyperlink" Target="https://unece.org/environment-policy/publications/guide-reporting-under-water-convention-and-contribution-sdg" TargetMode="External"/><Relationship Id="rId23" Type="http://schemas.openxmlformats.org/officeDocument/2006/relationships/hyperlink" Target="https://transboundarywaters.science.oregonstate.edu/content/international-freshwater-treaties-database" TargetMode="External"/><Relationship Id="rId28" Type="http://schemas.openxmlformats.org/officeDocument/2006/relationships/fontTable" Target="fontTable.xml"/><Relationship Id="rId10" Type="http://schemas.openxmlformats.org/officeDocument/2006/relationships/hyperlink" Target="https://ggis.un-igrac.org/" TargetMode="External"/><Relationship Id="rId19" Type="http://schemas.openxmlformats.org/officeDocument/2006/relationships/hyperlink" Target="http://www.sdg6data.org/indicator/6.5.2" TargetMode="External"/><Relationship Id="rId4" Type="http://schemas.microsoft.com/office/2007/relationships/stylesWithEffects" Target="stylesWithEffects.xml"/><Relationship Id="rId9" Type="http://schemas.openxmlformats.org/officeDocument/2006/relationships/hyperlink" Target="https://transboundarywaters.science.oregonstate.edu/sites/transboundarywaters.science.oregonstate.edu/files/Database/Data/register/McCracken_Wolf_2019.pdf" TargetMode="External"/><Relationship Id="rId14" Type="http://schemas.openxmlformats.org/officeDocument/2006/relationships/hyperlink" Target="https://www.unwater.org/publications/step-step-methodology-monitoring-transboundary-cooperation-6-5-2/" TargetMode="External"/><Relationship Id="rId22" Type="http://schemas.openxmlformats.org/officeDocument/2006/relationships/hyperlink" Target="http://www.isarm.org/"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2ABE0-B357-4DCE-8DF8-5F3B0C09D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13</Pages>
  <Words>4744</Words>
  <Characters>27044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31725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БойкоТатьяна Евгеньевна</dc:creator>
  <cp:lastModifiedBy>Гусев Иван Евгеньевич</cp:lastModifiedBy>
  <cp:revision>14</cp:revision>
  <dcterms:created xsi:type="dcterms:W3CDTF">2022-04-20T14:19:00Z</dcterms:created>
  <dcterms:modified xsi:type="dcterms:W3CDTF">2024-08-01T07:35:00Z</dcterms:modified>
</cp:coreProperties>
</file>