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773A7F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Информаци</w:t>
      </w:r>
      <w:bookmarkStart w:id="0" w:name="_GoBack"/>
      <w:bookmarkEnd w:id="0"/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9737AE">
        <w:rPr>
          <w:rFonts w:eastAsia="Arial Unicode MS" w:cs="Times New Roman"/>
          <w:szCs w:val="24"/>
          <w:bdr w:val="nil"/>
          <w:lang w:eastAsia="ru-RU"/>
        </w:rPr>
        <w:t>8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4344AC" w:rsidRPr="004344AC">
        <w:t>Содействие поступательному, всеохватному и устойчивому экономическому росту, полной и производительной занятости и достойной работе для всех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9737AE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780F08" w:rsidRPr="00BD29EC">
        <w:rPr>
          <w:rFonts w:cs="Times New Roman"/>
          <w:szCs w:val="24"/>
        </w:rPr>
        <w:t>.</w:t>
      </w:r>
      <w:r w:rsidR="00004BE3">
        <w:rPr>
          <w:rFonts w:cs="Times New Roman"/>
          <w:szCs w:val="24"/>
        </w:rPr>
        <w:t>5</w:t>
      </w:r>
      <w:r w:rsidR="00780F08" w:rsidRPr="00BD29EC">
        <w:rPr>
          <w:rFonts w:cs="Times New Roman"/>
          <w:szCs w:val="24"/>
        </w:rPr>
        <w:t xml:space="preserve">.  </w:t>
      </w:r>
      <w:r w:rsidR="00004BE3" w:rsidRPr="00004BE3">
        <w:t>К 2030 году обеспечить полную и производительную занятость и достойную работу для всех женщин и мужчин, в том числе молодых людей и инвалидов, и равную оплату за труд равной ценности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9737AE">
        <w:rPr>
          <w:rFonts w:cs="Times New Roman"/>
          <w:szCs w:val="24"/>
        </w:rPr>
        <w:t>8</w:t>
      </w:r>
      <w:r w:rsidR="00780F08" w:rsidRPr="00BD29EC">
        <w:rPr>
          <w:rFonts w:cs="Times New Roman"/>
          <w:szCs w:val="24"/>
        </w:rPr>
        <w:t>.</w:t>
      </w:r>
      <w:r w:rsidR="00004BE3">
        <w:rPr>
          <w:rFonts w:cs="Times New Roman"/>
          <w:szCs w:val="24"/>
        </w:rPr>
        <w:t>5</w:t>
      </w:r>
      <w:r w:rsidR="002064C4">
        <w:rPr>
          <w:rFonts w:cs="Times New Roman"/>
          <w:szCs w:val="24"/>
        </w:rPr>
        <w:t>.</w:t>
      </w:r>
      <w:r w:rsidR="00C95AB2">
        <w:rPr>
          <w:rFonts w:cs="Times New Roman"/>
          <w:szCs w:val="24"/>
        </w:rPr>
        <w:t>1.</w:t>
      </w:r>
      <w:r w:rsidR="00780F08" w:rsidRPr="00BD29EC">
        <w:rPr>
          <w:rFonts w:cs="Times New Roman"/>
          <w:szCs w:val="24"/>
        </w:rPr>
        <w:t xml:space="preserve"> </w:t>
      </w:r>
      <w:r w:rsidR="00004BE3" w:rsidRPr="00004BE3">
        <w:t>Средний почасовой заработок работников в разбивке по полу, возрасту и роду занятий, а также признаку инвалидности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EA50C4" w:rsidRPr="00EA50C4" w:rsidRDefault="00EA50C4" w:rsidP="00773A7F">
      <w:pPr>
        <w:spacing w:after="0"/>
      </w:pPr>
      <w:r w:rsidRPr="00EA50C4">
        <w:rPr>
          <w:lang w:val="en-US"/>
        </w:rPr>
        <w:t>SL</w:t>
      </w:r>
      <w:r w:rsidRPr="00EA50C4">
        <w:t>_</w:t>
      </w:r>
      <w:r w:rsidRPr="00EA50C4">
        <w:rPr>
          <w:lang w:val="en-US"/>
        </w:rPr>
        <w:t>EMP</w:t>
      </w:r>
      <w:r w:rsidRPr="00EA50C4">
        <w:t>_</w:t>
      </w:r>
      <w:r w:rsidRPr="00EA50C4">
        <w:rPr>
          <w:lang w:val="en-US"/>
        </w:rPr>
        <w:t>EARN</w:t>
      </w:r>
      <w:r w:rsidRPr="00EA50C4">
        <w:t xml:space="preserve"> – Средняя почасовая заработная плата работников [8.5.1]</w:t>
      </w:r>
    </w:p>
    <w:p w:rsidR="00004BE3" w:rsidRPr="00004BE3" w:rsidRDefault="00C8596F" w:rsidP="00773A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004BE3" w:rsidRPr="00004BE3" w:rsidRDefault="00EA50C4" w:rsidP="00773A7F">
      <w:pPr>
        <w:spacing w:after="0"/>
        <w:rPr>
          <w:b/>
        </w:rPr>
      </w:pPr>
      <w:r>
        <w:t>28.03.2024</w:t>
      </w:r>
    </w:p>
    <w:p w:rsidR="00C8596F" w:rsidRDefault="00C8596F" w:rsidP="00773A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004BE3" w:rsidRPr="00DA19D7" w:rsidRDefault="00004BE3" w:rsidP="00773A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>
        <w:t>1.1.1, 5.5.2, 8.2.1, 10.4.1</w:t>
      </w:r>
    </w:p>
    <w:p w:rsidR="00A91FDE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6C43F8" w:rsidRPr="00BD29EC" w:rsidRDefault="006C43F8" w:rsidP="006C43F8">
      <w:pPr>
        <w:rPr>
          <w:bdr w:val="nil"/>
          <w:lang w:eastAsia="ru-RU"/>
        </w:rPr>
      </w:pPr>
      <w:r>
        <w:rPr>
          <w:bdr w:val="nil"/>
          <w:lang w:eastAsia="ru-RU"/>
        </w:rPr>
        <w:t>Международная организация труда (МОТ)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6C43F8" w:rsidRPr="006C43F8" w:rsidRDefault="006C43F8" w:rsidP="006C43F8">
      <w:pPr>
        <w:rPr>
          <w:bdr w:val="nil"/>
          <w:lang w:eastAsia="ru-RU"/>
        </w:rPr>
      </w:pPr>
      <w:r>
        <w:rPr>
          <w:bdr w:val="nil"/>
          <w:lang w:eastAsia="ru-RU"/>
        </w:rPr>
        <w:t>Международная организация труда (МОТ)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170412">
      <w:pPr>
        <w:pStyle w:val="MHeader2"/>
        <w:spacing w:after="120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773A7F" w:rsidRDefault="00DA19D7" w:rsidP="00773A7F">
      <w:pPr>
        <w:spacing w:after="120"/>
        <w:rPr>
          <w:b/>
        </w:rPr>
      </w:pPr>
      <w:r w:rsidRPr="00773A7F">
        <w:rPr>
          <w:b/>
        </w:rPr>
        <w:t>Определение:</w:t>
      </w:r>
    </w:p>
    <w:p w:rsidR="008A31B5" w:rsidRDefault="008A31B5" w:rsidP="00773A7F">
      <w:pPr>
        <w:spacing w:after="120"/>
      </w:pPr>
      <w:r w:rsidRPr="008A31B5">
        <w:t>Этот показатель предоставляет информацию о средней почасовой заработной плате наемных работников в разбивке по полу, роду занятий, возрасту и статусу инвалидности.</w:t>
      </w:r>
    </w:p>
    <w:p w:rsidR="00DA19D7" w:rsidRPr="00773A7F" w:rsidRDefault="003859BD" w:rsidP="00773A7F">
      <w:pPr>
        <w:spacing w:after="120"/>
        <w:rPr>
          <w:b/>
        </w:rPr>
      </w:pPr>
      <w:r w:rsidRPr="00773A7F">
        <w:rPr>
          <w:b/>
        </w:rPr>
        <w:t>Основные понятия</w:t>
      </w:r>
      <w:r w:rsidR="00773A7F" w:rsidRPr="00773A7F">
        <w:rPr>
          <w:b/>
        </w:rPr>
        <w:t>:</w:t>
      </w:r>
    </w:p>
    <w:p w:rsidR="008A31B5" w:rsidRDefault="008A31B5" w:rsidP="008A31B5">
      <w:r w:rsidRPr="008A31B5">
        <w:t>Заработная плата относится к валовому вознаграждению в денежной или натуральной форме, выплачиваемому работникам, как правило, через регулярные промежутки времени, за отработанное время или выполненную работу вместе с вознаграждением за неиспользованное время, такое как ежегодный отпуск, друго</w:t>
      </w:r>
      <w:r>
        <w:t>й вид оплачиваемого отпуска или праздничные дни</w:t>
      </w:r>
      <w:r w:rsidRPr="008A31B5">
        <w:t>. Заработная плата исключает взносы работодателей в отношении своих работников, выплачиваемые в системы социального обеспечения и пенсионного обеспечения, а также пособия, получаемые работниками в рамках этих схем. Заработок также исключает выходное пособие и выплату при увольнении.</w:t>
      </w:r>
    </w:p>
    <w:p w:rsidR="008A31B5" w:rsidRPr="00DA19D7" w:rsidRDefault="008A31B5" w:rsidP="008A31B5">
      <w:r w:rsidRPr="008A31B5">
        <w:lastRenderedPageBreak/>
        <w:t>Для целей международной сопоставимости используемая статистика заработка относится к валовому вознаграждению работников, т.е. к общей сумме до того, как работодатель произведет какие-либо вычеты в отношении налогов, взносов работников в системы социального обеспечения и пенсионного обеспечения, взносов по страхованию жизни, профсоюзных взносов и других обязательств работников. Как указано в названии показателя, данные о заработке должны представляться на основе среднего арифметического почасового заработка всех сотрудников.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A110A8" w:rsidP="008A31B5">
      <w:r>
        <w:t>М</w:t>
      </w:r>
      <w:r w:rsidR="008A31B5" w:rsidRPr="008A31B5">
        <w:t>естная валюта</w:t>
      </w:r>
      <w:r>
        <w:t xml:space="preserve"> в текущих ценах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8A31B5" w:rsidP="008A31B5">
      <w:r w:rsidRPr="008A31B5">
        <w:t>Разбивка по роду занятий основана на последней версии Международной стандартной классификации занятий (</w:t>
      </w:r>
      <w:r w:rsidR="00603B38" w:rsidRPr="00603B38">
        <w:t>МСКЗ</w:t>
      </w:r>
      <w:r w:rsidRPr="008A31B5">
        <w:t>).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8A31B5" w:rsidRDefault="008A31B5" w:rsidP="008A31B5">
      <w:r w:rsidRPr="008A31B5">
        <w:t>Существует множество возможных источнико</w:t>
      </w:r>
      <w:r>
        <w:t>в данных о доходах сотрудников.</w:t>
      </w:r>
    </w:p>
    <w:p w:rsidR="00C9103B" w:rsidRDefault="008A31B5" w:rsidP="008A31B5">
      <w:r w:rsidRPr="008A31B5">
        <w:t>Обследования предприятий, как правило, являются наиболее надежным источником, учитывая высокую точность полученных на их основе данных о доходах (информация обычно поступает из фонда заработной платы, поэтому является точной). Однако объем этих статистических данных ограничен охватом соответствующего обследования предприятий (</w:t>
      </w:r>
      <w:proofErr w:type="gramStart"/>
      <w:r w:rsidRPr="008A31B5">
        <w:t>обычно</w:t>
      </w:r>
      <w:proofErr w:type="gramEnd"/>
      <w:r w:rsidRPr="008A31B5">
        <w:t xml:space="preserve"> исключая небольшие предприятия, сельскохозяйственные предприятия и/или предприятия неформального сектора). </w:t>
      </w:r>
    </w:p>
    <w:p w:rsidR="00C9103B" w:rsidRDefault="008A31B5" w:rsidP="008A31B5">
      <w:r w:rsidRPr="008A31B5">
        <w:t xml:space="preserve">Обследования домашних хозяйств (и особенно обследования рабочей силы) могут предоставить статистические данные о доходах, охватывающие все виды экономической деятельности, а также все типы и размеры предприятий, но качество данных в значительной степени зависит от точности ответов респондентов. </w:t>
      </w:r>
    </w:p>
    <w:p w:rsidR="008A31B5" w:rsidRPr="00BD29EC" w:rsidRDefault="008A31B5" w:rsidP="008A31B5">
      <w:r w:rsidRPr="008A31B5">
        <w:t>Данные о доходах также могут быть получены из различных административных документов.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C9103B" w:rsidRPr="00BD29EC" w:rsidRDefault="00C9103B" w:rsidP="00C9103B">
      <w:r w:rsidRPr="00C9103B">
        <w:t>Департамент статистики МОТ обрабатывает наборы микроданных национальных обследований домашних хозяйств в соответствии с согласованными на международном уровне концепциями и определениями показателей, установленными Международной конференцией статистиков труда. Для получения данных, которые невозможно было получить с помощью этой обработки или непосредственно с правительственных веб-сайтов, МОТ рассылает ежегодный вопросник ILOSTAT всем соответствующим учреждениям в каждой стране (национальному статистическому управлению, министерству труда и т.д.) с просьбой предоставить последние годовые данные и любые изменения по многочисленным темам и показателям рынка труда, включая многие Показатели достижения ЦУР.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C9103B" w:rsidRPr="00BD29EC" w:rsidRDefault="00C9103B" w:rsidP="00C9103B">
      <w:r>
        <w:t>Непрерывный.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C9103B" w:rsidRPr="00BD29EC" w:rsidRDefault="00C9103B" w:rsidP="00C9103B">
      <w:r>
        <w:t>Непрерывный.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C9103B" w:rsidRPr="00A71EC6" w:rsidRDefault="00C9103B" w:rsidP="00C9103B">
      <w:r w:rsidRPr="00C9103B">
        <w:t>На национальном уровне учреждением, ответственным за подготовку данных о доходах, обычно является национальное статистическое управление.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C9103B" w:rsidRPr="00BD29EC" w:rsidRDefault="00C9103B" w:rsidP="00C9103B">
      <w:r w:rsidRPr="00C9103B">
        <w:t>Международная организация труда (МОТ)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C9103B" w:rsidP="00C9103B">
      <w:r w:rsidRPr="00C9103B">
        <w:t xml:space="preserve">МОТ является координационным центром ООН по статистике труда. Он устанавливает международные стандарты статистики труда через Международную конференцию статистиков труда. Он также собирает и выпускает статистику труда с целью распространения сопоставимых на международном уровне наборов данных и предоставляет техническую помощь и обучение государствам </w:t>
      </w:r>
      <w:r w:rsidR="00A110A8">
        <w:t>–</w:t>
      </w:r>
      <w:r w:rsidRPr="00C9103B">
        <w:t xml:space="preserve"> членам МОТ в поддержку их усилий по подготовке высококачественных данных о рынке труда.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E15F9" w:rsidRPr="00BD29EC" w:rsidRDefault="00C9103B" w:rsidP="00C9103B">
      <w:r w:rsidRPr="00C9103B">
        <w:t>Заработная плата является ключевым аспектом качества занятости и условий жизни. Информация о почасовой заработной плате в разбивке по различным категориям (пол, возраст, род занятий, статус инвалидности) дает некоторое представление о том, в какой степени соблюдается или достигается равенство в оплате труда.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D93FEB" w:rsidRDefault="00D93FEB" w:rsidP="00D93FEB">
      <w:r w:rsidRPr="00D93FEB">
        <w:t xml:space="preserve">Разнообразие возможных источников статистических данных о доходах в значительной степени затрудняет международную сопоставимость, поскольку каждый тип источников имеет свой собственный охват, сферу охвата и характеристики. Было бы не совсем точно сравнивать, например, почасовую заработную плату, полученную в результате обследования рабочей силы в одной стране, с почасовой заработной платой, полученной в результате обследования предприятий в другой. Использование нестандартных определений и разнородность применяемых оперативных критериев еще больше затрудняют </w:t>
      </w:r>
      <w:proofErr w:type="spellStart"/>
      <w:r w:rsidRPr="00D93FEB">
        <w:t>межстрановые</w:t>
      </w:r>
      <w:proofErr w:type="spellEnd"/>
      <w:r w:rsidRPr="00D93FEB">
        <w:t xml:space="preserve"> сопоставления.</w:t>
      </w:r>
    </w:p>
    <w:p w:rsidR="007A397B" w:rsidRPr="00BD29EC" w:rsidRDefault="007A397B" w:rsidP="00D93FEB"/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D93FEB" w:rsidRDefault="00D93FEB" w:rsidP="00D93FEB">
      <w:r w:rsidRPr="00D93FEB">
        <w:t xml:space="preserve">Метод расчета, используемый для получения средней почасовой заработной платы сотрудников, зависит от используемого источника данных и типа предоставляемой им </w:t>
      </w:r>
      <w:r w:rsidRPr="00D93FEB">
        <w:lastRenderedPageBreak/>
        <w:t>информации. Например, если имеется информация о почасовой заработной плате каждого работника и отработанных часах, среднее значение представляет собой средневзвешенное значение, рассчитанное путем суммирования произведения почасовой заработной платы каждого работника на количество отработанных часов и деления его на общее количество часов, отработанных всеми работниками. Другими словами:</w:t>
      </w:r>
    </w:p>
    <w:p w:rsidR="00D93FEB" w:rsidRPr="00D93FEB" w:rsidRDefault="00D93FEB" w:rsidP="00D93FEB">
      <w:pPr>
        <w:rPr>
          <w:rFonts w:eastAsiaTheme="minorEastAsia"/>
          <w:sz w:val="18"/>
        </w:rPr>
      </w:pPr>
      <m:oMathPara>
        <m:oMath>
          <m:r>
            <w:rPr>
              <w:rFonts w:ascii="Cambria Math" w:hAnsi="Cambria Math" w:cs="Cambria Math"/>
              <w:sz w:val="20"/>
            </w:rPr>
            <m:t>Средняя почасовая заработная плата</m:t>
          </m:r>
          <m:r>
            <m:rPr>
              <m:sty m:val="p"/>
            </m:rPr>
            <w:rPr>
              <w:rFonts w:ascii="Cambria Math" w:hAnsi="Cambria Math" w:cs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0"/>
                    </w:rPr>
                    <m:t>(</m:t>
                  </m:r>
                </m:e>
              </m:nary>
              <m:r>
                <w:rPr>
                  <w:rFonts w:ascii="Cambria Math" w:hAnsi="Cambria Math"/>
                  <w:sz w:val="20"/>
                </w:rPr>
                <m:t>почасовая заработная плата каждого сотрудника х часы, отработанные каждым сотрудником)</m:t>
              </m:r>
            </m:num>
            <m:den>
              <m:r>
                <w:rPr>
                  <w:rFonts w:ascii="Cambria Math" w:hAnsi="Cambria Math"/>
                  <w:sz w:val="20"/>
                </w:rPr>
                <m:t>Общее количество часов, отработанных всеми сотрудниками</m:t>
              </m:r>
            </m:den>
          </m:f>
        </m:oMath>
      </m:oMathPara>
    </w:p>
    <w:p w:rsidR="00D93FEB" w:rsidRDefault="00D93FEB" w:rsidP="00D93FEB">
      <w:r w:rsidRPr="00D93FEB">
        <w:t>Статистические данные о средней почасовой заработной плате в разбивке по полу могут быть использованы для расчета гендерного разрыва в оплате труда следующим образом:</w:t>
      </w:r>
    </w:p>
    <w:p w:rsidR="00D93FEB" w:rsidRDefault="00D93FEB" w:rsidP="00D93FEB">
      <w:pPr>
        <w:rPr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0"/>
            </w:rPr>
            <m:t>Гендерный разрыв в оплате труда=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36"/>
                          <w:lang w:val="en-GB" w:eastAsia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Средняя почасовая заработная плата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 xml:space="preserve">мужчины 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 xml:space="preserve">-  </m:t>
              </m:r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36"/>
                          <w:lang w:val="en-GB" w:eastAsia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Средняя почасовая заработная плата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 xml:space="preserve">женщины 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36"/>
                          <w:lang w:val="en-GB" w:eastAsia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Средняя почасовая заработная плата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 xml:space="preserve">мужчины </m:t>
                      </m:r>
                    </m:sub>
                  </m:sSub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0"/>
            </w:rPr>
            <m:t xml:space="preserve"> ×100</m:t>
          </m:r>
        </m:oMath>
      </m:oMathPara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D93FEB" w:rsidRDefault="00D93FEB" w:rsidP="00D93FEB">
      <w:r w:rsidRPr="00D93FEB">
        <w:t>МОТ проводит ежегодные консультации с государствами-членами с помощью вопросника ILOSTAT и соответствующей системы статистической отчетности (</w:t>
      </w:r>
      <w:proofErr w:type="spellStart"/>
      <w:r w:rsidRPr="00D93FEB">
        <w:t>StaRS</w:t>
      </w:r>
      <w:proofErr w:type="spellEnd"/>
      <w:r w:rsidRPr="00D93FEB">
        <w:t>). Национальные поставщики данных получают ссылку на портал, где они могут просмотреть все национальные данные о ЦУР, доступные в ILOSTAT.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4E17FA" w:rsidRDefault="004E17FA" w:rsidP="004E17FA">
      <w:pPr>
        <w:rPr>
          <w:szCs w:val="24"/>
        </w:rPr>
      </w:pPr>
      <w:r w:rsidRPr="004E17FA">
        <w:t>В рамках инициативы МОТ по согласованию микроданных МОТ стремится создавать сопоставимую на международном уровне статистику труда на основе концепций и определений показателей, принятых Международной конференцией статистиков труда</w:t>
      </w:r>
      <w:r w:rsidRPr="004E17FA">
        <w:rPr>
          <w:szCs w:val="24"/>
        </w:rPr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694160" w:rsidRPr="00BD29EC" w:rsidRDefault="004E17FA" w:rsidP="004E17FA">
      <w:r>
        <w:t>Не применимо.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E27922" w:rsidRPr="00BD29EC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E27922" w:rsidRPr="00BD29EC">
        <w:rPr>
          <w:color w:val="auto"/>
          <w:sz w:val="24"/>
          <w:szCs w:val="24"/>
          <w:lang w:val="ru-RU"/>
        </w:rPr>
        <w:t>.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4E17FA" w:rsidRDefault="004E17FA" w:rsidP="00120DBC">
      <w:pPr>
        <w:spacing w:after="120"/>
      </w:pPr>
      <w:r w:rsidRPr="004E17FA">
        <w:t>- Резолюция об измерении доходов, связанных с занятостью, принятая Шестнадцатой Международной конференцией статис</w:t>
      </w:r>
      <w:r>
        <w:t>тиков труда (январь 1998 года)</w:t>
      </w:r>
      <w:r w:rsidR="00120DBC">
        <w:t>, доступна по адресу:</w:t>
      </w:r>
    </w:p>
    <w:p w:rsidR="004E17FA" w:rsidRDefault="00731FAC" w:rsidP="00120DBC">
      <w:pPr>
        <w:spacing w:after="120"/>
      </w:pPr>
      <w:hyperlink r:id="rId9" w:history="1">
        <w:r w:rsidR="004E17FA">
          <w:rPr>
            <w:rStyle w:val="ac"/>
          </w:rPr>
          <w:t>https://www.ilo.org/global/statistics-and-databases/standards-and-guidelines/resolutions-adopted-by-international-conferences-of-labour-statisticians/WCMS_087490/lang--en/index.htm</w:t>
        </w:r>
      </w:hyperlink>
    </w:p>
    <w:p w:rsidR="004E17FA" w:rsidRDefault="004E17FA" w:rsidP="00120DBC">
      <w:pPr>
        <w:spacing w:after="120"/>
      </w:pPr>
      <w:r w:rsidRPr="004E17FA">
        <w:t>- Резолюция о Международной классификации статуса занятости (ICSE), принятая Пятнадцатой Международной конференцией статистиков труда (январь 1993 года)</w:t>
      </w:r>
      <w:r w:rsidR="00120DBC">
        <w:t>,</w:t>
      </w:r>
      <w:r w:rsidR="00120DBC" w:rsidRPr="00120DBC">
        <w:t xml:space="preserve"> </w:t>
      </w:r>
      <w:r w:rsidR="00120DBC">
        <w:t xml:space="preserve">доступна по адресу: </w:t>
      </w:r>
      <w:hyperlink r:id="rId10" w:history="1">
        <w:r>
          <w:rPr>
            <w:rStyle w:val="ac"/>
          </w:rPr>
          <w:t>https://www.ilo.org/global/statistics-and-databases/standards-and-</w:t>
        </w:r>
        <w:r>
          <w:rPr>
            <w:rStyle w:val="ac"/>
          </w:rPr>
          <w:lastRenderedPageBreak/>
          <w:t>guidelines/resolutions-adopted-by-international-conferences-of-labour-statisticians/WCMS_087562/lang--en/index.htm</w:t>
        </w:r>
      </w:hyperlink>
    </w:p>
    <w:p w:rsidR="004E17FA" w:rsidRDefault="004E17FA" w:rsidP="00120DBC">
      <w:pPr>
        <w:spacing w:after="120"/>
      </w:pPr>
      <w:r w:rsidRPr="004E17FA">
        <w:t>- Резолюция о комплексной системе статистики заработной платы, принятая Двенадцатой Международной конференцией статистиков труда (январь 1973 года)</w:t>
      </w:r>
      <w:r w:rsidR="00120DBC">
        <w:t>,</w:t>
      </w:r>
      <w:r w:rsidR="00120DBC" w:rsidRPr="00120DBC">
        <w:t xml:space="preserve"> </w:t>
      </w:r>
      <w:r w:rsidR="00120DBC">
        <w:t>доступна по адресу:</w:t>
      </w:r>
    </w:p>
    <w:p w:rsidR="004E17FA" w:rsidRDefault="00731FAC" w:rsidP="00120DBC">
      <w:pPr>
        <w:spacing w:after="120"/>
      </w:pPr>
      <w:hyperlink r:id="rId11" w:history="1">
        <w:r w:rsidR="004E17FA">
          <w:rPr>
            <w:rStyle w:val="ac"/>
          </w:rPr>
          <w:t>https://www.ilo.org/global/statistics-and-databases/standards-and-guidelines/resolutions-adopted-by-international-conferences-of-labour-statisticians/WCMS_087496/lang--en/index.htm</w:t>
        </w:r>
      </w:hyperlink>
    </w:p>
    <w:p w:rsidR="004E17FA" w:rsidRDefault="004E17FA" w:rsidP="00120DBC">
      <w:pPr>
        <w:spacing w:after="0"/>
        <w:rPr>
          <w:rStyle w:val="ac"/>
        </w:rPr>
      </w:pPr>
      <w:r w:rsidRPr="004E17FA">
        <w:t>- Руководство МОТ: Интегрированная система статистики заработной платы</w:t>
      </w:r>
      <w:r w:rsidR="00120DBC">
        <w:t>, доступно по адресу: </w:t>
      </w:r>
      <w:hyperlink r:id="rId12" w:history="1">
        <w:r>
          <w:rPr>
            <w:rStyle w:val="ac"/>
          </w:rPr>
          <w:t>https://www.ilo.org/wcmsp5/groups/public/---dgreports/---</w:t>
        </w:r>
        <w:proofErr w:type="spellStart"/>
        <w:r>
          <w:rPr>
            <w:rStyle w:val="ac"/>
          </w:rPr>
          <w:t>stat</w:t>
        </w:r>
        <w:proofErr w:type="spellEnd"/>
        <w:r>
          <w:rPr>
            <w:rStyle w:val="ac"/>
          </w:rPr>
          <w:t>/documents/presentation/wcms_315657.pdf</w:t>
        </w:r>
      </w:hyperlink>
    </w:p>
    <w:p w:rsidR="00120DBC" w:rsidRPr="00BD29EC" w:rsidRDefault="00120DBC" w:rsidP="00120DBC">
      <w:pPr>
        <w:spacing w:after="120"/>
      </w:pP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8044B1" w:rsidRPr="00BD29EC" w:rsidRDefault="008044B1" w:rsidP="008044B1">
      <w:r w:rsidRPr="008044B1">
        <w:t>Процессы сбора, подготовки и публикации данных, включая контроль их качества, осуществляются в соответствии с методологической основой и стандартами, установленными Статистическим департаментом МОТ, в соответствии со стандартами МОТ в области информационных технологий и управления.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8044B1" w:rsidRPr="00040034" w:rsidRDefault="008044B1" w:rsidP="008044B1">
      <w:r w:rsidRPr="008044B1">
        <w:t>Регулярно проводятся проверки согласованности и качества данных для проверки достоверности данных перед их распространением в базе данных ILOSTAT.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8044B1" w:rsidRPr="00BD29EC" w:rsidRDefault="008044B1" w:rsidP="008044B1">
      <w:r w:rsidRPr="008044B1">
        <w:t xml:space="preserve">Окончательная оценка качества информации проводится Отделом подготовки и анализа данных Департамента МОТ. В случаях сомнений в качестве конкретных данных эти значения пересматриваются при участии национальных агентств, ответственных за подготовку данных, если это необходимо. </w:t>
      </w:r>
      <w:r>
        <w:t>При невозможности прояснения возникших вопросов</w:t>
      </w:r>
      <w:r w:rsidRPr="008044B1">
        <w:t>, соответствующая информация не публикуется.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2C50C3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2C50C3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2C50C3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7A397B" w:rsidRDefault="00C25317" w:rsidP="0075371E">
      <w:pPr>
        <w:pStyle w:val="MText"/>
        <w:rPr>
          <w:color w:val="auto"/>
          <w:sz w:val="24"/>
          <w:szCs w:val="24"/>
          <w:lang w:val="ru-RU"/>
        </w:rPr>
      </w:pPr>
      <w:r w:rsidRPr="00C25317">
        <w:rPr>
          <w:color w:val="auto"/>
          <w:sz w:val="24"/>
          <w:szCs w:val="24"/>
          <w:lang w:val="ru-RU"/>
        </w:rPr>
        <w:t xml:space="preserve">Данные по этому показателю </w:t>
      </w:r>
      <w:r>
        <w:rPr>
          <w:color w:val="auto"/>
          <w:sz w:val="24"/>
          <w:szCs w:val="24"/>
          <w:lang w:val="ru-RU"/>
        </w:rPr>
        <w:t>доступны</w:t>
      </w:r>
      <w:r w:rsidRPr="00C25317">
        <w:rPr>
          <w:color w:val="auto"/>
          <w:sz w:val="24"/>
          <w:szCs w:val="24"/>
          <w:lang w:val="ru-RU"/>
        </w:rPr>
        <w:t xml:space="preserve"> по 1</w:t>
      </w:r>
      <w:r w:rsidR="007A397B">
        <w:rPr>
          <w:color w:val="auto"/>
          <w:sz w:val="24"/>
          <w:szCs w:val="24"/>
          <w:lang w:val="ru-RU"/>
        </w:rPr>
        <w:t>30 странам и территориям.</w:t>
      </w:r>
    </w:p>
    <w:p w:rsidR="00C25317" w:rsidRDefault="00C25317" w:rsidP="0075371E">
      <w:pPr>
        <w:pStyle w:val="MText"/>
        <w:rPr>
          <w:color w:val="auto"/>
          <w:sz w:val="24"/>
          <w:szCs w:val="24"/>
          <w:lang w:val="ru-RU"/>
        </w:rPr>
      </w:pPr>
      <w:r w:rsidRPr="00C25317">
        <w:rPr>
          <w:color w:val="auto"/>
          <w:sz w:val="24"/>
          <w:szCs w:val="24"/>
          <w:lang w:val="ru-RU"/>
        </w:rPr>
        <w:t>Временные ряды: Представленные данные охватывают период с 2000 по 202</w:t>
      </w:r>
      <w:r w:rsidR="007A397B">
        <w:rPr>
          <w:color w:val="auto"/>
          <w:sz w:val="24"/>
          <w:szCs w:val="24"/>
          <w:lang w:val="ru-RU"/>
        </w:rPr>
        <w:t>3</w:t>
      </w:r>
      <w:r w:rsidRPr="00C25317">
        <w:rPr>
          <w:color w:val="auto"/>
          <w:sz w:val="24"/>
          <w:szCs w:val="24"/>
          <w:lang w:val="ru-RU"/>
        </w:rPr>
        <w:t xml:space="preserve"> год.</w:t>
      </w:r>
    </w:p>
    <w:p w:rsidR="00C25317" w:rsidRDefault="00C25317" w:rsidP="0075371E">
      <w:pPr>
        <w:pStyle w:val="MText"/>
        <w:rPr>
          <w:color w:val="auto"/>
          <w:sz w:val="24"/>
          <w:szCs w:val="24"/>
          <w:lang w:val="ru-RU"/>
        </w:rPr>
      </w:pPr>
    </w:p>
    <w:p w:rsidR="0075371E" w:rsidRPr="002C50C3" w:rsidRDefault="002C50C3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2C50C3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2C50C3">
        <w:rPr>
          <w:b/>
          <w:color w:val="auto"/>
          <w:sz w:val="24"/>
          <w:szCs w:val="24"/>
          <w:lang w:val="ru-RU"/>
        </w:rPr>
        <w:t>:</w:t>
      </w:r>
    </w:p>
    <w:p w:rsidR="00C25317" w:rsidRPr="00BD29EC" w:rsidRDefault="00C25317" w:rsidP="008D4B19">
      <w:pPr>
        <w:pStyle w:val="MText"/>
        <w:spacing w:after="120"/>
        <w:rPr>
          <w:color w:val="auto"/>
          <w:sz w:val="24"/>
          <w:szCs w:val="24"/>
          <w:lang w:val="ru-RU"/>
        </w:rPr>
      </w:pPr>
      <w:r w:rsidRPr="00C25317">
        <w:rPr>
          <w:color w:val="auto"/>
          <w:sz w:val="24"/>
          <w:szCs w:val="24"/>
          <w:lang w:val="ru-RU"/>
        </w:rPr>
        <w:t>Этот показатель должен быть дезагрегирован по полу, роду занятий, возрасту и статусу инвалидности.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8D4B19" w:rsidRPr="008D4B19" w:rsidRDefault="008D4B19" w:rsidP="008D4B19">
      <w:pPr>
        <w:spacing w:after="120"/>
        <w:rPr>
          <w:b/>
          <w:lang w:eastAsia="en-GB"/>
        </w:rPr>
      </w:pPr>
      <w:r w:rsidRPr="008D4B19">
        <w:rPr>
          <w:b/>
          <w:lang w:eastAsia="en-GB"/>
        </w:rPr>
        <w:t>Источники расхождений:</w:t>
      </w:r>
    </w:p>
    <w:p w:rsidR="00C25317" w:rsidRDefault="00C25317" w:rsidP="00C25317">
      <w:pPr>
        <w:rPr>
          <w:lang w:eastAsia="en-GB"/>
        </w:rPr>
      </w:pPr>
      <w:r w:rsidRPr="00C25317">
        <w:rPr>
          <w:lang w:eastAsia="en-GB"/>
        </w:rPr>
        <w:t xml:space="preserve">Статистика доходов сопряжена с рядом сложностей с точки зрения их международной сопоставимости, большинство из которых обусловлено разнообразием возможных источников данных. Различные доступные источники </w:t>
      </w:r>
      <w:r w:rsidR="007A397B">
        <w:rPr>
          <w:lang w:eastAsia="en-GB"/>
        </w:rPr>
        <w:t>–</w:t>
      </w:r>
      <w:r w:rsidRPr="00C25317">
        <w:rPr>
          <w:lang w:eastAsia="en-GB"/>
        </w:rPr>
        <w:t xml:space="preserve"> обследования учреждений, </w:t>
      </w:r>
      <w:r w:rsidRPr="00C25317">
        <w:rPr>
          <w:lang w:eastAsia="en-GB"/>
        </w:rPr>
        <w:lastRenderedPageBreak/>
        <w:t xml:space="preserve">обследования домашних хозяйств и административные отчеты </w:t>
      </w:r>
      <w:r w:rsidR="007A397B">
        <w:rPr>
          <w:lang w:eastAsia="en-GB"/>
        </w:rPr>
        <w:t>–</w:t>
      </w:r>
      <w:r w:rsidRPr="00C25317">
        <w:rPr>
          <w:lang w:eastAsia="en-GB"/>
        </w:rPr>
        <w:t xml:space="preserve"> различаются по своим методам, целям и масштабам, что влияет на полученные результаты. Охват источника может варьироваться в зависимости от охватываемых географических районов, охватываемых работников (например, могут быть исключены работники, занятые неполный рабочий день или неформальные работники) и охватываемых предприятий (например, могут быть исключены предприятия меньшего размера или определенного сектора). В случаях, когда заработки работников, исключенных из охвата источника, значительно отличаются от заработков включенных работников, статистические данные не будут репрезентативными для страны в целом и не будут строго сопоставимы с доходами стран, использующих более полный источник. </w:t>
      </w:r>
    </w:p>
    <w:p w:rsidR="00C25317" w:rsidRDefault="00C25317" w:rsidP="00C25317">
      <w:pPr>
        <w:rPr>
          <w:lang w:eastAsia="en-GB"/>
        </w:rPr>
      </w:pPr>
      <w:r w:rsidRPr="00C25317">
        <w:rPr>
          <w:lang w:eastAsia="en-GB"/>
        </w:rPr>
        <w:t>При использовании обследований домашних хозяйств в качестве источника статистики доходов возникает ряд проблем, связанных с точностью информации о доходах, сообщаемой респондентами. Они могут завышать или занижать свои доходы по различным причинам, или они могут сообщать о валовой или чистой заработной плате, включая или исключая бонусы и льготы, без каких-либо различий. Это, естественно, влияет на достоверность результатов.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773A7F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773A7F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773A7F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C25317" w:rsidRDefault="00C25317" w:rsidP="0082028A">
      <w:pPr>
        <w:spacing w:after="120"/>
        <w:rPr>
          <w:lang w:eastAsia="en-GB"/>
        </w:rPr>
      </w:pPr>
      <w:r w:rsidRPr="00C25317">
        <w:rPr>
          <w:lang w:eastAsia="en-GB"/>
        </w:rPr>
        <w:t xml:space="preserve">Достойная работа и Цели устойчивого развития: Руководство по показателям рынка труда ЦУР, доступное по адресу </w:t>
      </w:r>
      <w:hyperlink r:id="rId13" w:history="1">
        <w:r w:rsidRPr="00C25317">
          <w:rPr>
            <w:rStyle w:val="ac"/>
            <w:lang w:val="en-US" w:eastAsia="en-GB"/>
          </w:rPr>
          <w:t>https</w:t>
        </w:r>
        <w:r w:rsidRPr="00C25317">
          <w:rPr>
            <w:rStyle w:val="ac"/>
            <w:lang w:eastAsia="en-GB"/>
          </w:rPr>
          <w:t>://</w:t>
        </w:r>
        <w:r w:rsidRPr="00C25317">
          <w:rPr>
            <w:rStyle w:val="ac"/>
            <w:lang w:val="en-US" w:eastAsia="en-GB"/>
          </w:rPr>
          <w:t>www</w:t>
        </w:r>
        <w:r w:rsidRPr="00C25317">
          <w:rPr>
            <w:rStyle w:val="ac"/>
            <w:lang w:eastAsia="en-GB"/>
          </w:rPr>
          <w:t>.</w:t>
        </w:r>
        <w:proofErr w:type="spellStart"/>
        <w:r w:rsidRPr="00C25317">
          <w:rPr>
            <w:rStyle w:val="ac"/>
            <w:lang w:val="en-US" w:eastAsia="en-GB"/>
          </w:rPr>
          <w:t>ilo</w:t>
        </w:r>
        <w:proofErr w:type="spellEnd"/>
        <w:r w:rsidRPr="00C25317">
          <w:rPr>
            <w:rStyle w:val="ac"/>
            <w:lang w:eastAsia="en-GB"/>
          </w:rPr>
          <w:t>.</w:t>
        </w:r>
        <w:r w:rsidRPr="00C25317">
          <w:rPr>
            <w:rStyle w:val="ac"/>
            <w:lang w:val="en-US" w:eastAsia="en-GB"/>
          </w:rPr>
          <w:t>org</w:t>
        </w:r>
        <w:r w:rsidRPr="00C25317">
          <w:rPr>
            <w:rStyle w:val="ac"/>
            <w:lang w:eastAsia="en-GB"/>
          </w:rPr>
          <w:t>/</w:t>
        </w:r>
        <w:r w:rsidRPr="00C25317">
          <w:rPr>
            <w:rStyle w:val="ac"/>
            <w:lang w:val="en-US" w:eastAsia="en-GB"/>
          </w:rPr>
          <w:t>global</w:t>
        </w:r>
        <w:r w:rsidRPr="00C25317">
          <w:rPr>
            <w:rStyle w:val="ac"/>
            <w:lang w:eastAsia="en-GB"/>
          </w:rPr>
          <w:t>/</w:t>
        </w:r>
        <w:r w:rsidRPr="00C25317">
          <w:rPr>
            <w:rStyle w:val="ac"/>
            <w:lang w:val="en-US" w:eastAsia="en-GB"/>
          </w:rPr>
          <w:t>statistics</w:t>
        </w:r>
        <w:r w:rsidRPr="00C25317">
          <w:rPr>
            <w:rStyle w:val="ac"/>
            <w:lang w:eastAsia="en-GB"/>
          </w:rPr>
          <w:t>-</w:t>
        </w:r>
        <w:r w:rsidRPr="00C25317">
          <w:rPr>
            <w:rStyle w:val="ac"/>
            <w:lang w:val="en-US" w:eastAsia="en-GB"/>
          </w:rPr>
          <w:t>and</w:t>
        </w:r>
        <w:r w:rsidRPr="00C25317">
          <w:rPr>
            <w:rStyle w:val="ac"/>
            <w:lang w:eastAsia="en-GB"/>
          </w:rPr>
          <w:t>-</w:t>
        </w:r>
        <w:r w:rsidRPr="00C25317">
          <w:rPr>
            <w:rStyle w:val="ac"/>
            <w:lang w:val="en-US" w:eastAsia="en-GB"/>
          </w:rPr>
          <w:t>databases</w:t>
        </w:r>
        <w:r w:rsidRPr="00C25317">
          <w:rPr>
            <w:rStyle w:val="ac"/>
            <w:lang w:eastAsia="en-GB"/>
          </w:rPr>
          <w:t>/</w:t>
        </w:r>
        <w:r w:rsidRPr="00C25317">
          <w:rPr>
            <w:rStyle w:val="ac"/>
            <w:lang w:val="en-US" w:eastAsia="en-GB"/>
          </w:rPr>
          <w:t>publications</w:t>
        </w:r>
        <w:r w:rsidRPr="00C25317">
          <w:rPr>
            <w:rStyle w:val="ac"/>
            <w:lang w:eastAsia="en-GB"/>
          </w:rPr>
          <w:t>/</w:t>
        </w:r>
        <w:r w:rsidRPr="00C25317">
          <w:rPr>
            <w:rStyle w:val="ac"/>
            <w:lang w:val="en-US" w:eastAsia="en-GB"/>
          </w:rPr>
          <w:t>WCMS</w:t>
        </w:r>
        <w:r w:rsidRPr="00C25317">
          <w:rPr>
            <w:rStyle w:val="ac"/>
            <w:lang w:eastAsia="en-GB"/>
          </w:rPr>
          <w:t>_647109/</w:t>
        </w:r>
        <w:r w:rsidRPr="00C25317">
          <w:rPr>
            <w:rStyle w:val="ac"/>
            <w:lang w:val="en-US" w:eastAsia="en-GB"/>
          </w:rPr>
          <w:t>lang</w:t>
        </w:r>
        <w:r w:rsidRPr="00C25317">
          <w:rPr>
            <w:rStyle w:val="ac"/>
            <w:lang w:eastAsia="en-GB"/>
          </w:rPr>
          <w:t>--</w:t>
        </w:r>
        <w:r w:rsidRPr="00C25317">
          <w:rPr>
            <w:rStyle w:val="ac"/>
            <w:lang w:val="en-US" w:eastAsia="en-GB"/>
          </w:rPr>
          <w:t>en</w:t>
        </w:r>
        <w:r w:rsidRPr="00C25317">
          <w:rPr>
            <w:rStyle w:val="ac"/>
            <w:lang w:eastAsia="en-GB"/>
          </w:rPr>
          <w:t>/</w:t>
        </w:r>
        <w:r w:rsidRPr="00C25317">
          <w:rPr>
            <w:rStyle w:val="ac"/>
            <w:lang w:val="en-US" w:eastAsia="en-GB"/>
          </w:rPr>
          <w:t>index</w:t>
        </w:r>
        <w:r w:rsidRPr="00C25317">
          <w:rPr>
            <w:rStyle w:val="ac"/>
            <w:lang w:eastAsia="en-GB"/>
          </w:rPr>
          <w:t>.</w:t>
        </w:r>
        <w:r w:rsidRPr="00C25317">
          <w:rPr>
            <w:rStyle w:val="ac"/>
            <w:lang w:val="en-US" w:eastAsia="en-GB"/>
          </w:rPr>
          <w:t>htm</w:t>
        </w:r>
      </w:hyperlink>
      <w:r w:rsidRPr="00C25317">
        <w:rPr>
          <w:lang w:eastAsia="en-GB"/>
        </w:rPr>
        <w:t xml:space="preserve"> </w:t>
      </w:r>
    </w:p>
    <w:p w:rsidR="00C25317" w:rsidRDefault="00C25317" w:rsidP="0082028A">
      <w:pPr>
        <w:spacing w:after="120"/>
        <w:rPr>
          <w:lang w:eastAsia="en-GB"/>
        </w:rPr>
      </w:pPr>
      <w:r w:rsidRPr="00C25317">
        <w:rPr>
          <w:lang w:eastAsia="en-GB"/>
        </w:rPr>
        <w:t>Резолюция об измерении доходов, связанных с занятостью, принятая Шестнадцатой Международной конференцией стати</w:t>
      </w:r>
      <w:r>
        <w:rPr>
          <w:lang w:eastAsia="en-GB"/>
        </w:rPr>
        <w:t>стиков труда (январь 1998 года)</w:t>
      </w:r>
    </w:p>
    <w:p w:rsidR="00C25317" w:rsidRDefault="00731FAC" w:rsidP="0082028A">
      <w:pPr>
        <w:spacing w:after="120"/>
      </w:pPr>
      <w:hyperlink r:id="rId14" w:history="1">
        <w:r w:rsidR="00C25317">
          <w:rPr>
            <w:rStyle w:val="ac"/>
          </w:rPr>
          <w:t>https://www.ilo.org/global/statistics-and-databases/standards-and-guidelines/resolutions-adopted-by-international-conferences-of-labour-statisticians/WCMS_087490/lang--en/index.htm</w:t>
        </w:r>
      </w:hyperlink>
    </w:p>
    <w:p w:rsidR="00C25317" w:rsidRDefault="00C25317" w:rsidP="0082028A">
      <w:pPr>
        <w:spacing w:after="120"/>
      </w:pPr>
      <w:r w:rsidRPr="00C25317">
        <w:t>Резолюция о Международной классификации статуса занятости (ICSE), принятая Пятнадцатой Международной конференцией статистиков труда (январь 1993 года)</w:t>
      </w:r>
    </w:p>
    <w:p w:rsidR="00C25317" w:rsidRDefault="00731FAC" w:rsidP="0082028A">
      <w:pPr>
        <w:spacing w:after="120"/>
      </w:pPr>
      <w:hyperlink r:id="rId15" w:history="1">
        <w:r w:rsidR="00C25317">
          <w:rPr>
            <w:rStyle w:val="ac"/>
          </w:rPr>
          <w:t>https://www.ilo.org/global/statistics-and-databases/standards-and-guidelines/resolutions-adopted-by-international-conferences-of-labour-statisticians/WCMS_087562/lang--en/index.htm</w:t>
        </w:r>
      </w:hyperlink>
    </w:p>
    <w:p w:rsidR="00C25317" w:rsidRDefault="00C25317" w:rsidP="0082028A">
      <w:pPr>
        <w:spacing w:after="120"/>
      </w:pPr>
      <w:r w:rsidRPr="00C25317">
        <w:t>Резолюция о комплексной системе статистики заработной платы, принятая Двенадцатой Международной конференцией статистиков труда (январь 1973 года)</w:t>
      </w:r>
    </w:p>
    <w:p w:rsidR="00C25317" w:rsidRDefault="00731FAC" w:rsidP="0082028A">
      <w:pPr>
        <w:spacing w:after="120"/>
      </w:pPr>
      <w:hyperlink r:id="rId16" w:history="1">
        <w:r w:rsidR="00C25317">
          <w:rPr>
            <w:rStyle w:val="ac"/>
          </w:rPr>
          <w:t>https://www.ilo.org/global/statistics-and-databases/standards-and-guidelines/resolutions-adopted-by-international-conferences-of-labour-statisticians/WCMS_087496/lang--en/index.htm</w:t>
        </w:r>
      </w:hyperlink>
    </w:p>
    <w:p w:rsidR="00C25317" w:rsidRDefault="00C25317" w:rsidP="0082028A">
      <w:pPr>
        <w:spacing w:after="120"/>
      </w:pPr>
      <w:r w:rsidRPr="00C25317">
        <w:t>Руководство МОТ: Интегрированная система статистики заработной платы</w:t>
      </w:r>
      <w:r w:rsidR="007A397B">
        <w:t>, доступно по адресу: </w:t>
      </w:r>
      <w:hyperlink r:id="rId17" w:history="1">
        <w:r>
          <w:rPr>
            <w:rStyle w:val="ac"/>
          </w:rPr>
          <w:t>https://www.ilo.org/wcmsp5/groups/public/---dgreports/---</w:t>
        </w:r>
        <w:proofErr w:type="spellStart"/>
        <w:r>
          <w:rPr>
            <w:rStyle w:val="ac"/>
          </w:rPr>
          <w:t>stat</w:t>
        </w:r>
        <w:proofErr w:type="spellEnd"/>
        <w:r>
          <w:rPr>
            <w:rStyle w:val="ac"/>
          </w:rPr>
          <w:t>/documents/presentation/wcms_315657.pdf</w:t>
        </w:r>
      </w:hyperlink>
    </w:p>
    <w:p w:rsidR="00C25317" w:rsidRDefault="00C25317" w:rsidP="0082028A">
      <w:pPr>
        <w:spacing w:after="120"/>
      </w:pPr>
      <w:r>
        <w:t xml:space="preserve">База данных </w:t>
      </w:r>
      <w:r>
        <w:rPr>
          <w:lang w:val="en-US"/>
        </w:rPr>
        <w:t>ILOSTAT</w:t>
      </w:r>
      <w:r w:rsidRPr="00C25317">
        <w:t xml:space="preserve"> </w:t>
      </w:r>
      <w:hyperlink r:id="rId18" w:history="1">
        <w:r w:rsidRPr="00C25317">
          <w:rPr>
            <w:rStyle w:val="ac"/>
          </w:rPr>
          <w:t>https://ilostat.ilo.org</w:t>
        </w:r>
      </w:hyperlink>
    </w:p>
    <w:p w:rsidR="00C25317" w:rsidRDefault="00C25317" w:rsidP="0082028A">
      <w:pPr>
        <w:spacing w:after="120"/>
      </w:pPr>
      <w:r w:rsidRPr="00C25317">
        <w:t>Описание показателей ILOSTAT по доходам и затратам на рабочую силу</w:t>
      </w:r>
    </w:p>
    <w:p w:rsidR="00C25317" w:rsidRDefault="00731FAC" w:rsidP="0082028A">
      <w:pPr>
        <w:spacing w:after="120"/>
      </w:pPr>
      <w:hyperlink r:id="rId19" w:history="1">
        <w:r w:rsidR="00C25317">
          <w:rPr>
            <w:rStyle w:val="ac"/>
          </w:rPr>
          <w:t>https://ilostat.ilo.org/resources/concepts-and-definitions/description-earnings-and-labour-cost/</w:t>
        </w:r>
      </w:hyperlink>
    </w:p>
    <w:p w:rsidR="00C25317" w:rsidRPr="00C25317" w:rsidRDefault="00EB16FC" w:rsidP="0082028A">
      <w:pPr>
        <w:spacing w:after="120"/>
      </w:pPr>
      <w:r w:rsidRPr="00EB16FC">
        <w:lastRenderedPageBreak/>
        <w:t>Международная стандартная классификация профессий (МСКЗ)</w:t>
      </w:r>
      <w:r>
        <w:t xml:space="preserve"> </w:t>
      </w:r>
      <w:hyperlink r:id="rId20" w:history="1">
        <w:r>
          <w:rPr>
            <w:rStyle w:val="ac"/>
          </w:rPr>
          <w:t>https://ilostat.ilo.org/resources/concepts-and-definitions/classification-occupation/</w:t>
        </w:r>
      </w:hyperlink>
    </w:p>
    <w:sectPr w:rsidR="00C25317" w:rsidRPr="00C25317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F0" w:rsidRDefault="00407AF0" w:rsidP="00F73DBC">
      <w:pPr>
        <w:spacing w:after="0" w:line="240" w:lineRule="auto"/>
      </w:pPr>
      <w:r>
        <w:separator/>
      </w:r>
    </w:p>
  </w:endnote>
  <w:endnote w:type="continuationSeparator" w:id="0">
    <w:p w:rsidR="00407AF0" w:rsidRDefault="00407AF0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F0" w:rsidRDefault="00407AF0" w:rsidP="00F73DBC">
      <w:pPr>
        <w:spacing w:after="0" w:line="240" w:lineRule="auto"/>
      </w:pPr>
      <w:r>
        <w:separator/>
      </w:r>
    </w:p>
  </w:footnote>
  <w:footnote w:type="continuationSeparator" w:id="0">
    <w:p w:rsidR="00407AF0" w:rsidRDefault="00407AF0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E73244">
      <w:rPr>
        <w:rFonts w:cs="Times New Roman"/>
      </w:rPr>
      <w:t>июль</w:t>
    </w:r>
    <w:r w:rsidR="00781DE7" w:rsidRPr="00087B96">
      <w:rPr>
        <w:rFonts w:cs="Times New Roman"/>
      </w:rPr>
      <w:t xml:space="preserve"> 202</w:t>
    </w:r>
    <w:r w:rsidR="00E73244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76F9"/>
    <w:rsid w:val="00053D20"/>
    <w:rsid w:val="00087B96"/>
    <w:rsid w:val="000A210D"/>
    <w:rsid w:val="000A229E"/>
    <w:rsid w:val="000C5EF5"/>
    <w:rsid w:val="00116248"/>
    <w:rsid w:val="00120DBC"/>
    <w:rsid w:val="001470A2"/>
    <w:rsid w:val="00165896"/>
    <w:rsid w:val="00170412"/>
    <w:rsid w:val="001A163A"/>
    <w:rsid w:val="001E2FC9"/>
    <w:rsid w:val="002064C4"/>
    <w:rsid w:val="00291FA0"/>
    <w:rsid w:val="002C50C3"/>
    <w:rsid w:val="002E122C"/>
    <w:rsid w:val="002E15F9"/>
    <w:rsid w:val="002F63E5"/>
    <w:rsid w:val="00303D71"/>
    <w:rsid w:val="003143BC"/>
    <w:rsid w:val="003746BC"/>
    <w:rsid w:val="003859BD"/>
    <w:rsid w:val="003D58DC"/>
    <w:rsid w:val="004019C9"/>
    <w:rsid w:val="00407AF0"/>
    <w:rsid w:val="00407E4E"/>
    <w:rsid w:val="004143B4"/>
    <w:rsid w:val="00421928"/>
    <w:rsid w:val="004344AC"/>
    <w:rsid w:val="004E087E"/>
    <w:rsid w:val="004E17FA"/>
    <w:rsid w:val="00503B4A"/>
    <w:rsid w:val="00587D0B"/>
    <w:rsid w:val="005E47BD"/>
    <w:rsid w:val="005F2C0B"/>
    <w:rsid w:val="00603B38"/>
    <w:rsid w:val="006704C2"/>
    <w:rsid w:val="00694160"/>
    <w:rsid w:val="006B260E"/>
    <w:rsid w:val="006B3939"/>
    <w:rsid w:val="006C43F8"/>
    <w:rsid w:val="006D7049"/>
    <w:rsid w:val="00702333"/>
    <w:rsid w:val="00705161"/>
    <w:rsid w:val="00731FAC"/>
    <w:rsid w:val="0075371E"/>
    <w:rsid w:val="00773A7F"/>
    <w:rsid w:val="00780F08"/>
    <w:rsid w:val="00781DE7"/>
    <w:rsid w:val="007A397B"/>
    <w:rsid w:val="007B07B2"/>
    <w:rsid w:val="007B0CFD"/>
    <w:rsid w:val="007C27E0"/>
    <w:rsid w:val="007D1185"/>
    <w:rsid w:val="007F06DF"/>
    <w:rsid w:val="008044B1"/>
    <w:rsid w:val="0082028A"/>
    <w:rsid w:val="00836F3E"/>
    <w:rsid w:val="00853C09"/>
    <w:rsid w:val="008A31B5"/>
    <w:rsid w:val="008D4B19"/>
    <w:rsid w:val="009508D1"/>
    <w:rsid w:val="00957A62"/>
    <w:rsid w:val="009655B4"/>
    <w:rsid w:val="009737AE"/>
    <w:rsid w:val="00980F79"/>
    <w:rsid w:val="00982FE8"/>
    <w:rsid w:val="009C064B"/>
    <w:rsid w:val="00A110A8"/>
    <w:rsid w:val="00A110F9"/>
    <w:rsid w:val="00A53D4B"/>
    <w:rsid w:val="00A618FC"/>
    <w:rsid w:val="00A71EC6"/>
    <w:rsid w:val="00A82CD3"/>
    <w:rsid w:val="00A91FDE"/>
    <w:rsid w:val="00AC1A97"/>
    <w:rsid w:val="00B0378B"/>
    <w:rsid w:val="00B72F77"/>
    <w:rsid w:val="00BD29EC"/>
    <w:rsid w:val="00BE2C5D"/>
    <w:rsid w:val="00BE415C"/>
    <w:rsid w:val="00C25317"/>
    <w:rsid w:val="00C47A4A"/>
    <w:rsid w:val="00C8596F"/>
    <w:rsid w:val="00C90708"/>
    <w:rsid w:val="00C9103B"/>
    <w:rsid w:val="00C95AB2"/>
    <w:rsid w:val="00CA1CB1"/>
    <w:rsid w:val="00D05466"/>
    <w:rsid w:val="00D2619D"/>
    <w:rsid w:val="00D93FEB"/>
    <w:rsid w:val="00DA19D7"/>
    <w:rsid w:val="00DC18AA"/>
    <w:rsid w:val="00E123F7"/>
    <w:rsid w:val="00E21B43"/>
    <w:rsid w:val="00E27922"/>
    <w:rsid w:val="00E33CA8"/>
    <w:rsid w:val="00E73244"/>
    <w:rsid w:val="00E90BD4"/>
    <w:rsid w:val="00EA50C4"/>
    <w:rsid w:val="00EB16FC"/>
    <w:rsid w:val="00EB362A"/>
    <w:rsid w:val="00EB389E"/>
    <w:rsid w:val="00EE0900"/>
    <w:rsid w:val="00F6371F"/>
    <w:rsid w:val="00F73DBC"/>
    <w:rsid w:val="00F84FF1"/>
    <w:rsid w:val="00F92D6F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lo.org/global/statistics-and-databases/publications/WCMS_647109/lang--en/index.htm%20" TargetMode="External"/><Relationship Id="rId18" Type="http://schemas.openxmlformats.org/officeDocument/2006/relationships/hyperlink" Target="https://ilostat.ilo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ilo.org/wcmsp5/groups/public/---dgreports/---stat/documents/presentation/wcms_315657.pdf" TargetMode="External"/><Relationship Id="rId17" Type="http://schemas.openxmlformats.org/officeDocument/2006/relationships/hyperlink" Target="https://www.ilo.org/wcmsp5/groups/public/---dgreports/---stat/documents/presentation/wcms_31565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lo.org/global/statistics-and-databases/standards-and-guidelines/resolutions-adopted-by-international-conferences-of-labour-statisticians/WCMS_087496/lang--en/index.htm" TargetMode="External"/><Relationship Id="rId20" Type="http://schemas.openxmlformats.org/officeDocument/2006/relationships/hyperlink" Target="https://ilostat.ilo.org/resources/concepts-and-definitions/classification-occupat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lo.org/global/statistics-and-databases/standards-and-guidelines/resolutions-adopted-by-international-conferences-of-labour-statisticians/WCMS_087496/lang--en/index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lo.org/global/statistics-and-databases/standards-and-guidelines/resolutions-adopted-by-international-conferences-of-labour-statisticians/WCMS_087562/lang--en/index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lo.org/global/statistics-and-databases/standards-and-guidelines/resolutions-adopted-by-international-conferences-of-labour-statisticians/WCMS_087562/lang--en/index.htm" TargetMode="External"/><Relationship Id="rId19" Type="http://schemas.openxmlformats.org/officeDocument/2006/relationships/hyperlink" Target="https://ilostat.ilo.org/resources/concepts-and-definitions/description-earnings-and-labour-co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lo.org/global/statistics-and-databases/standards-and-guidelines/resolutions-adopted-by-international-conferences-of-labour-statisticians/WCMS_087490/lang--en/index.htm" TargetMode="External"/><Relationship Id="rId14" Type="http://schemas.openxmlformats.org/officeDocument/2006/relationships/hyperlink" Target="https://www.ilo.org/global/statistics-and-databases/standards-and-guidelines/resolutions-adopted-by-international-conferences-of-labour-statisticians/WCMS_087490/lang--en/index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FDDD-D572-4D46-B030-425F960F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13</cp:revision>
  <dcterms:created xsi:type="dcterms:W3CDTF">2022-04-22T07:25:00Z</dcterms:created>
  <dcterms:modified xsi:type="dcterms:W3CDTF">2024-07-31T14:57:00Z</dcterms:modified>
</cp:coreProperties>
</file>