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</w:t>
      </w:r>
      <w:r w:rsidR="008C1EC1">
        <w:rPr>
          <w:rFonts w:eastAsia="Arial Unicode MS" w:cs="Times New Roman"/>
          <w:b/>
          <w:szCs w:val="24"/>
          <w:bdr w:val="nil"/>
          <w:lang w:eastAsia="ru-RU"/>
        </w:rPr>
        <w:t xml:space="preserve"> метаданных - версия формата 1.1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3143BC" w:rsidP="00853C09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4344AC" w:rsidRDefault="003859BD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9737AE">
        <w:rPr>
          <w:rFonts w:eastAsia="Arial Unicode MS" w:cs="Times New Roman"/>
          <w:szCs w:val="24"/>
          <w:bdr w:val="nil"/>
          <w:lang w:eastAsia="ru-RU"/>
        </w:rPr>
        <w:t>8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4344AC" w:rsidRPr="004344AC">
        <w:t>Содействие поступательному, всеохватному и устойчивому экономическому росту, полной и производительной занятости и достойной работе для всех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Pr="00177215" w:rsidRDefault="009737AE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rFonts w:cs="Times New Roman"/>
          <w:szCs w:val="24"/>
        </w:rPr>
        <w:t>8</w:t>
      </w:r>
      <w:r w:rsidR="00780F08" w:rsidRPr="00BD29EC">
        <w:rPr>
          <w:rFonts w:cs="Times New Roman"/>
          <w:szCs w:val="24"/>
        </w:rPr>
        <w:t>.</w:t>
      </w:r>
      <w:r w:rsidR="00177215">
        <w:rPr>
          <w:rFonts w:cs="Times New Roman"/>
          <w:szCs w:val="24"/>
          <w:lang w:val="en-US"/>
        </w:rPr>
        <w:t>a</w:t>
      </w:r>
      <w:r w:rsidR="00780F08" w:rsidRPr="00BD29EC">
        <w:rPr>
          <w:rFonts w:cs="Times New Roman"/>
          <w:szCs w:val="24"/>
        </w:rPr>
        <w:t xml:space="preserve">.  </w:t>
      </w:r>
      <w:r w:rsidR="00177215" w:rsidRPr="00177215">
        <w:t>Увеличить оказываемую в рамках инициативы «Помощь в торговле» поддержку развивающихся стран, особенно наименее развитых стран, в том числе по линии Расширенной комплексной рамочной программы для оказания технической помощи в области торговли наименее развитым странам.</w:t>
      </w:r>
    </w:p>
    <w:p w:rsidR="003143BC" w:rsidRPr="00BD29EC" w:rsidRDefault="003143BC" w:rsidP="00781D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177215">
      <w:pPr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9737AE">
        <w:rPr>
          <w:rFonts w:cs="Times New Roman"/>
          <w:szCs w:val="24"/>
        </w:rPr>
        <w:t>8</w:t>
      </w:r>
      <w:r w:rsidR="00780F08" w:rsidRPr="00BD29EC">
        <w:rPr>
          <w:rFonts w:cs="Times New Roman"/>
          <w:szCs w:val="24"/>
        </w:rPr>
        <w:t>.</w:t>
      </w:r>
      <w:r w:rsidR="00177215">
        <w:rPr>
          <w:rFonts w:cs="Times New Roman"/>
          <w:szCs w:val="24"/>
          <w:lang w:val="en-US"/>
        </w:rPr>
        <w:t>a</w:t>
      </w:r>
      <w:r w:rsidR="002064C4">
        <w:rPr>
          <w:rFonts w:cs="Times New Roman"/>
          <w:szCs w:val="24"/>
        </w:rPr>
        <w:t>.</w:t>
      </w:r>
      <w:r w:rsidR="00C95AB2">
        <w:rPr>
          <w:rFonts w:cs="Times New Roman"/>
          <w:szCs w:val="24"/>
        </w:rPr>
        <w:t>1.</w:t>
      </w:r>
      <w:r w:rsidR="00780F08" w:rsidRPr="00BD29EC">
        <w:rPr>
          <w:rFonts w:cs="Times New Roman"/>
          <w:szCs w:val="24"/>
        </w:rPr>
        <w:t xml:space="preserve"> </w:t>
      </w:r>
      <w:r w:rsidR="00177215">
        <w:rPr>
          <w:shd w:val="clear" w:color="auto" w:fill="FFFFFF"/>
        </w:rPr>
        <w:t>Объем обязательств и выплат в рамках инициативы «Помощь в торговле»</w:t>
      </w:r>
      <w:r w:rsidR="00CB1688">
        <w:rPr>
          <w:shd w:val="clear" w:color="auto" w:fill="FFFFFF"/>
        </w:rPr>
        <w:t>.</w:t>
      </w:r>
    </w:p>
    <w:p w:rsidR="003143B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632B6F" w:rsidRPr="00632B6F" w:rsidRDefault="00632B6F" w:rsidP="00632B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</w:pPr>
      <w:r w:rsidRPr="00632B6F">
        <w:rPr>
          <w:lang w:val="en-US"/>
        </w:rPr>
        <w:t>DC</w:t>
      </w:r>
      <w:r w:rsidRPr="00632B6F">
        <w:t>_</w:t>
      </w:r>
      <w:r w:rsidRPr="00632B6F">
        <w:rPr>
          <w:lang w:val="en-US"/>
        </w:rPr>
        <w:t>TOF</w:t>
      </w:r>
      <w:r w:rsidRPr="00632B6F">
        <w:t>_</w:t>
      </w:r>
      <w:r w:rsidRPr="00632B6F">
        <w:rPr>
          <w:lang w:val="en-US"/>
        </w:rPr>
        <w:t>TRDCMDL</w:t>
      </w:r>
      <w:r w:rsidRPr="00632B6F">
        <w:t xml:space="preserve"> </w:t>
      </w:r>
      <w:r>
        <w:t>–</w:t>
      </w:r>
      <w:r w:rsidRPr="00632B6F">
        <w:t xml:space="preserve"> Общие официальные потоки (обязательства) по программе «</w:t>
      </w:r>
      <w:r>
        <w:rPr>
          <w:shd w:val="clear" w:color="auto" w:fill="FFFFFF"/>
        </w:rPr>
        <w:t>Помощь в торговле</w:t>
      </w:r>
      <w:r w:rsidRPr="00632B6F">
        <w:t>» по странам-донорам [8.</w:t>
      </w:r>
      <w:r w:rsidRPr="00632B6F">
        <w:rPr>
          <w:lang w:val="en-US"/>
        </w:rPr>
        <w:t>a</w:t>
      </w:r>
      <w:r w:rsidRPr="00632B6F">
        <w:t>.1]</w:t>
      </w:r>
    </w:p>
    <w:p w:rsidR="00632B6F" w:rsidRPr="00632B6F" w:rsidRDefault="00632B6F" w:rsidP="00632B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</w:pPr>
      <w:r w:rsidRPr="00632B6F">
        <w:rPr>
          <w:lang w:val="en-US"/>
        </w:rPr>
        <w:t>DC</w:t>
      </w:r>
      <w:r w:rsidRPr="00632B6F">
        <w:t>_</w:t>
      </w:r>
      <w:r w:rsidRPr="00632B6F">
        <w:rPr>
          <w:lang w:val="en-US"/>
        </w:rPr>
        <w:t>TOF</w:t>
      </w:r>
      <w:r w:rsidRPr="00632B6F">
        <w:t>_</w:t>
      </w:r>
      <w:r w:rsidRPr="00632B6F">
        <w:rPr>
          <w:lang w:val="en-US"/>
        </w:rPr>
        <w:t>TRDCML</w:t>
      </w:r>
      <w:r w:rsidRPr="00632B6F">
        <w:t xml:space="preserve"> </w:t>
      </w:r>
      <w:r>
        <w:t>–</w:t>
      </w:r>
      <w:r w:rsidRPr="00632B6F">
        <w:t xml:space="preserve"> Общие официальные потоки (обязательства) по программе «</w:t>
      </w:r>
      <w:r>
        <w:rPr>
          <w:shd w:val="clear" w:color="auto" w:fill="FFFFFF"/>
        </w:rPr>
        <w:t>Помощь в торговле</w:t>
      </w:r>
      <w:r w:rsidRPr="00632B6F">
        <w:t>» по странам-получателям [8.</w:t>
      </w:r>
      <w:r w:rsidRPr="00632B6F">
        <w:rPr>
          <w:lang w:val="en-US"/>
        </w:rPr>
        <w:t>a</w:t>
      </w:r>
      <w:r w:rsidRPr="00632B6F">
        <w:t>.1]</w:t>
      </w:r>
    </w:p>
    <w:p w:rsidR="00632B6F" w:rsidRPr="00632B6F" w:rsidRDefault="00632B6F" w:rsidP="00632B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</w:pPr>
      <w:r w:rsidRPr="00632B6F">
        <w:rPr>
          <w:lang w:val="en-US"/>
        </w:rPr>
        <w:t>DC</w:t>
      </w:r>
      <w:r w:rsidRPr="00632B6F">
        <w:t>_</w:t>
      </w:r>
      <w:r w:rsidRPr="00632B6F">
        <w:rPr>
          <w:lang w:val="en-US"/>
        </w:rPr>
        <w:t>TOF</w:t>
      </w:r>
      <w:r w:rsidRPr="00632B6F">
        <w:t>_</w:t>
      </w:r>
      <w:r w:rsidRPr="00632B6F">
        <w:rPr>
          <w:lang w:val="en-US"/>
        </w:rPr>
        <w:t>TRDDBMDL</w:t>
      </w:r>
      <w:r w:rsidRPr="00632B6F">
        <w:t xml:space="preserve"> </w:t>
      </w:r>
      <w:r>
        <w:t>–</w:t>
      </w:r>
      <w:r w:rsidRPr="00632B6F">
        <w:t xml:space="preserve"> Общие официальные потоки (выплаты) по программе «</w:t>
      </w:r>
      <w:r>
        <w:rPr>
          <w:shd w:val="clear" w:color="auto" w:fill="FFFFFF"/>
        </w:rPr>
        <w:t>Помощь в торговле</w:t>
      </w:r>
      <w:r w:rsidRPr="00632B6F">
        <w:t>» по странам-донорам [8.</w:t>
      </w:r>
      <w:r w:rsidRPr="00632B6F">
        <w:rPr>
          <w:lang w:val="en-US"/>
        </w:rPr>
        <w:t>a</w:t>
      </w:r>
      <w:r w:rsidRPr="00632B6F">
        <w:t>.1]</w:t>
      </w:r>
    </w:p>
    <w:p w:rsidR="00632B6F" w:rsidRDefault="00632B6F" w:rsidP="00632B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</w:pPr>
      <w:r w:rsidRPr="00632B6F">
        <w:rPr>
          <w:lang w:val="en-US"/>
        </w:rPr>
        <w:t>DC</w:t>
      </w:r>
      <w:r w:rsidRPr="00632B6F">
        <w:t>_</w:t>
      </w:r>
      <w:r w:rsidRPr="00632B6F">
        <w:rPr>
          <w:lang w:val="en-US"/>
        </w:rPr>
        <w:t>TOF</w:t>
      </w:r>
      <w:r w:rsidRPr="00632B6F">
        <w:t>_</w:t>
      </w:r>
      <w:r w:rsidRPr="00632B6F">
        <w:rPr>
          <w:lang w:val="en-US"/>
        </w:rPr>
        <w:t>TRDDBML</w:t>
      </w:r>
      <w:r>
        <w:t xml:space="preserve"> –</w:t>
      </w:r>
      <w:r w:rsidRPr="00632B6F">
        <w:t xml:space="preserve"> Общие официальные потоки (выплаты) по программе «</w:t>
      </w:r>
      <w:r>
        <w:rPr>
          <w:shd w:val="clear" w:color="auto" w:fill="FFFFFF"/>
        </w:rPr>
        <w:t>Помощь в торговле</w:t>
      </w:r>
      <w:r w:rsidRPr="00632B6F">
        <w:t>» по странам-получателям [8.</w:t>
      </w:r>
      <w:r w:rsidRPr="00632B6F">
        <w:rPr>
          <w:lang w:val="en-US"/>
        </w:rPr>
        <w:t>a</w:t>
      </w:r>
      <w:r w:rsidRPr="00632B6F">
        <w:t>.1]</w:t>
      </w:r>
    </w:p>
    <w:p w:rsidR="00004BE3" w:rsidRPr="00004BE3" w:rsidRDefault="00C8596F" w:rsidP="00632B6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004BE3" w:rsidRPr="00177215" w:rsidRDefault="00632B6F" w:rsidP="00177215">
      <w:pPr>
        <w:rPr>
          <w:rFonts w:cs="Times New Roman"/>
          <w:b/>
          <w:sz w:val="32"/>
        </w:rPr>
      </w:pPr>
      <w:r>
        <w:rPr>
          <w:rFonts w:cs="Times New Roman"/>
          <w:color w:val="000000"/>
          <w:szCs w:val="21"/>
        </w:rPr>
        <w:t>31.01.2024</w:t>
      </w:r>
    </w:p>
    <w:p w:rsidR="00C8596F" w:rsidRDefault="00C8596F" w:rsidP="00853C0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177215" w:rsidRPr="00CB1688" w:rsidRDefault="00177215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</w:pPr>
    </w:p>
    <w:p w:rsidR="00A91FDE" w:rsidRDefault="00E33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E528D4" w:rsidRPr="00E528D4" w:rsidRDefault="00E528D4" w:rsidP="00E528D4">
      <w:pPr>
        <w:rPr>
          <w:bdr w:val="nil"/>
          <w:lang w:eastAsia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E528D4">
        <w:rPr>
          <w:bdr w:val="nil"/>
          <w:lang w:eastAsia="ru-RU"/>
        </w:rPr>
        <w:t>Организация экономического сотрудничества и развития (ОЭСР)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E528D4" w:rsidRPr="00E528D4" w:rsidRDefault="00E528D4" w:rsidP="00E528D4">
      <w:pPr>
        <w:rPr>
          <w:bdr w:val="nil"/>
          <w:lang w:eastAsia="ru-RU"/>
        </w:rPr>
      </w:pPr>
      <w:r w:rsidRPr="00E528D4">
        <w:rPr>
          <w:bdr w:val="nil"/>
          <w:lang w:eastAsia="ru-RU"/>
        </w:rPr>
        <w:t>Организация экономического сотрудничества и развития (ОЭСР)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Pr="00632B6F" w:rsidRDefault="00DA19D7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632B6F">
        <w:rPr>
          <w:b/>
          <w:color w:val="000000" w:themeColor="text1"/>
          <w:sz w:val="24"/>
          <w:szCs w:val="24"/>
          <w:lang w:val="ru-RU"/>
        </w:rPr>
        <w:t>Определение:</w:t>
      </w:r>
    </w:p>
    <w:p w:rsidR="00D82A7E" w:rsidRPr="00D82A7E" w:rsidRDefault="00D82A7E" w:rsidP="00D82A7E">
      <w:r w:rsidRPr="00706113">
        <w:t xml:space="preserve">Помощь и обязательства в области торговли </w:t>
      </w:r>
      <w:r w:rsidR="00632B6F">
        <w:t>–</w:t>
      </w:r>
      <w:r w:rsidRPr="00706113">
        <w:t xml:space="preserve"> это общие выплаты и обязательства в отношении общей официальной помощи в целях развития (</w:t>
      </w:r>
      <w:proofErr w:type="gramStart"/>
      <w:r w:rsidRPr="00706113">
        <w:t>ОПР</w:t>
      </w:r>
      <w:proofErr w:type="gramEnd"/>
      <w:r w:rsidRPr="00706113">
        <w:t>) со стороны всех доноров в целях содействия торговле.</w:t>
      </w:r>
    </w:p>
    <w:p w:rsidR="00DA19D7" w:rsidRPr="00632B6F" w:rsidRDefault="003859BD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632B6F">
        <w:rPr>
          <w:b/>
          <w:color w:val="000000" w:themeColor="text1"/>
          <w:sz w:val="24"/>
          <w:szCs w:val="24"/>
          <w:lang w:val="ru-RU"/>
        </w:rPr>
        <w:lastRenderedPageBreak/>
        <w:t>Основные понятия</w:t>
      </w:r>
      <w:r w:rsidR="00632B6F" w:rsidRPr="00632B6F">
        <w:rPr>
          <w:b/>
          <w:color w:val="000000" w:themeColor="text1"/>
          <w:sz w:val="24"/>
          <w:szCs w:val="24"/>
          <w:lang w:val="ru-RU"/>
        </w:rPr>
        <w:t>:</w:t>
      </w:r>
    </w:p>
    <w:p w:rsidR="00632B6F" w:rsidRDefault="00D82A7E" w:rsidP="00D82A7E">
      <w:r w:rsidRPr="00706113">
        <w:t>КСР определяет официальную помощь в целях развития (</w:t>
      </w:r>
      <w:proofErr w:type="gramStart"/>
      <w:r w:rsidRPr="00706113">
        <w:t>ОПР</w:t>
      </w:r>
      <w:proofErr w:type="gramEnd"/>
      <w:r w:rsidRPr="00706113">
        <w:t xml:space="preserve">) как «те потоки в страны и территории в список КСР получателей ОПР и многосторонние учреждения, которые: i) предоставляются официальными учреждениями, включая государственные и местные органы власти, или их исполнительными органами; и </w:t>
      </w:r>
      <w:proofErr w:type="spellStart"/>
      <w:r w:rsidRPr="00706113">
        <w:t>ii</w:t>
      </w:r>
      <w:proofErr w:type="spellEnd"/>
      <w:r w:rsidRPr="00706113">
        <w:t>) каждая сделка управляется с поощрением экономического развития и благосостояния развивающихся стран в качестве ее основной цели;</w:t>
      </w:r>
      <w:r w:rsidR="00632B6F">
        <w:t>).</w:t>
      </w:r>
    </w:p>
    <w:p w:rsidR="00D82A7E" w:rsidRPr="00632B6F" w:rsidRDefault="00632B6F" w:rsidP="00D82A7E">
      <w:r>
        <w:t>Для получения более детальной информации с</w:t>
      </w:r>
      <w:r w:rsidR="00D82A7E" w:rsidRPr="00706113">
        <w:t>м.</w:t>
      </w:r>
      <w:r>
        <w:t>: </w:t>
      </w:r>
      <w:hyperlink r:id="rId9" w:history="1">
        <w:r w:rsidRPr="00EA149C">
          <w:rPr>
            <w:rStyle w:val="ac"/>
            <w:lang w:val="en-US"/>
          </w:rPr>
          <w:t>https</w:t>
        </w:r>
        <w:r w:rsidRPr="00632B6F">
          <w:rPr>
            <w:rStyle w:val="ac"/>
          </w:rPr>
          <w:t>://</w:t>
        </w:r>
        <w:r w:rsidRPr="00EA149C">
          <w:rPr>
            <w:rStyle w:val="ac"/>
            <w:lang w:val="en-US"/>
          </w:rPr>
          <w:t>www</w:t>
        </w:r>
        <w:r w:rsidRPr="00632B6F">
          <w:rPr>
            <w:rStyle w:val="ac"/>
          </w:rPr>
          <w:t>.</w:t>
        </w:r>
        <w:proofErr w:type="spellStart"/>
        <w:r w:rsidRPr="00EA149C">
          <w:rPr>
            <w:rStyle w:val="ac"/>
            <w:lang w:val="en-US"/>
          </w:rPr>
          <w:t>oecd</w:t>
        </w:r>
        <w:proofErr w:type="spellEnd"/>
        <w:r w:rsidRPr="00632B6F">
          <w:rPr>
            <w:rStyle w:val="ac"/>
          </w:rPr>
          <w:t>.</w:t>
        </w:r>
        <w:r w:rsidRPr="00EA149C">
          <w:rPr>
            <w:rStyle w:val="ac"/>
            <w:lang w:val="en-US"/>
          </w:rPr>
          <w:t>org</w:t>
        </w:r>
        <w:r w:rsidRPr="00632B6F">
          <w:rPr>
            <w:rStyle w:val="ac"/>
          </w:rPr>
          <w:t>/</w:t>
        </w:r>
        <w:proofErr w:type="spellStart"/>
        <w:r w:rsidRPr="00EA149C">
          <w:rPr>
            <w:rStyle w:val="ac"/>
            <w:lang w:val="en-US"/>
          </w:rPr>
          <w:t>dac</w:t>
        </w:r>
        <w:proofErr w:type="spellEnd"/>
        <w:r w:rsidRPr="00632B6F">
          <w:rPr>
            <w:rStyle w:val="ac"/>
          </w:rPr>
          <w:t>/</w:t>
        </w:r>
        <w:r w:rsidRPr="00EA149C">
          <w:rPr>
            <w:rStyle w:val="ac"/>
            <w:lang w:val="en-US"/>
          </w:rPr>
          <w:t>financing</w:t>
        </w:r>
        <w:r w:rsidRPr="00632B6F">
          <w:rPr>
            <w:rStyle w:val="ac"/>
          </w:rPr>
          <w:t>-</w:t>
        </w:r>
        <w:r w:rsidRPr="00EA149C">
          <w:rPr>
            <w:rStyle w:val="ac"/>
            <w:lang w:val="en-US"/>
          </w:rPr>
          <w:t>sustainable</w:t>
        </w:r>
        <w:r w:rsidRPr="00632B6F">
          <w:rPr>
            <w:rStyle w:val="ac"/>
          </w:rPr>
          <w:t>-</w:t>
        </w:r>
        <w:r w:rsidRPr="00EA149C">
          <w:rPr>
            <w:rStyle w:val="ac"/>
            <w:lang w:val="en-US"/>
          </w:rPr>
          <w:t>development</w:t>
        </w:r>
        <w:r w:rsidRPr="00632B6F">
          <w:rPr>
            <w:rStyle w:val="ac"/>
          </w:rPr>
          <w:t>/</w:t>
        </w:r>
        <w:r w:rsidRPr="00EA149C">
          <w:rPr>
            <w:rStyle w:val="ac"/>
            <w:lang w:val="en-US"/>
          </w:rPr>
          <w:t>development</w:t>
        </w:r>
        <w:r w:rsidRPr="00632B6F">
          <w:rPr>
            <w:rStyle w:val="ac"/>
          </w:rPr>
          <w:t>-</w:t>
        </w:r>
        <w:r w:rsidRPr="00EA149C">
          <w:rPr>
            <w:rStyle w:val="ac"/>
            <w:lang w:val="en-US"/>
          </w:rPr>
          <w:t>finance</w:t>
        </w:r>
        <w:r w:rsidRPr="00632B6F">
          <w:rPr>
            <w:rStyle w:val="ac"/>
          </w:rPr>
          <w:t>-</w:t>
        </w:r>
        <w:r w:rsidRPr="00EA149C">
          <w:rPr>
            <w:rStyle w:val="ac"/>
            <w:lang w:val="en-US"/>
          </w:rPr>
          <w:t>standards</w:t>
        </w:r>
        <w:r w:rsidRPr="00632B6F">
          <w:rPr>
            <w:rStyle w:val="ac"/>
          </w:rPr>
          <w:t>/</w:t>
        </w:r>
        <w:proofErr w:type="spellStart"/>
        <w:r w:rsidRPr="00EA149C">
          <w:rPr>
            <w:rStyle w:val="ac"/>
            <w:lang w:val="en-US"/>
          </w:rPr>
          <w:t>officialdevelopmentassistancedefinitionandcoverage</w:t>
        </w:r>
        <w:proofErr w:type="spellEnd"/>
        <w:r w:rsidRPr="00632B6F">
          <w:rPr>
            <w:rStyle w:val="ac"/>
          </w:rPr>
          <w:t>.</w:t>
        </w:r>
        <w:proofErr w:type="spellStart"/>
        <w:r w:rsidRPr="00EA149C">
          <w:rPr>
            <w:rStyle w:val="ac"/>
            <w:lang w:val="en-US"/>
          </w:rPr>
          <w:t>htm</w:t>
        </w:r>
        <w:proofErr w:type="spellEnd"/>
      </w:hyperlink>
    </w:p>
    <w:p w:rsidR="00CE4CA8" w:rsidRDefault="00CE4CA8" w:rsidP="00CE4CA8">
      <w:r w:rsidRPr="00CE4CA8">
        <w:rPr>
          <w:i/>
        </w:rPr>
        <w:t>«Все доноры</w:t>
      </w:r>
      <w:r w:rsidRPr="00706113">
        <w:t>» относятся к донорам КСР, донорам, не являющимся членами КСР, и к многосторонним организациям.</w:t>
      </w:r>
    </w:p>
    <w:p w:rsidR="00CE4CA8" w:rsidRDefault="00CE4CA8" w:rsidP="00CE4CA8">
      <w:r w:rsidRPr="00157902">
        <w:rPr>
          <w:i/>
        </w:rPr>
        <w:t>Помощь в торговле</w:t>
      </w:r>
      <w:r w:rsidRPr="00CE4CA8">
        <w:t xml:space="preserve"> отражена в Системе отчетности кредиторов (CRS) ОЭСР по четырем категориям:</w:t>
      </w:r>
    </w:p>
    <w:p w:rsidR="00CE4CA8" w:rsidRDefault="00CE4CA8" w:rsidP="00CE4CA8">
      <w:pPr>
        <w:pStyle w:val="ab"/>
        <w:numPr>
          <w:ilvl w:val="0"/>
          <w:numId w:val="5"/>
        </w:numPr>
      </w:pPr>
      <w:r>
        <w:t>Экономическая инфраструктура. Суммы, относящиеся к торговой инфраструктуре, представлены в CRS в виде данных под кодовым заголовком сектора «Экономическая инфраструктура и услуги» и охватывают сектора транспорта и хранения, связи, производства и снабжения энергией.</w:t>
      </w:r>
    </w:p>
    <w:p w:rsidR="00CE4CA8" w:rsidRDefault="00CE4CA8" w:rsidP="00CE4CA8">
      <w:pPr>
        <w:pStyle w:val="ab"/>
        <w:numPr>
          <w:ilvl w:val="0"/>
          <w:numId w:val="5"/>
        </w:numPr>
      </w:pPr>
      <w:r>
        <w:t>Торговая политика и регулирование. В CRS пять секторальных кодов (серии 331xx) используются для отражения деятельности в области торговой политики и регулирования: торговая политика и административное управление; упрощение процедур торговли; региональные торговые соглашения; многосторонние торговые переговоры; и торговое образование/обучение.</w:t>
      </w:r>
    </w:p>
    <w:p w:rsidR="00CE4CA8" w:rsidRDefault="00CE4CA8" w:rsidP="00CE4CA8">
      <w:pPr>
        <w:pStyle w:val="ab"/>
        <w:numPr>
          <w:ilvl w:val="0"/>
          <w:numId w:val="5"/>
        </w:numPr>
      </w:pPr>
      <w:r>
        <w:t>Корректировка, связанная с торговлей: этот код сектора (33150) был введен в CRS как отдельный элемент данных в 2007 году для отслеживания потоков, соответствующих корректировке, связанной с торговлей. В этой категории определяются взносы в бюджеты развивающихся стран для оказания помощи в осуществлении торговых реформ и корректировке мер торговой политики других стран, а также для устранения дефицита платежного баланса из-за изменений в мировой торговой среде.</w:t>
      </w:r>
    </w:p>
    <w:p w:rsidR="00CE4CA8" w:rsidRDefault="00CE4CA8" w:rsidP="00CE4CA8">
      <w:pPr>
        <w:pStyle w:val="ab"/>
        <w:numPr>
          <w:ilvl w:val="0"/>
          <w:numId w:val="5"/>
        </w:numPr>
      </w:pPr>
      <w:r>
        <w:t>Наращивание производственного потенциала (BPC), включая развитие торговли: CRS собирает полные данные обо всех видах деятельности в производственном секторе и секторе услуг, таких как сельское хозяйство; промышленность; минеральные ресурсы и горнодобывающая промышленность; бизнес; и банковское дело.</w:t>
      </w:r>
    </w:p>
    <w:p w:rsidR="00CE4CA8" w:rsidRPr="00CE4CA8" w:rsidRDefault="00CE4CA8" w:rsidP="00CE4CA8">
      <w:pPr>
        <w:pStyle w:val="ab"/>
        <w:ind w:left="0"/>
        <w:rPr>
          <w:b/>
          <w:bCs/>
          <w:u w:val="single"/>
        </w:rPr>
      </w:pPr>
      <w:r>
        <w:t>См.</w:t>
      </w:r>
      <w:r w:rsidRPr="00CE4CA8">
        <w:t>:</w:t>
      </w:r>
      <w:r>
        <w:t> </w:t>
      </w:r>
      <w:hyperlink r:id="rId10" w:history="1">
        <w:r w:rsidRPr="00CE4CA8">
          <w:rPr>
            <w:rStyle w:val="ac"/>
            <w:lang w:val="en-GB"/>
          </w:rPr>
          <w:t>http</w:t>
        </w:r>
        <w:r w:rsidRPr="00CE4CA8">
          <w:rPr>
            <w:rStyle w:val="ac"/>
          </w:rPr>
          <w:t>://</w:t>
        </w:r>
        <w:r w:rsidRPr="00CE4CA8">
          <w:rPr>
            <w:rStyle w:val="ac"/>
            <w:lang w:val="en-GB"/>
          </w:rPr>
          <w:t>www</w:t>
        </w:r>
        <w:r w:rsidRPr="00CE4CA8">
          <w:rPr>
            <w:rStyle w:val="ac"/>
          </w:rPr>
          <w:t>.</w:t>
        </w:r>
        <w:proofErr w:type="spellStart"/>
        <w:r w:rsidRPr="00CE4CA8">
          <w:rPr>
            <w:rStyle w:val="ac"/>
            <w:lang w:val="en-GB"/>
          </w:rPr>
          <w:t>oecd</w:t>
        </w:r>
        <w:proofErr w:type="spellEnd"/>
        <w:r w:rsidRPr="00CE4CA8">
          <w:rPr>
            <w:rStyle w:val="ac"/>
          </w:rPr>
          <w:t>.</w:t>
        </w:r>
        <w:r w:rsidRPr="00CE4CA8">
          <w:rPr>
            <w:rStyle w:val="ac"/>
            <w:lang w:val="en-GB"/>
          </w:rPr>
          <w:t>org</w:t>
        </w:r>
        <w:r w:rsidRPr="00CE4CA8">
          <w:rPr>
            <w:rStyle w:val="ac"/>
          </w:rPr>
          <w:t>/</w:t>
        </w:r>
        <w:proofErr w:type="spellStart"/>
        <w:r w:rsidRPr="00CE4CA8">
          <w:rPr>
            <w:rStyle w:val="ac"/>
            <w:lang w:val="en-GB"/>
          </w:rPr>
          <w:t>dac</w:t>
        </w:r>
        <w:proofErr w:type="spellEnd"/>
        <w:r w:rsidRPr="00CE4CA8">
          <w:rPr>
            <w:rStyle w:val="ac"/>
          </w:rPr>
          <w:t>/</w:t>
        </w:r>
        <w:r w:rsidRPr="00CE4CA8">
          <w:rPr>
            <w:rStyle w:val="ac"/>
            <w:lang w:val="en-GB"/>
          </w:rPr>
          <w:t>financing</w:t>
        </w:r>
        <w:r w:rsidRPr="00CE4CA8">
          <w:rPr>
            <w:rStyle w:val="ac"/>
          </w:rPr>
          <w:t>-</w:t>
        </w:r>
        <w:r w:rsidRPr="00CE4CA8">
          <w:rPr>
            <w:rStyle w:val="ac"/>
            <w:lang w:val="en-GB"/>
          </w:rPr>
          <w:t>sustainable</w:t>
        </w:r>
        <w:r w:rsidRPr="00CE4CA8">
          <w:rPr>
            <w:rStyle w:val="ac"/>
          </w:rPr>
          <w:t>-</w:t>
        </w:r>
        <w:r w:rsidRPr="00CE4CA8">
          <w:rPr>
            <w:rStyle w:val="ac"/>
            <w:lang w:val="en-GB"/>
          </w:rPr>
          <w:t>development</w:t>
        </w:r>
        <w:r w:rsidRPr="00CE4CA8">
          <w:rPr>
            <w:rStyle w:val="ac"/>
          </w:rPr>
          <w:t>/</w:t>
        </w:r>
        <w:r w:rsidRPr="00CE4CA8">
          <w:rPr>
            <w:rStyle w:val="ac"/>
            <w:lang w:val="en-GB"/>
          </w:rPr>
          <w:t>development</w:t>
        </w:r>
        <w:r w:rsidRPr="00CE4CA8">
          <w:rPr>
            <w:rStyle w:val="ac"/>
          </w:rPr>
          <w:t>-</w:t>
        </w:r>
        <w:r w:rsidRPr="00CE4CA8">
          <w:rPr>
            <w:rStyle w:val="ac"/>
            <w:lang w:val="en-GB"/>
          </w:rPr>
          <w:t>finance</w:t>
        </w:r>
        <w:r w:rsidRPr="00CE4CA8">
          <w:rPr>
            <w:rStyle w:val="ac"/>
          </w:rPr>
          <w:t>-</w:t>
        </w:r>
        <w:r w:rsidRPr="00CE4CA8">
          <w:rPr>
            <w:rStyle w:val="ac"/>
            <w:lang w:val="en-GB"/>
          </w:rPr>
          <w:t>standards</w:t>
        </w:r>
        <w:r w:rsidRPr="00CE4CA8">
          <w:rPr>
            <w:rStyle w:val="ac"/>
          </w:rPr>
          <w:t>/</w:t>
        </w:r>
        <w:proofErr w:type="spellStart"/>
        <w:r w:rsidRPr="00CE4CA8">
          <w:rPr>
            <w:rStyle w:val="ac"/>
            <w:lang w:val="en-GB"/>
          </w:rPr>
          <w:t>dacandcrscodelists</w:t>
        </w:r>
        <w:proofErr w:type="spellEnd"/>
        <w:r w:rsidRPr="00CE4CA8">
          <w:rPr>
            <w:rStyle w:val="ac"/>
          </w:rPr>
          <w:t>.</w:t>
        </w:r>
        <w:proofErr w:type="spellStart"/>
        <w:r w:rsidRPr="00CE4CA8">
          <w:rPr>
            <w:rStyle w:val="ac"/>
            <w:lang w:val="en-GB"/>
          </w:rPr>
          <w:t>htm</w:t>
        </w:r>
        <w:proofErr w:type="spellEnd"/>
      </w:hyperlink>
    </w:p>
    <w:p w:rsidR="00407E4E" w:rsidRPr="00BD29EC" w:rsidRDefault="00407E4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407E4E" w:rsidRDefault="00CE4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Миллионы долларов США в постоянных ценах</w:t>
      </w:r>
    </w:p>
    <w:p w:rsidR="00CE4CA8" w:rsidRPr="00BD29EC" w:rsidRDefault="00CE4CA8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szCs w:val="24"/>
        </w:rPr>
      </w:pP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Default="000A229E" w:rsidP="0075371E">
      <w:pPr>
        <w:pStyle w:val="MText"/>
        <w:rPr>
          <w:color w:val="auto"/>
          <w:sz w:val="24"/>
          <w:szCs w:val="24"/>
          <w:lang w:val="ru-RU"/>
        </w:rPr>
      </w:pPr>
    </w:p>
    <w:p w:rsidR="00CE4CA8" w:rsidRPr="00BD29EC" w:rsidRDefault="00CE4CA8" w:rsidP="0075371E">
      <w:pPr>
        <w:pStyle w:val="MText"/>
        <w:rPr>
          <w:color w:val="auto"/>
          <w:sz w:val="24"/>
          <w:szCs w:val="24"/>
          <w:lang w:val="ru-RU"/>
        </w:rPr>
      </w:pP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Pr="00CB1688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6015EC" w:rsidRPr="00706113" w:rsidRDefault="006015EC" w:rsidP="006015EC">
      <w:r>
        <w:t>ОЭСР</w:t>
      </w:r>
      <w:r w:rsidRPr="00706113">
        <w:t xml:space="preserve">/КСР собирает данные о потоках официальных и частных ресурсов с 1960 года на </w:t>
      </w:r>
      <w:r>
        <w:t>агрегированном</w:t>
      </w:r>
      <w:r w:rsidRPr="00706113">
        <w:t xml:space="preserve"> уровне и 1973 год на уровне деятельности через систему отчетности кредиторов (данные о CRS считаются завершенными с 1995 года для обязательств на уровне деятельн</w:t>
      </w:r>
      <w:r>
        <w:t>ости и в 2002 году для выплат).</w:t>
      </w:r>
    </w:p>
    <w:p w:rsidR="006015EC" w:rsidRPr="00706113" w:rsidRDefault="006015EC" w:rsidP="006015EC">
      <w:r w:rsidRPr="00706113">
        <w:t>Данные сообщаются донорами в соответствии с теми же ст</w:t>
      </w:r>
      <w:r>
        <w:t>андартами и методологиями (см. з</w:t>
      </w:r>
      <w:r w:rsidRPr="00706113">
        <w:t xml:space="preserve">десь: </w:t>
      </w:r>
      <w:hyperlink r:id="rId11" w:history="1">
        <w:r w:rsidR="00EA32FB" w:rsidRPr="00EA149C">
          <w:rPr>
            <w:rStyle w:val="ac"/>
          </w:rPr>
          <w:t>http://www.oecd.org/dac/stats/methodology.htm</w:t>
        </w:r>
      </w:hyperlink>
      <w:r w:rsidRPr="00706113">
        <w:t>).</w:t>
      </w:r>
    </w:p>
    <w:p w:rsidR="006015EC" w:rsidRDefault="006015EC" w:rsidP="006015EC">
      <w:r w:rsidRPr="00706113">
        <w:t>Данные сообщаются в ежегодном календарном году статистическими репортерами</w:t>
      </w:r>
      <w:r>
        <w:t xml:space="preserve"> в национальных администрациях (</w:t>
      </w:r>
      <w:r w:rsidRPr="00706113">
        <w:t>агентства по оказанию помощи, министерства инос</w:t>
      </w:r>
      <w:r>
        <w:t>транных дел или финансов и т.д.)</w:t>
      </w:r>
      <w:r w:rsidRPr="006015EC">
        <w:t>.</w:t>
      </w:r>
    </w:p>
    <w:p w:rsidR="008E2974" w:rsidRPr="006015EC" w:rsidRDefault="008E2974" w:rsidP="006015EC">
      <w:r w:rsidRPr="008E2974">
        <w:t>Секретариат ОЭСР/DAC готовит и представляет ежегодный вопросник (на совокупном уровне и на уровне деятельности) национальным статистическим отчетам и отвечает за сбор, проверку и публикацию этих данных.</w:t>
      </w:r>
    </w:p>
    <w:p w:rsidR="000A229E" w:rsidRPr="00CB1688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6015EC" w:rsidRPr="006015EC" w:rsidRDefault="006015EC" w:rsidP="006015EC">
      <w:r w:rsidRPr="006015EC">
        <w:t>Статистический репортер отвечает за сбор статистических данных КСР в каждой предоставляющей стране/учреждении. Этот репортер обычно находится в национальном агентстве по оказанию помощи, Министерстве иностранных дел или финансов и т.д.</w:t>
      </w:r>
    </w:p>
    <w:p w:rsidR="000A229E" w:rsidRPr="00CB1688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6015EC" w:rsidRPr="006015EC" w:rsidRDefault="006015EC" w:rsidP="006015EC">
      <w:r w:rsidRPr="006015EC">
        <w:t>Данные о потоках за предыдущий год публикуются на ежегодной основе в декабре. Подробные данные о потоках за 20</w:t>
      </w:r>
      <w:r w:rsidR="008E2974">
        <w:t>22</w:t>
      </w:r>
      <w:r w:rsidRPr="006015EC">
        <w:t xml:space="preserve"> год будут опубликованы в декабре 20</w:t>
      </w:r>
      <w:r w:rsidR="008E2974">
        <w:t>23</w:t>
      </w:r>
      <w:r w:rsidRPr="006015EC">
        <w:t xml:space="preserve"> года.</w:t>
      </w:r>
    </w:p>
    <w:p w:rsidR="000A229E" w:rsidRPr="00CB1688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6015EC" w:rsidRPr="006015EC" w:rsidRDefault="008E2974" w:rsidP="006015EC">
      <w:r>
        <w:t>Декабрь каждого года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6015EC" w:rsidRPr="00A71EC6" w:rsidRDefault="006015EC" w:rsidP="006015EC">
      <w:r w:rsidRPr="006015EC">
        <w:t>Данные представляются на ежегодной основе за календарный год статистическими репортерами в национальных администрациях (агентствах по оказанию помощи, министерствах иностранных дел или финансов и т.д.</w:t>
      </w:r>
      <w:r>
        <w:t>).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8E2974" w:rsidRPr="00BD29EC" w:rsidRDefault="008E2974" w:rsidP="006015EC">
      <w:r w:rsidRPr="008E2974">
        <w:t xml:space="preserve">Организация экономического сотрудничества и развития </w:t>
      </w:r>
      <w:r>
        <w:t>(</w:t>
      </w:r>
      <w:r w:rsidR="006015EC">
        <w:t>ОЭСР</w:t>
      </w:r>
      <w:r>
        <w:t>)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980F79" w:rsidRPr="00BD29EC" w:rsidRDefault="00980F79" w:rsidP="0075371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cs="Times New Roman"/>
          <w:b/>
          <w:szCs w:val="24"/>
        </w:rPr>
      </w:pP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lastRenderedPageBreak/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2E15F9" w:rsidRPr="00BD29EC" w:rsidRDefault="008E2974" w:rsidP="006015EC">
      <w:proofErr w:type="gramStart"/>
      <w:r w:rsidRPr="008E2974">
        <w:t>ОПР</w:t>
      </w:r>
      <w:proofErr w:type="gramEnd"/>
      <w:r w:rsidRPr="008E2974">
        <w:t xml:space="preserve"> для помощи в торговле развивающимся странам дает количественную оценку общественных усилий, которые доноры оказывают развивающимся странам для помощи в торговле</w:t>
      </w:r>
      <w:r>
        <w:t>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6015EC" w:rsidRPr="00BD29EC" w:rsidRDefault="006015EC" w:rsidP="006015EC">
      <w:r w:rsidRPr="006015EC">
        <w:t>Данные в Системе отчетности кредиторов имеются с 1973 года. Однако охват данными считается полным с 1995 года для обязательств на уровне деятельности и 2002 года для выплат.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6015EC" w:rsidRDefault="006015EC" w:rsidP="006015EC">
      <w:r w:rsidRPr="006015EC">
        <w:t xml:space="preserve">Сумма </w:t>
      </w:r>
      <w:r w:rsidR="008E2974">
        <w:t>официальной помощи в целях развития (</w:t>
      </w:r>
      <w:proofErr w:type="gramStart"/>
      <w:r w:rsidRPr="006015EC">
        <w:t>ОПР</w:t>
      </w:r>
      <w:proofErr w:type="gramEnd"/>
      <w:r w:rsidR="008E2974">
        <w:t>)</w:t>
      </w:r>
      <w:r w:rsidRPr="006015EC">
        <w:t xml:space="preserve"> </w:t>
      </w:r>
      <w:bookmarkStart w:id="5" w:name="_GoBack"/>
      <w:bookmarkEnd w:id="5"/>
      <w:r w:rsidRPr="006015EC">
        <w:t>поступает от всех доноров в развивающиеся страны для оказания помощи в интересах торговли.</w:t>
      </w:r>
    </w:p>
    <w:p w:rsidR="002E15F9" w:rsidRPr="00BD29EC" w:rsidRDefault="002E15F9" w:rsidP="00A71EC6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</w:p>
    <w:p w:rsidR="008E2974" w:rsidRDefault="008E2974" w:rsidP="0075371E">
      <w:pPr>
        <w:pStyle w:val="MHeader2"/>
        <w:rPr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8E2974" w:rsidRPr="00BD29EC" w:rsidRDefault="008E2974" w:rsidP="0075371E">
      <w:pPr>
        <w:pStyle w:val="MText"/>
        <w:rPr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8E2974" w:rsidRDefault="008E2974" w:rsidP="008E2974">
      <w:pPr>
        <w:pStyle w:val="MText"/>
        <w:numPr>
          <w:ilvl w:val="0"/>
          <w:numId w:val="6"/>
        </w:numPr>
        <w:rPr>
          <w:b/>
          <w:color w:val="auto"/>
          <w:sz w:val="24"/>
          <w:szCs w:val="24"/>
          <w:lang w:val="ru-RU"/>
        </w:rPr>
      </w:pPr>
      <w:r w:rsidRPr="008E2974">
        <w:rPr>
          <w:b/>
          <w:color w:val="auto"/>
          <w:sz w:val="24"/>
          <w:szCs w:val="24"/>
          <w:lang w:val="ru-RU"/>
        </w:rPr>
        <w:t>На страновом уровне:</w:t>
      </w:r>
    </w:p>
    <w:p w:rsidR="002E15F9" w:rsidRPr="00BD29EC" w:rsidRDefault="0039495B" w:rsidP="0039495B">
      <w:r w:rsidRPr="0039495B">
        <w:t>Из-за высокого качества отчетности отсутствующие данные не оцениваются.</w:t>
      </w:r>
    </w:p>
    <w:p w:rsidR="002E15F9" w:rsidRPr="008E2974" w:rsidRDefault="00694160" w:rsidP="008E2974">
      <w:pPr>
        <w:pStyle w:val="MText"/>
        <w:numPr>
          <w:ilvl w:val="0"/>
          <w:numId w:val="6"/>
        </w:numPr>
        <w:rPr>
          <w:b/>
          <w:color w:val="auto"/>
          <w:sz w:val="24"/>
          <w:szCs w:val="24"/>
          <w:lang w:val="ru-RU"/>
        </w:rPr>
      </w:pPr>
      <w:r w:rsidRPr="008E2974">
        <w:rPr>
          <w:b/>
          <w:color w:val="auto"/>
          <w:sz w:val="24"/>
          <w:szCs w:val="24"/>
          <w:lang w:val="ru-RU"/>
        </w:rPr>
        <w:t>На региональном и глобальном уровнях</w:t>
      </w:r>
      <w:r w:rsidR="008E2974" w:rsidRPr="008E2974">
        <w:rPr>
          <w:b/>
          <w:color w:val="auto"/>
          <w:sz w:val="24"/>
          <w:szCs w:val="24"/>
          <w:lang w:val="ru-RU"/>
        </w:rPr>
        <w:t>:</w:t>
      </w:r>
    </w:p>
    <w:p w:rsidR="00694160" w:rsidRPr="00BD29EC" w:rsidRDefault="0039495B" w:rsidP="0039495B">
      <w:r>
        <w:t>Не применимо.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E27922" w:rsidRPr="00BD29EC" w:rsidRDefault="008E2974" w:rsidP="0075371E">
      <w:pPr>
        <w:pStyle w:val="MText"/>
        <w:rPr>
          <w:color w:val="auto"/>
          <w:sz w:val="24"/>
          <w:szCs w:val="24"/>
          <w:lang w:val="ru-RU"/>
        </w:rPr>
      </w:pPr>
      <w:r w:rsidRPr="008E2974">
        <w:rPr>
          <w:color w:val="auto"/>
          <w:sz w:val="24"/>
          <w:szCs w:val="24"/>
          <w:lang w:val="ru-RU"/>
        </w:rPr>
        <w:t xml:space="preserve">Глобальные и региональные показатели основаны на сумме потоков </w:t>
      </w:r>
      <w:proofErr w:type="gramStart"/>
      <w:r w:rsidRPr="008E2974">
        <w:rPr>
          <w:color w:val="auto"/>
          <w:sz w:val="24"/>
          <w:szCs w:val="24"/>
          <w:lang w:val="ru-RU"/>
        </w:rPr>
        <w:t>ОПР</w:t>
      </w:r>
      <w:proofErr w:type="gramEnd"/>
      <w:r w:rsidRPr="008E2974">
        <w:rPr>
          <w:color w:val="auto"/>
          <w:sz w:val="24"/>
          <w:szCs w:val="24"/>
          <w:lang w:val="ru-RU"/>
        </w:rPr>
        <w:t xml:space="preserve"> на помощь в торговой деятельности.</w:t>
      </w:r>
    </w:p>
    <w:p w:rsidR="002E15F9" w:rsidRPr="00BD29EC" w:rsidRDefault="002E15F9" w:rsidP="0075371E">
      <w:pPr>
        <w:pStyle w:val="MText"/>
        <w:rPr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8E2974" w:rsidRDefault="008E2974" w:rsidP="0075371E">
      <w:pPr>
        <w:pStyle w:val="MHeader2"/>
        <w:rPr>
          <w:color w:val="auto"/>
          <w:sz w:val="24"/>
          <w:szCs w:val="24"/>
          <w:lang w:val="ru-RU"/>
        </w:rPr>
      </w:pP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8E2974" w:rsidRDefault="008E2974" w:rsidP="0075371E">
      <w:pPr>
        <w:pStyle w:val="MHeader2"/>
        <w:rPr>
          <w:color w:val="auto"/>
          <w:sz w:val="24"/>
          <w:szCs w:val="24"/>
          <w:lang w:val="ru-RU"/>
        </w:rPr>
      </w:pPr>
    </w:p>
    <w:p w:rsidR="002E15F9" w:rsidRPr="00040034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8E2974" w:rsidRDefault="008E2974" w:rsidP="0075371E">
      <w:pPr>
        <w:pStyle w:val="MHeader2"/>
        <w:rPr>
          <w:color w:val="auto"/>
          <w:sz w:val="24"/>
          <w:szCs w:val="24"/>
          <w:lang w:val="ru-RU"/>
        </w:rPr>
      </w:pPr>
    </w:p>
    <w:p w:rsidR="002E15F9" w:rsidRDefault="0075371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</w:p>
    <w:p w:rsidR="008E2974" w:rsidRDefault="008E2974" w:rsidP="008E2974"/>
    <w:p w:rsidR="008E2974" w:rsidRPr="00BD29EC" w:rsidRDefault="008E2974" w:rsidP="008E2974"/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lastRenderedPageBreak/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</w:t>
      </w:r>
      <w:r w:rsidR="008E2974">
        <w:rPr>
          <w:b/>
          <w:color w:val="auto"/>
          <w:sz w:val="24"/>
          <w:szCs w:val="24"/>
          <w:lang w:val="ru-RU"/>
        </w:rPr>
        <w:t>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8E2974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8E2974">
        <w:rPr>
          <w:b/>
          <w:color w:val="auto"/>
          <w:sz w:val="24"/>
          <w:szCs w:val="24"/>
          <w:lang w:val="ru-RU"/>
        </w:rPr>
        <w:t>Доступность данных:</w:t>
      </w:r>
    </w:p>
    <w:p w:rsidR="00435746" w:rsidRDefault="0039495B" w:rsidP="00435746">
      <w:pPr>
        <w:spacing w:after="120"/>
      </w:pPr>
      <w:r w:rsidRPr="0039495B">
        <w:t>На донорской основе для всех стран КСР и многих поставщиков, не входящих в КСР (двусторонних и многосторонних), которые отчитываются перед КСР о</w:t>
      </w:r>
      <w:r w:rsidR="00435746">
        <w:t xml:space="preserve"> помощи на получение стипендий.</w:t>
      </w:r>
    </w:p>
    <w:p w:rsidR="0039495B" w:rsidRPr="00BD29EC" w:rsidRDefault="0039495B" w:rsidP="00435746">
      <w:pPr>
        <w:spacing w:after="120"/>
      </w:pPr>
      <w:r w:rsidRPr="0039495B">
        <w:t>На основе получателей для всех развивающихся стран, имеющих право на получение ОПР.</w:t>
      </w:r>
    </w:p>
    <w:p w:rsidR="0075371E" w:rsidRPr="00435746" w:rsidRDefault="00435746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435746">
        <w:rPr>
          <w:b/>
          <w:color w:val="auto"/>
          <w:sz w:val="24"/>
          <w:szCs w:val="24"/>
          <w:lang w:val="ru-RU"/>
        </w:rPr>
        <w:t>Дезагрегация</w:t>
      </w:r>
      <w:r w:rsidR="0075371E" w:rsidRPr="00435746">
        <w:rPr>
          <w:b/>
          <w:color w:val="auto"/>
          <w:sz w:val="24"/>
          <w:szCs w:val="24"/>
          <w:lang w:val="ru-RU"/>
        </w:rPr>
        <w:t>:</w:t>
      </w:r>
    </w:p>
    <w:p w:rsidR="006C32B8" w:rsidRPr="00BD29EC" w:rsidRDefault="006C32B8" w:rsidP="006C32B8">
      <w:r w:rsidRPr="006C32B8">
        <w:t xml:space="preserve">Этот показатель может быть дезагрегирован по донорам, странам-получателям, видам финансирования, видам помощи, торговой политике и правилам, </w:t>
      </w:r>
      <w:r w:rsidRPr="00706113">
        <w:rPr>
          <w:rFonts w:cs="Times New Roman"/>
          <w:szCs w:val="24"/>
        </w:rPr>
        <w:t>подсекторам, связанным с регули</w:t>
      </w:r>
      <w:r>
        <w:rPr>
          <w:rFonts w:cs="Times New Roman"/>
          <w:szCs w:val="24"/>
        </w:rPr>
        <w:t>рованием</w:t>
      </w:r>
      <w:r>
        <w:t>, связанным с торговлей, и т.д.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6C32B8" w:rsidRDefault="006C32B8" w:rsidP="006C32B8">
      <w:pPr>
        <w:rPr>
          <w:lang w:eastAsia="en-GB"/>
        </w:rPr>
      </w:pPr>
      <w:r w:rsidRPr="006C32B8">
        <w:rPr>
          <w:lang w:eastAsia="en-GB"/>
        </w:rPr>
        <w:t xml:space="preserve">Статистические данные КСР стандартизированы на основе календарного года для всех доноров и могут отличаться от данных за финансовый год, имеющихся в бюджетных документах для некоторых стран. </w:t>
      </w: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CB1688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CB1688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CB1688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6C32B8" w:rsidRPr="00435746" w:rsidRDefault="006C32B8" w:rsidP="006C32B8">
      <w:pPr>
        <w:rPr>
          <w:b/>
        </w:rPr>
      </w:pPr>
      <w:r w:rsidRPr="00435746">
        <w:rPr>
          <w:b/>
          <w:lang w:val="en-US"/>
        </w:rPr>
        <w:t>URL</w:t>
      </w:r>
      <w:r w:rsidRPr="00435746">
        <w:rPr>
          <w:b/>
        </w:rPr>
        <w:t xml:space="preserve">: </w:t>
      </w:r>
    </w:p>
    <w:p w:rsidR="006C32B8" w:rsidRPr="00CB1688" w:rsidRDefault="00DD2FEC" w:rsidP="006C32B8">
      <w:hyperlink r:id="rId12" w:history="1">
        <w:r w:rsidR="00435746" w:rsidRPr="00EA149C">
          <w:rPr>
            <w:rStyle w:val="ac"/>
            <w:lang w:val="en-US"/>
          </w:rPr>
          <w:t>www</w:t>
        </w:r>
        <w:r w:rsidR="00435746" w:rsidRPr="00EA149C">
          <w:rPr>
            <w:rStyle w:val="ac"/>
          </w:rPr>
          <w:t>.</w:t>
        </w:r>
        <w:proofErr w:type="spellStart"/>
        <w:r w:rsidR="00435746" w:rsidRPr="00EA149C">
          <w:rPr>
            <w:rStyle w:val="ac"/>
            <w:lang w:val="en-US"/>
          </w:rPr>
          <w:t>oecd</w:t>
        </w:r>
        <w:proofErr w:type="spellEnd"/>
        <w:r w:rsidR="00435746" w:rsidRPr="00EA149C">
          <w:rPr>
            <w:rStyle w:val="ac"/>
          </w:rPr>
          <w:t>.</w:t>
        </w:r>
        <w:r w:rsidR="00435746" w:rsidRPr="00EA149C">
          <w:rPr>
            <w:rStyle w:val="ac"/>
            <w:lang w:val="en-US"/>
          </w:rPr>
          <w:t>org</w:t>
        </w:r>
        <w:r w:rsidR="00435746" w:rsidRPr="00EA149C">
          <w:rPr>
            <w:rStyle w:val="ac"/>
          </w:rPr>
          <w:t>/</w:t>
        </w:r>
        <w:proofErr w:type="spellStart"/>
        <w:r w:rsidR="00435746" w:rsidRPr="00EA149C">
          <w:rPr>
            <w:rStyle w:val="ac"/>
            <w:lang w:val="en-US"/>
          </w:rPr>
          <w:t>dac</w:t>
        </w:r>
        <w:proofErr w:type="spellEnd"/>
        <w:r w:rsidR="00435746" w:rsidRPr="00EA149C">
          <w:rPr>
            <w:rStyle w:val="ac"/>
          </w:rPr>
          <w:t>/</w:t>
        </w:r>
        <w:r w:rsidR="00435746" w:rsidRPr="00EA149C">
          <w:rPr>
            <w:rStyle w:val="ac"/>
            <w:lang w:val="en-US"/>
          </w:rPr>
          <w:t>stats</w:t>
        </w:r>
      </w:hyperlink>
    </w:p>
    <w:p w:rsidR="006C32B8" w:rsidRPr="00435746" w:rsidRDefault="006C32B8" w:rsidP="006C32B8">
      <w:pPr>
        <w:rPr>
          <w:b/>
        </w:rPr>
      </w:pPr>
      <w:r w:rsidRPr="00435746">
        <w:rPr>
          <w:b/>
        </w:rPr>
        <w:t xml:space="preserve">Использованные документы: </w:t>
      </w:r>
    </w:p>
    <w:p w:rsidR="006C32B8" w:rsidRPr="00157902" w:rsidRDefault="006C32B8" w:rsidP="006C32B8">
      <w:pPr>
        <w:rPr>
          <w:rFonts w:eastAsia="Times New Roman" w:cs="Times New Roman"/>
          <w:szCs w:val="24"/>
          <w:lang w:eastAsia="en-GB"/>
        </w:rPr>
      </w:pPr>
      <w:r w:rsidRPr="006C32B8">
        <w:t>См</w:t>
      </w:r>
      <w:r>
        <w:t>.</w:t>
      </w:r>
      <w:r w:rsidRPr="006C32B8">
        <w:t xml:space="preserve"> все ссылки здесь: </w:t>
      </w:r>
      <w:hyperlink r:id="rId13" w:history="1">
        <w:r w:rsidR="00435746" w:rsidRPr="00EA149C">
          <w:rPr>
            <w:rStyle w:val="ac"/>
            <w:lang w:val="en-US"/>
          </w:rPr>
          <w:t>http</w:t>
        </w:r>
        <w:r w:rsidR="00435746" w:rsidRPr="00EA149C">
          <w:rPr>
            <w:rStyle w:val="ac"/>
          </w:rPr>
          <w:t>://</w:t>
        </w:r>
        <w:r w:rsidR="00435746" w:rsidRPr="00EA149C">
          <w:rPr>
            <w:rStyle w:val="ac"/>
            <w:lang w:val="en-US"/>
          </w:rPr>
          <w:t>www</w:t>
        </w:r>
        <w:r w:rsidR="00435746" w:rsidRPr="00EA149C">
          <w:rPr>
            <w:rStyle w:val="ac"/>
          </w:rPr>
          <w:t>.</w:t>
        </w:r>
        <w:proofErr w:type="spellStart"/>
        <w:r w:rsidR="00435746" w:rsidRPr="00EA149C">
          <w:rPr>
            <w:rStyle w:val="ac"/>
            <w:lang w:val="en-US"/>
          </w:rPr>
          <w:t>oecd</w:t>
        </w:r>
        <w:proofErr w:type="spellEnd"/>
        <w:r w:rsidR="00435746" w:rsidRPr="00EA149C">
          <w:rPr>
            <w:rStyle w:val="ac"/>
          </w:rPr>
          <w:t>.</w:t>
        </w:r>
        <w:r w:rsidR="00435746" w:rsidRPr="00EA149C">
          <w:rPr>
            <w:rStyle w:val="ac"/>
            <w:lang w:val="en-US"/>
          </w:rPr>
          <w:t>org</w:t>
        </w:r>
        <w:r w:rsidR="00435746" w:rsidRPr="00EA149C">
          <w:rPr>
            <w:rStyle w:val="ac"/>
          </w:rPr>
          <w:t>/</w:t>
        </w:r>
        <w:proofErr w:type="spellStart"/>
        <w:r w:rsidR="00435746" w:rsidRPr="00EA149C">
          <w:rPr>
            <w:rStyle w:val="ac"/>
            <w:lang w:val="en-US"/>
          </w:rPr>
          <w:t>dac</w:t>
        </w:r>
        <w:proofErr w:type="spellEnd"/>
        <w:r w:rsidR="00435746" w:rsidRPr="00EA149C">
          <w:rPr>
            <w:rStyle w:val="ac"/>
          </w:rPr>
          <w:t>/</w:t>
        </w:r>
        <w:r w:rsidR="00435746" w:rsidRPr="00EA149C">
          <w:rPr>
            <w:rStyle w:val="ac"/>
            <w:lang w:val="en-US"/>
          </w:rPr>
          <w:t>stats</w:t>
        </w:r>
        <w:r w:rsidR="00435746" w:rsidRPr="00EA149C">
          <w:rPr>
            <w:rStyle w:val="ac"/>
          </w:rPr>
          <w:t>/</w:t>
        </w:r>
        <w:r w:rsidR="00435746" w:rsidRPr="00EA149C">
          <w:rPr>
            <w:rStyle w:val="ac"/>
            <w:lang w:val="en-US"/>
          </w:rPr>
          <w:t>methodology</w:t>
        </w:r>
        <w:r w:rsidR="00435746" w:rsidRPr="00EA149C">
          <w:rPr>
            <w:rStyle w:val="ac"/>
          </w:rPr>
          <w:t>.</w:t>
        </w:r>
        <w:proofErr w:type="spellStart"/>
        <w:r w:rsidR="00435746" w:rsidRPr="00EA149C">
          <w:rPr>
            <w:rStyle w:val="ac"/>
            <w:lang w:val="en-US"/>
          </w:rPr>
          <w:t>htm</w:t>
        </w:r>
        <w:proofErr w:type="spellEnd"/>
      </w:hyperlink>
    </w:p>
    <w:sectPr w:rsidR="006C32B8" w:rsidRPr="00157902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CE" w:rsidRDefault="007B32CE" w:rsidP="00F73DBC">
      <w:pPr>
        <w:spacing w:after="0" w:line="240" w:lineRule="auto"/>
      </w:pPr>
      <w:r>
        <w:separator/>
      </w:r>
    </w:p>
  </w:endnote>
  <w:endnote w:type="continuationSeparator" w:id="0">
    <w:p w:rsidR="007B32CE" w:rsidRDefault="007B32CE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CE" w:rsidRDefault="007B32CE" w:rsidP="00F73DBC">
      <w:pPr>
        <w:spacing w:after="0" w:line="240" w:lineRule="auto"/>
      </w:pPr>
      <w:r>
        <w:separator/>
      </w:r>
    </w:p>
  </w:footnote>
  <w:footnote w:type="continuationSeparator" w:id="0">
    <w:p w:rsidR="007B32CE" w:rsidRDefault="007B32CE" w:rsidP="00F7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Pr="00087B96" w:rsidRDefault="009508D1" w:rsidP="009508D1">
    <w:pPr>
      <w:pStyle w:val="ae"/>
      <w:jc w:val="right"/>
      <w:rPr>
        <w:rFonts w:cs="Times New Roman"/>
        <w:i/>
      </w:rPr>
    </w:pPr>
    <w:r w:rsidRPr="00087B96">
      <w:rPr>
        <w:rFonts w:cs="Times New Roman"/>
        <w:i/>
      </w:rPr>
      <w:t xml:space="preserve">Неофициальный перевод </w:t>
    </w:r>
  </w:p>
  <w:p w:rsidR="009508D1" w:rsidRPr="00087B96" w:rsidRDefault="009508D1" w:rsidP="009508D1">
    <w:pPr>
      <w:pStyle w:val="ae"/>
      <w:jc w:val="right"/>
      <w:rPr>
        <w:rFonts w:cs="Times New Roman"/>
      </w:rPr>
    </w:pPr>
    <w:r w:rsidRPr="00087B96">
      <w:rPr>
        <w:rFonts w:cs="Times New Roman"/>
      </w:rPr>
      <w:t xml:space="preserve">Последнее обновление: </w:t>
    </w:r>
    <w:r w:rsidR="008C1EC1">
      <w:rPr>
        <w:rFonts w:cs="Times New Roman"/>
      </w:rPr>
      <w:t>июль</w:t>
    </w:r>
    <w:r w:rsidR="00781DE7" w:rsidRPr="00087B96">
      <w:rPr>
        <w:rFonts w:cs="Times New Roman"/>
      </w:rPr>
      <w:t xml:space="preserve"> 202</w:t>
    </w:r>
    <w:r w:rsidR="008C1EC1">
      <w:rPr>
        <w:rFonts w:cs="Times New Roman"/>
      </w:rPr>
      <w:t>4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67A"/>
    <w:multiLevelType w:val="hybridMultilevel"/>
    <w:tmpl w:val="8798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C25BA"/>
    <w:multiLevelType w:val="hybridMultilevel"/>
    <w:tmpl w:val="C954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4BE3"/>
    <w:rsid w:val="00040034"/>
    <w:rsid w:val="000476F9"/>
    <w:rsid w:val="00053D20"/>
    <w:rsid w:val="00087B96"/>
    <w:rsid w:val="000A210D"/>
    <w:rsid w:val="000A229E"/>
    <w:rsid w:val="000C5EF5"/>
    <w:rsid w:val="00116248"/>
    <w:rsid w:val="001470A2"/>
    <w:rsid w:val="00157902"/>
    <w:rsid w:val="00165896"/>
    <w:rsid w:val="00177215"/>
    <w:rsid w:val="001A163A"/>
    <w:rsid w:val="001E2FC9"/>
    <w:rsid w:val="002064C4"/>
    <w:rsid w:val="00291FA0"/>
    <w:rsid w:val="002E122C"/>
    <w:rsid w:val="002E15F9"/>
    <w:rsid w:val="002F63E5"/>
    <w:rsid w:val="00303D71"/>
    <w:rsid w:val="003143BC"/>
    <w:rsid w:val="003746BC"/>
    <w:rsid w:val="003859BD"/>
    <w:rsid w:val="0039495B"/>
    <w:rsid w:val="003A325C"/>
    <w:rsid w:val="003D58DC"/>
    <w:rsid w:val="00407AF0"/>
    <w:rsid w:val="00407E4E"/>
    <w:rsid w:val="004143B4"/>
    <w:rsid w:val="00421928"/>
    <w:rsid w:val="004344AC"/>
    <w:rsid w:val="00435746"/>
    <w:rsid w:val="004E087E"/>
    <w:rsid w:val="00503B4A"/>
    <w:rsid w:val="00587D0B"/>
    <w:rsid w:val="005E47BD"/>
    <w:rsid w:val="005F2C0B"/>
    <w:rsid w:val="006015EC"/>
    <w:rsid w:val="00632B6F"/>
    <w:rsid w:val="006704C2"/>
    <w:rsid w:val="00694160"/>
    <w:rsid w:val="006B260E"/>
    <w:rsid w:val="006B3939"/>
    <w:rsid w:val="006C32B8"/>
    <w:rsid w:val="006C43F8"/>
    <w:rsid w:val="006D7049"/>
    <w:rsid w:val="00702333"/>
    <w:rsid w:val="00705161"/>
    <w:rsid w:val="0075371E"/>
    <w:rsid w:val="00780F08"/>
    <w:rsid w:val="00781DE7"/>
    <w:rsid w:val="007B07B2"/>
    <w:rsid w:val="007B0CFD"/>
    <w:rsid w:val="007B32CE"/>
    <w:rsid w:val="007C27E0"/>
    <w:rsid w:val="007D1185"/>
    <w:rsid w:val="007F06DF"/>
    <w:rsid w:val="00836F3E"/>
    <w:rsid w:val="00853C09"/>
    <w:rsid w:val="008C1EC1"/>
    <w:rsid w:val="008E2974"/>
    <w:rsid w:val="009508D1"/>
    <w:rsid w:val="00957A62"/>
    <w:rsid w:val="009655B4"/>
    <w:rsid w:val="009737AE"/>
    <w:rsid w:val="00980F79"/>
    <w:rsid w:val="00982FE8"/>
    <w:rsid w:val="009C064B"/>
    <w:rsid w:val="00A110F9"/>
    <w:rsid w:val="00A53D4B"/>
    <w:rsid w:val="00A618FC"/>
    <w:rsid w:val="00A71EC6"/>
    <w:rsid w:val="00A82CD3"/>
    <w:rsid w:val="00A91FDE"/>
    <w:rsid w:val="00AC1A97"/>
    <w:rsid w:val="00B0378B"/>
    <w:rsid w:val="00B72F77"/>
    <w:rsid w:val="00BD29EC"/>
    <w:rsid w:val="00BE2C5D"/>
    <w:rsid w:val="00BE415C"/>
    <w:rsid w:val="00C47A4A"/>
    <w:rsid w:val="00C8596F"/>
    <w:rsid w:val="00C90708"/>
    <w:rsid w:val="00C95AB2"/>
    <w:rsid w:val="00CA1CB1"/>
    <w:rsid w:val="00CB1688"/>
    <w:rsid w:val="00CE4CA8"/>
    <w:rsid w:val="00D05466"/>
    <w:rsid w:val="00D2619D"/>
    <w:rsid w:val="00D82A7E"/>
    <w:rsid w:val="00DA19D7"/>
    <w:rsid w:val="00DC18AA"/>
    <w:rsid w:val="00DD2FEC"/>
    <w:rsid w:val="00E123F7"/>
    <w:rsid w:val="00E21B43"/>
    <w:rsid w:val="00E27922"/>
    <w:rsid w:val="00E33CA8"/>
    <w:rsid w:val="00E528D4"/>
    <w:rsid w:val="00E90BD4"/>
    <w:rsid w:val="00EA32FB"/>
    <w:rsid w:val="00EB362A"/>
    <w:rsid w:val="00EB389E"/>
    <w:rsid w:val="00EE0900"/>
    <w:rsid w:val="00F374BA"/>
    <w:rsid w:val="00F6371F"/>
    <w:rsid w:val="00F73DBC"/>
    <w:rsid w:val="00F84FF1"/>
    <w:rsid w:val="00F92D6F"/>
    <w:rsid w:val="00FB66D9"/>
    <w:rsid w:val="00FE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ecd.org/dac/stats/methodology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ecd.org/dac/stat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ecd.org/dac/stats/methodology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ecd.org/dac/financing-sustainable-development/development-finance-standards/dacandcrscodelist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ecd.org/dac/financing-sustainable-development/development-finance-standards/officialdevelopmentassistancedefinitionandcoverage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7142-B6C7-41C0-ABD5-18E0FB06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11</cp:revision>
  <dcterms:created xsi:type="dcterms:W3CDTF">2022-04-26T14:03:00Z</dcterms:created>
  <dcterms:modified xsi:type="dcterms:W3CDTF">2024-07-31T11:48:00Z</dcterms:modified>
</cp:coreProperties>
</file>