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FF7C02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2306F8">
        <w:rPr>
          <w:rFonts w:eastAsia="Arial Unicode MS" w:cs="Times New Roman"/>
          <w:szCs w:val="24"/>
          <w:bdr w:val="nil"/>
          <w:lang w:eastAsia="ru-RU"/>
        </w:rPr>
        <w:t>9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682107" w:rsidRPr="00682107">
        <w:t>Создание стойкой инфраструктуры, содействие всеохватной и устойчивой индустриализации и инновациям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C515AF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4</w:t>
      </w:r>
      <w:r w:rsidR="00780F08" w:rsidRPr="003721B4">
        <w:t xml:space="preserve">.  </w:t>
      </w:r>
      <w:r w:rsidR="003721B4" w:rsidRPr="003721B4">
        <w:t>К 2030 году модернизировать инфраструктуру и переоборудовать промышленные предприятия, сделав их устойчивыми за счет повышения эффективности использования ресурсов и более широкого применения чистых и экологически безопасных технологий и промышленных процессов, с участием всех стран в соответствии с их индивидуальными возможностями.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C515AF"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 w:rsidR="00C515AF">
        <w:rPr>
          <w:rFonts w:cs="Times New Roman"/>
          <w:szCs w:val="24"/>
        </w:rPr>
        <w:t>4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3721B4" w:rsidRPr="003721B4">
        <w:rPr>
          <w:rFonts w:cs="Times New Roman"/>
          <w:szCs w:val="24"/>
        </w:rPr>
        <w:t>Выбросы CO</w:t>
      </w:r>
      <w:r w:rsidR="003721B4" w:rsidRPr="00AC7424">
        <w:rPr>
          <w:rFonts w:cs="Times New Roman"/>
          <w:szCs w:val="24"/>
          <w:vertAlign w:val="subscript"/>
        </w:rPr>
        <w:t>2</w:t>
      </w:r>
      <w:r w:rsidR="003721B4" w:rsidRPr="003721B4">
        <w:rPr>
          <w:rFonts w:cs="Times New Roman"/>
          <w:szCs w:val="24"/>
        </w:rPr>
        <w:t xml:space="preserve"> на единицу добавленной стоимости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721B4" w:rsidRDefault="00FF7C02" w:rsidP="004D6228">
      <w:pPr>
        <w:spacing w:after="0"/>
      </w:pPr>
      <w:r w:rsidRPr="00FF7C02">
        <w:t xml:space="preserve">EN_ATM_CO2 </w:t>
      </w:r>
      <w:r>
        <w:t xml:space="preserve">– </w:t>
      </w:r>
      <w:r w:rsidR="003721B4">
        <w:t xml:space="preserve">Выбросы углекислого газа </w:t>
      </w:r>
      <w:r w:rsidR="00131362">
        <w:t>от сжигания</w:t>
      </w:r>
      <w:r w:rsidR="003721B4">
        <w:t xml:space="preserve"> топлива (в миллионах тонн) </w:t>
      </w:r>
      <w:r w:rsidRPr="00FF7C02">
        <w:t>[9.4.1]</w:t>
      </w:r>
    </w:p>
    <w:p w:rsidR="003721B4" w:rsidRDefault="00FF7C02" w:rsidP="004D6228">
      <w:pPr>
        <w:spacing w:after="0"/>
      </w:pPr>
      <w:r w:rsidRPr="00FF7C02">
        <w:t>EN_ATM_CO2</w:t>
      </w:r>
      <w:r w:rsidR="003D6F28">
        <w:rPr>
          <w:lang w:val="en-US"/>
        </w:rPr>
        <w:t>GDP</w:t>
      </w:r>
      <w:r w:rsidRPr="00FF7C02">
        <w:t xml:space="preserve"> </w:t>
      </w:r>
      <w:r>
        <w:t xml:space="preserve">– </w:t>
      </w:r>
      <w:r w:rsidR="003721B4">
        <w:t>Выбросы углекислого газа на единицу ВВП по ППС (килограммы CO</w:t>
      </w:r>
      <w:r w:rsidR="003721B4" w:rsidRPr="00AC7424">
        <w:rPr>
          <w:vertAlign w:val="subscript"/>
        </w:rPr>
        <w:t>2</w:t>
      </w:r>
      <w:r w:rsidR="003721B4">
        <w:t xml:space="preserve"> в постоянных долларах США 2017 год</w:t>
      </w:r>
      <w:r w:rsidR="006C572E">
        <w:t>а</w:t>
      </w:r>
      <w:r w:rsidR="003721B4">
        <w:t xml:space="preserve">) </w:t>
      </w:r>
      <w:r w:rsidRPr="00FF7C02">
        <w:t>[9.4.1]</w:t>
      </w:r>
    </w:p>
    <w:p w:rsidR="003A325C" w:rsidRDefault="00FF7C02" w:rsidP="006C572E">
      <w:pPr>
        <w:spacing w:after="0"/>
      </w:pPr>
      <w:r w:rsidRPr="00FF7C02">
        <w:t xml:space="preserve">EN_ATM_CO2MVA </w:t>
      </w:r>
      <w:r>
        <w:t xml:space="preserve">– </w:t>
      </w:r>
      <w:r w:rsidR="006C572E">
        <w:t>Выбросы углекислого газа в обрабатывающей промышленности на единицу добавленной стоимости производства (килограммы CO</w:t>
      </w:r>
      <w:r w:rsidR="006C572E" w:rsidRPr="00AC7424">
        <w:rPr>
          <w:vertAlign w:val="subscript"/>
        </w:rPr>
        <w:t>2</w:t>
      </w:r>
      <w:r w:rsidR="006C572E">
        <w:t xml:space="preserve"> в постоянных долларах США 2015 года)</w:t>
      </w:r>
      <w:r>
        <w:t xml:space="preserve"> </w:t>
      </w:r>
      <w:r w:rsidRPr="00FF7C02">
        <w:t>[9.4.1]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004BE3" w:rsidRDefault="006C572E" w:rsidP="00004BE3">
      <w:pPr>
        <w:rPr>
          <w:b/>
        </w:rPr>
      </w:pPr>
      <w:r>
        <w:t>28.06</w:t>
      </w:r>
      <w:r w:rsidR="00FF7C02">
        <w:t>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AC7424" w:rsidRPr="00820ABF" w:rsidRDefault="00AC7424" w:rsidP="00820ABF">
      <w:pPr>
        <w:rPr>
          <w:shd w:val="clear" w:color="auto" w:fill="FFFFFF"/>
        </w:rPr>
      </w:pPr>
      <w:r>
        <w:t>Показатель</w:t>
      </w:r>
      <w:r w:rsidR="003721B4" w:rsidRPr="00AC7424">
        <w:t xml:space="preserve"> 7.2.1: </w:t>
      </w:r>
      <w:r w:rsidR="00820ABF" w:rsidRPr="00820ABF">
        <w:rPr>
          <w:shd w:val="clear" w:color="auto" w:fill="FFFFFF"/>
        </w:rPr>
        <w:t>Доля возо</w:t>
      </w:r>
      <w:r w:rsidR="00820ABF">
        <w:rPr>
          <w:shd w:val="clear" w:color="auto" w:fill="FFFFFF"/>
        </w:rPr>
        <w:t xml:space="preserve">бновляемых источников энергии в </w:t>
      </w:r>
      <w:r w:rsidR="00820ABF" w:rsidRPr="00820ABF">
        <w:rPr>
          <w:shd w:val="clear" w:color="auto" w:fill="FFFFFF"/>
        </w:rPr>
        <w:t>общем объеме конечного энергопотребления</w:t>
      </w:r>
    </w:p>
    <w:p w:rsidR="003721B4" w:rsidRPr="00AC7424" w:rsidRDefault="00AC7424" w:rsidP="00AC7424">
      <w:r>
        <w:t>Показатель</w:t>
      </w:r>
      <w:r w:rsidR="003721B4" w:rsidRPr="00AC7424">
        <w:t xml:space="preserve"> 7.3.1: </w:t>
      </w:r>
      <w:r>
        <w:rPr>
          <w:shd w:val="clear" w:color="auto" w:fill="FFFFFF"/>
        </w:rPr>
        <w:t>Энергоемкость, рассчитываемая как отношение расхода первичной энергии к ВВП</w:t>
      </w:r>
    </w:p>
    <w:p w:rsidR="003721B4" w:rsidRPr="00AC7424" w:rsidRDefault="00AC7424" w:rsidP="00AC7424">
      <w:r>
        <w:t>Показатель</w:t>
      </w:r>
      <w:r w:rsidRPr="00AC7424">
        <w:t xml:space="preserve"> 13.2.2</w:t>
      </w:r>
      <w:r w:rsidR="003721B4" w:rsidRPr="00AC7424">
        <w:t xml:space="preserve">: </w:t>
      </w:r>
      <w:r>
        <w:rPr>
          <w:shd w:val="clear" w:color="auto" w:fill="FFFFFF"/>
        </w:rPr>
        <w:t>Совокупный годовой объем выбросов парниковых газов</w:t>
      </w:r>
    </w:p>
    <w:p w:rsidR="00A91FDE" w:rsidRDefault="00E33CA8" w:rsidP="003721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AC7424" w:rsidRPr="00AC7424" w:rsidRDefault="00AC7424" w:rsidP="00AC7424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AC7424">
        <w:rPr>
          <w:bdr w:val="nil"/>
          <w:lang w:eastAsia="ru-RU"/>
        </w:rPr>
        <w:t xml:space="preserve">Международное энергетическое агентство (МЭА) </w:t>
      </w:r>
    </w:p>
    <w:p w:rsidR="00AC7424" w:rsidRDefault="00AC7424" w:rsidP="00AC7424">
      <w:pPr>
        <w:rPr>
          <w:b/>
          <w:bdr w:val="nil"/>
          <w:lang w:eastAsia="ru-RU"/>
        </w:rPr>
      </w:pPr>
      <w:r w:rsidRPr="00AC7424">
        <w:rPr>
          <w:bdr w:val="nil"/>
          <w:lang w:eastAsia="ru-RU"/>
        </w:rPr>
        <w:t>Организация Объединенных Наций по промышленному развитию (ЮНИДО)</w:t>
      </w:r>
      <w:r w:rsidRPr="00AC7424">
        <w:rPr>
          <w:b/>
          <w:bdr w:val="nil"/>
          <w:lang w:eastAsia="ru-RU"/>
        </w:rPr>
        <w:t xml:space="preserve"> </w:t>
      </w:r>
    </w:p>
    <w:p w:rsidR="00957A62" w:rsidRPr="00BD29EC" w:rsidRDefault="00957A62" w:rsidP="00AC7424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AC7424" w:rsidRDefault="00957A62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AC7424">
        <w:rPr>
          <w:b/>
          <w:color w:val="auto"/>
          <w:sz w:val="24"/>
          <w:szCs w:val="24"/>
          <w:lang w:val="ru-RU"/>
        </w:rPr>
        <w:t>1.</w:t>
      </w:r>
      <w:r w:rsidRPr="00AC7424">
        <w:rPr>
          <w:b/>
          <w:color w:val="auto"/>
          <w:sz w:val="24"/>
          <w:szCs w:val="24"/>
        </w:rPr>
        <w:t>a</w:t>
      </w:r>
      <w:r w:rsidRPr="00AC7424">
        <w:rPr>
          <w:b/>
          <w:color w:val="auto"/>
          <w:sz w:val="24"/>
          <w:szCs w:val="24"/>
          <w:lang w:val="ru-RU"/>
        </w:rPr>
        <w:t>. Организация</w:t>
      </w:r>
    </w:p>
    <w:p w:rsidR="00AC7424" w:rsidRPr="00AC7424" w:rsidRDefault="00AC7424" w:rsidP="00AC7424">
      <w:pPr>
        <w:rPr>
          <w:bdr w:val="nil"/>
          <w:lang w:eastAsia="ru-RU"/>
        </w:rPr>
      </w:pPr>
      <w:r w:rsidRPr="00AC7424">
        <w:rPr>
          <w:bdr w:val="nil"/>
          <w:lang w:eastAsia="ru-RU"/>
        </w:rPr>
        <w:t xml:space="preserve">Международное энергетическое агентство (МЭА) </w:t>
      </w:r>
    </w:p>
    <w:p w:rsidR="00AC7424" w:rsidRDefault="00AC7424" w:rsidP="00AC7424">
      <w:pPr>
        <w:rPr>
          <w:b/>
          <w:bdr w:val="nil"/>
          <w:lang w:eastAsia="ru-RU"/>
        </w:rPr>
      </w:pPr>
      <w:r w:rsidRPr="00AC7424">
        <w:rPr>
          <w:bdr w:val="nil"/>
          <w:lang w:eastAsia="ru-RU"/>
        </w:rPr>
        <w:t>Организация Объединенных Наций по промышленному развитию (ЮНИДО)</w:t>
      </w:r>
      <w:r w:rsidRPr="00AC7424">
        <w:rPr>
          <w:b/>
          <w:bdr w:val="nil"/>
          <w:lang w:eastAsia="ru-RU"/>
        </w:rPr>
        <w:t xml:space="preserve"> </w:t>
      </w:r>
    </w:p>
    <w:p w:rsidR="00957A62" w:rsidRPr="00BD29EC" w:rsidRDefault="00957A62" w:rsidP="00AC7424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FF7C02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FF7C02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AC7424" w:rsidRDefault="00AC7424" w:rsidP="00AC7424">
      <w:r w:rsidRPr="00AC7424">
        <w:t>Вы</w:t>
      </w:r>
      <w:r w:rsidR="005758B6">
        <w:t>бросы диоксида углерода (далее –</w:t>
      </w:r>
      <w:r w:rsidRPr="00AC7424">
        <w:t xml:space="preserve"> CO</w:t>
      </w:r>
      <w:r w:rsidRPr="00AC7424">
        <w:rPr>
          <w:vertAlign w:val="subscript"/>
        </w:rPr>
        <w:t>2</w:t>
      </w:r>
      <w:r w:rsidRPr="00AC7424">
        <w:t>) на единицу добавленной стоимости - это показатель, рассчитываемый как отношение между выбросами CO</w:t>
      </w:r>
      <w:r w:rsidRPr="00AC7424">
        <w:rPr>
          <w:vertAlign w:val="subscript"/>
        </w:rPr>
        <w:t>2</w:t>
      </w:r>
      <w:r w:rsidRPr="00AC7424">
        <w:t xml:space="preserve"> при сжигании топлива и добавленной стоимостью сопутствующей экономической деятельности. Показатель может быть рассчитан для всей экономики (общие выбросы CO</w:t>
      </w:r>
      <w:r w:rsidRPr="00F31037">
        <w:rPr>
          <w:vertAlign w:val="subscript"/>
        </w:rPr>
        <w:t>2</w:t>
      </w:r>
      <w:r w:rsidRPr="00AC7424">
        <w:t>/ВВП) или для конкретных секторов, в частности для производственного сектора (выбросы CO</w:t>
      </w:r>
      <w:r w:rsidRPr="00F31037">
        <w:rPr>
          <w:vertAlign w:val="subscript"/>
        </w:rPr>
        <w:t>2</w:t>
      </w:r>
      <w:r w:rsidRPr="00AC7424">
        <w:t xml:space="preserve"> в обрабатывающей промышленности на добавленную стоимость в обрабатывающей промышленности (MVA)).</w:t>
      </w:r>
    </w:p>
    <w:p w:rsidR="00DA19D7" w:rsidRPr="00FF7C02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FF7C02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FF7C02" w:rsidRPr="00FF7C02">
        <w:rPr>
          <w:b/>
          <w:color w:val="000000" w:themeColor="text1"/>
          <w:sz w:val="24"/>
          <w:szCs w:val="24"/>
          <w:lang w:val="ru-RU"/>
        </w:rPr>
        <w:t>:</w:t>
      </w:r>
    </w:p>
    <w:p w:rsidR="00F31037" w:rsidRDefault="00F31037" w:rsidP="00F31037">
      <w:r w:rsidRPr="00F31037">
        <w:t>Общие выбросы CO</w:t>
      </w:r>
      <w:r w:rsidRPr="00F31037">
        <w:rPr>
          <w:vertAlign w:val="subscript"/>
        </w:rPr>
        <w:t>2</w:t>
      </w:r>
      <w:r w:rsidRPr="00F31037">
        <w:t xml:space="preserve"> в экономике оцениваются на основе данных о потреблении энергии по всем секторам. Выбросы CO</w:t>
      </w:r>
      <w:r w:rsidRPr="00F31037">
        <w:rPr>
          <w:vertAlign w:val="subscript"/>
        </w:rPr>
        <w:t>2</w:t>
      </w:r>
      <w:r w:rsidRPr="00F31037">
        <w:t xml:space="preserve"> от производства основаны на данных об энергии, собранных по следующим подсекторам (энергия, используемая для транспорта промышленностью, здесь не включена, но указана в разделе транспорт):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Черная металлургия [Группа МСОК 241 и класс 2431];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Химическая и нефтехимическая промышленность [Разделы МСОК 20 и 21], за исключением нефтехимического сырья;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Основные отрасли цветной металлургии [Группа МСОК 242 и класс 2432];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Неметаллические минералы, такие как стекло, керамика, цемент и т.д. [Отдел МСОК 23];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Транспортное оборудование [Разделы 29 и 30 МСОК];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Машинное оборудование включает готовые металлические изделия, машины и оборудование, отличное от транспортного оборудования [Разделы МСОК с 25 по 28];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Продукты питания и табак [Разделы МСОК с 10 по 12];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Бумага, целлюлоза и полиграфия [Разделы 17 и 18 МСОК];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Древесина и изделия из древесины (кроме целлюлозы и бумаги) [Раздел МСОК 16];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Текстиль и кожа [Разделы МСОК с 13 по 15];</w:t>
      </w:r>
    </w:p>
    <w:p w:rsidR="00F31037" w:rsidRDefault="00F31037" w:rsidP="00FF7C02">
      <w:pPr>
        <w:pStyle w:val="ab"/>
        <w:numPr>
          <w:ilvl w:val="0"/>
          <w:numId w:val="5"/>
        </w:numPr>
      </w:pPr>
      <w:r>
        <w:t>Не указано (любая обрабатывающая промышленность, не включенная выше) [Разделы МСОК 22, 31 и 32].</w:t>
      </w:r>
    </w:p>
    <w:p w:rsidR="00F31037" w:rsidRDefault="00F31037" w:rsidP="00F31037">
      <w:r w:rsidRPr="00F31037">
        <w:t>Данные об энергетике собираются на страновом уровне на основе согласованных на международном уровне стандартов (Международные рекомендац</w:t>
      </w:r>
      <w:proofErr w:type="gramStart"/>
      <w:r w:rsidRPr="00F31037">
        <w:t>ии ОО</w:t>
      </w:r>
      <w:proofErr w:type="gramEnd"/>
      <w:r w:rsidRPr="00F31037">
        <w:t>Н по статистике энергетики (IRES)). Выбросы CO</w:t>
      </w:r>
      <w:r w:rsidRPr="00F31037">
        <w:rPr>
          <w:vertAlign w:val="subscript"/>
        </w:rPr>
        <w:t>2</w:t>
      </w:r>
      <w:r w:rsidRPr="00F31037">
        <w:t xml:space="preserve"> необходимо оценивать на основе энергетических данных и согласованных на международном уровне методологий (Руководящие принципы МГЭИК 2006 года для национальных кадастров парниковых газов).</w:t>
      </w:r>
    </w:p>
    <w:p w:rsidR="009F258D" w:rsidRDefault="009F258D" w:rsidP="00F31037">
      <w:r w:rsidRPr="009F258D">
        <w:t>МЭА собирает национальные энергетические данные в соответствии с согласованными международными определениями статистики энергетики и оценивает выбросы CO</w:t>
      </w:r>
      <w:r w:rsidRPr="009F258D">
        <w:rPr>
          <w:vertAlign w:val="subscript"/>
        </w:rPr>
        <w:t>2</w:t>
      </w:r>
      <w:r w:rsidRPr="009F258D">
        <w:t xml:space="preserve"> на основе методологии уровня 1 МГЭИК 2006 года </w:t>
      </w:r>
      <w:r w:rsidR="00A67383">
        <w:t>«</w:t>
      </w:r>
      <w:r w:rsidRPr="009F258D">
        <w:t>Руководящие принципы для национальных кадастров парниковых газов</w:t>
      </w:r>
      <w:r w:rsidR="00A67383">
        <w:t>»</w:t>
      </w:r>
      <w:r w:rsidRPr="009F258D">
        <w:t>, предоставляя сопоставимые на международном уровне данные о выбросах CO</w:t>
      </w:r>
      <w:r w:rsidRPr="009F258D">
        <w:rPr>
          <w:vertAlign w:val="subscript"/>
        </w:rPr>
        <w:t>2</w:t>
      </w:r>
      <w:r w:rsidRPr="009F258D">
        <w:t xml:space="preserve"> </w:t>
      </w:r>
      <w:proofErr w:type="gramStart"/>
      <w:r w:rsidRPr="009F258D">
        <w:t>для</w:t>
      </w:r>
      <w:proofErr w:type="gramEnd"/>
      <w:r w:rsidRPr="009F258D">
        <w:t xml:space="preserve"> более </w:t>
      </w:r>
      <w:proofErr w:type="gramStart"/>
      <w:r w:rsidRPr="009F258D">
        <w:t>чем</w:t>
      </w:r>
      <w:proofErr w:type="gramEnd"/>
      <w:r w:rsidRPr="009F258D">
        <w:t xml:space="preserve"> 150 стран и регионов.</w:t>
      </w:r>
    </w:p>
    <w:p w:rsidR="009F258D" w:rsidRDefault="009F258D" w:rsidP="00F31037">
      <w:r w:rsidRPr="009F258D">
        <w:lastRenderedPageBreak/>
        <w:t>Валовая добавленная стоимость измеряет вклад в экономику каждого отдельного производителя, отрасли или сектора в стране. Валовая добавленная стоимость, созданная любой единицей, занимающейся производственной деятельностью, может быть рассчитана как остаток от общего объема производства единиц за вычетом промежуточного потребления, товаров и услуг, израсходованных в процессе производства продукции, или как сумма факторных доходов, полученных в процессе производства (Система национальных счетов 2008). Обрабатывающая промы</w:t>
      </w:r>
      <w:r>
        <w:t xml:space="preserve">шленность относится к отраслям </w:t>
      </w:r>
      <w:r w:rsidRPr="009F258D">
        <w:t>се</w:t>
      </w:r>
      <w:r>
        <w:t>ктора C, определяемого</w:t>
      </w:r>
      <w:r w:rsidRPr="009F258D">
        <w:t xml:space="preserve"> Международной стандартной отраслевой классификацией всех видов экономической деятельности (МСОК), Пересмотр 4, или D, </w:t>
      </w:r>
      <w:proofErr w:type="gramStart"/>
      <w:r w:rsidRPr="009F258D">
        <w:t>определяемому</w:t>
      </w:r>
      <w:proofErr w:type="gramEnd"/>
      <w:r w:rsidRPr="009F258D">
        <w:t xml:space="preserve"> МСОК, Пересмотр 3.</w:t>
      </w:r>
    </w:p>
    <w:p w:rsidR="009F258D" w:rsidRPr="00DA19D7" w:rsidRDefault="009F258D" w:rsidP="00F31037">
      <w:r w:rsidRPr="009F258D">
        <w:t>ВВП представляет собой сумму валовой добавленной стоимости от всех институциональных единиц в экономике. В целях обеспечения сопоставимости во времени и между странами для расчета общей интенсивности выбросов CO</w:t>
      </w:r>
      <w:r w:rsidRPr="009F258D">
        <w:rPr>
          <w:vertAlign w:val="subscript"/>
        </w:rPr>
        <w:t>2</w:t>
      </w:r>
      <w:r w:rsidRPr="009F258D">
        <w:t xml:space="preserve"> в экономике используется ВВП, основанный на паритете покупательной способности (ППС). MVA оценивается в постоянных ценах в долларах США. Текущие серии приведены в постоянных ценах 2015 года.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9F258D" w:rsidRPr="009F258D" w:rsidRDefault="009F258D" w:rsidP="005758B6">
      <w:pPr>
        <w:pStyle w:val="ab"/>
        <w:numPr>
          <w:ilvl w:val="0"/>
          <w:numId w:val="7"/>
        </w:numPr>
        <w:ind w:left="426" w:hanging="426"/>
      </w:pPr>
      <w:r w:rsidRPr="009F258D">
        <w:t>Выбросы CO</w:t>
      </w:r>
      <w:r w:rsidRPr="005758B6">
        <w:rPr>
          <w:vertAlign w:val="subscript"/>
        </w:rPr>
        <w:t>2</w:t>
      </w:r>
      <w:r w:rsidRPr="009F258D">
        <w:t xml:space="preserve"> при сжигании топлива: миллионы тонн</w:t>
      </w:r>
    </w:p>
    <w:p w:rsidR="009F258D" w:rsidRDefault="009F258D" w:rsidP="005758B6">
      <w:pPr>
        <w:pStyle w:val="ab"/>
        <w:numPr>
          <w:ilvl w:val="0"/>
          <w:numId w:val="7"/>
        </w:numPr>
        <w:ind w:left="426" w:hanging="426"/>
      </w:pPr>
      <w:r w:rsidRPr="009F258D">
        <w:t>Выбросы CO</w:t>
      </w:r>
      <w:r w:rsidRPr="005758B6">
        <w:rPr>
          <w:vertAlign w:val="subscript"/>
        </w:rPr>
        <w:t>2</w:t>
      </w:r>
      <w:r w:rsidRPr="009F258D">
        <w:t xml:space="preserve"> на единицу ВВП по ППС: килограммы CO</w:t>
      </w:r>
      <w:r w:rsidRPr="005758B6">
        <w:rPr>
          <w:vertAlign w:val="subscript"/>
        </w:rPr>
        <w:t>2</w:t>
      </w:r>
      <w:r>
        <w:t xml:space="preserve"> на единицу ВВП по ППС 2017 г</w:t>
      </w:r>
      <w:r w:rsidRPr="009F258D">
        <w:t>од</w:t>
      </w:r>
      <w:r>
        <w:t>а</w:t>
      </w:r>
      <w:r w:rsidRPr="009F258D">
        <w:t xml:space="preserve"> </w:t>
      </w:r>
    </w:p>
    <w:p w:rsidR="00407E4E" w:rsidRPr="00BD29EC" w:rsidRDefault="009F258D" w:rsidP="005758B6">
      <w:pPr>
        <w:pStyle w:val="ab"/>
        <w:numPr>
          <w:ilvl w:val="0"/>
          <w:numId w:val="7"/>
        </w:numPr>
        <w:ind w:left="426" w:hanging="426"/>
      </w:pPr>
      <w:r w:rsidRPr="009F258D">
        <w:t xml:space="preserve">Выбросы CO2 в обрабатывающей промышленности на единицу </w:t>
      </w:r>
      <w:r>
        <w:t>MVA</w:t>
      </w:r>
      <w:r w:rsidRPr="009F258D">
        <w:t>: килограммы CO2 на постоя</w:t>
      </w:r>
      <w:r>
        <w:t xml:space="preserve">нную величину в долларах США </w:t>
      </w:r>
      <w:r w:rsidRPr="009F258D">
        <w:t>2015 год</w:t>
      </w:r>
      <w:r>
        <w:t>а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9F258D" w:rsidRPr="009F258D" w:rsidRDefault="00C833DA" w:rsidP="009F258D">
      <w:hyperlink r:id="rId9" w:history="1">
        <w:r w:rsidR="009F258D" w:rsidRPr="009F258D">
          <w:rPr>
            <w:rStyle w:val="ac"/>
          </w:rPr>
          <w:t>Международные рекомендац</w:t>
        </w:r>
        <w:proofErr w:type="gramStart"/>
        <w:r w:rsidR="009F258D" w:rsidRPr="009F258D">
          <w:rPr>
            <w:rStyle w:val="ac"/>
          </w:rPr>
          <w:t>ии ОО</w:t>
        </w:r>
        <w:proofErr w:type="gramEnd"/>
        <w:r w:rsidR="009F258D" w:rsidRPr="009F258D">
          <w:rPr>
            <w:rStyle w:val="ac"/>
          </w:rPr>
          <w:t>Н по статистике энергетики (IRES)</w:t>
        </w:r>
      </w:hyperlink>
    </w:p>
    <w:p w:rsidR="009F258D" w:rsidRPr="009F258D" w:rsidRDefault="00C833DA" w:rsidP="009F258D">
      <w:hyperlink r:id="rId10" w:history="1">
        <w:r w:rsidR="009F258D" w:rsidRPr="009F258D">
          <w:rPr>
            <w:rStyle w:val="ac"/>
          </w:rPr>
          <w:t>Руководящие принципы МГЭИК 2006 года для национальных кадастров парниковых газов</w:t>
        </w:r>
      </w:hyperlink>
    </w:p>
    <w:p w:rsidR="009F258D" w:rsidRPr="009F258D" w:rsidRDefault="00C833DA" w:rsidP="009F258D">
      <w:hyperlink r:id="rId11" w:history="1">
        <w:r w:rsidR="009F258D" w:rsidRPr="009F258D">
          <w:rPr>
            <w:rStyle w:val="ac"/>
          </w:rPr>
          <w:t>Международная стандартная отраслевая классификация всех видов экономической деятельности (МСОК) Пересмотр 4</w:t>
        </w:r>
      </w:hyperlink>
    </w:p>
    <w:p w:rsidR="000A229E" w:rsidRPr="00BD29EC" w:rsidRDefault="00C833DA" w:rsidP="009F258D">
      <w:hyperlink r:id="rId12" w:history="1">
        <w:r w:rsidR="009F258D" w:rsidRPr="009F258D">
          <w:rPr>
            <w:rStyle w:val="ac"/>
          </w:rPr>
          <w:t>Международная стандартная отраслевая классификация всех видов экономической деятельности (МСОК) Пересмотр 3</w:t>
        </w:r>
      </w:hyperlink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9F258D" w:rsidRPr="009F258D" w:rsidRDefault="009F258D" w:rsidP="009F258D">
      <w:r w:rsidRPr="009F258D">
        <w:t>Данные об общих выбросах CO</w:t>
      </w:r>
      <w:r w:rsidRPr="009F258D">
        <w:rPr>
          <w:vertAlign w:val="subscript"/>
        </w:rPr>
        <w:t>2</w:t>
      </w:r>
      <w:r w:rsidRPr="009F258D">
        <w:t xml:space="preserve"> при сжигании топлива, также в разбивке по секторам, взяты из базы данных Международного энергетического агентства (МЭА) о выбросах парниковых газов из энергетической базы данных, доступной по адресу: (</w:t>
      </w:r>
      <w:hyperlink r:id="rId13" w:history="1">
        <w:r w:rsidRPr="004F74A4">
          <w:rPr>
            <w:rStyle w:val="ac"/>
          </w:rPr>
          <w:t>https://www.iea.org/data-and-statistics/data-product/greenhouse-gas-emissions-from-en</w:t>
        </w:r>
        <w:r w:rsidR="004F74A4" w:rsidRPr="004F74A4">
          <w:rPr>
            <w:rStyle w:val="ac"/>
          </w:rPr>
          <w:t>ergy</w:t>
        </w:r>
      </w:hyperlink>
      <w:r w:rsidRPr="009F258D">
        <w:t>).</w:t>
      </w:r>
    </w:p>
    <w:p w:rsidR="004F74A4" w:rsidRDefault="009F258D" w:rsidP="009F258D">
      <w:r w:rsidRPr="009F258D">
        <w:lastRenderedPageBreak/>
        <w:t>МЭА составляет показатель общих выбросов CO</w:t>
      </w:r>
      <w:r w:rsidRPr="004F74A4">
        <w:rPr>
          <w:vertAlign w:val="subscript"/>
        </w:rPr>
        <w:t>2</w:t>
      </w:r>
      <w:r w:rsidRPr="009F258D">
        <w:t xml:space="preserve">/ВВП на основе вторичных источников ВВП (показатели развития Всемирного банка и Национальные счета – Анализ основных агрегированных показателей (AMA)). </w:t>
      </w:r>
    </w:p>
    <w:p w:rsidR="009F258D" w:rsidRDefault="009F258D" w:rsidP="009F258D">
      <w:r w:rsidRPr="009F258D">
        <w:t>ЮНИДО ведет базу данных MVA. Обновленные данные получены из оценок национальных счетов, подготовленных Статистическим отделом ООН (СОООН), и из национальных публикаций.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4F74A4" w:rsidRDefault="004F74A4" w:rsidP="004F74A4">
      <w:r w:rsidRPr="004F74A4">
        <w:t>МЭА собирает энергетические данные на национальном уровне в соответствии с согласованными международными определениями и вопросниками, как описано в Международных рекомендациях ООН по статистике энергетики, доступных по адресу:</w:t>
      </w:r>
      <w:r>
        <w:t xml:space="preserve"> </w:t>
      </w:r>
      <w:r w:rsidRPr="004F74A4">
        <w:t>(</w:t>
      </w:r>
      <w:hyperlink r:id="rId14" w:history="1">
        <w:r>
          <w:rPr>
            <w:rStyle w:val="ac"/>
          </w:rPr>
          <w:t>https://unstats.un.org/unsd/energystats/methodology/ires/</w:t>
        </w:r>
      </w:hyperlink>
      <w:r w:rsidRPr="004F74A4">
        <w:t>).</w:t>
      </w:r>
    </w:p>
    <w:p w:rsidR="004F74A4" w:rsidRDefault="004F74A4" w:rsidP="004F74A4">
      <w:r>
        <w:t>Оценки выбросов CO</w:t>
      </w:r>
      <w:r w:rsidRPr="004F74A4">
        <w:rPr>
          <w:vertAlign w:val="subscript"/>
        </w:rPr>
        <w:t>2</w:t>
      </w:r>
      <w:r>
        <w:t xml:space="preserve"> при сжигании топлива рассчитываются МЭА на основе энергетических данных МЭА и стандартных методов и коэффициентов выбросов из Руководящих принципов МГЭИК 2006 года для национальных кадастров парниковых газов, доступных по адресу: (</w:t>
      </w:r>
      <w:hyperlink r:id="rId15" w:history="1">
        <w:r>
          <w:rPr>
            <w:rStyle w:val="ac"/>
          </w:rPr>
          <w:t>http://www.ipcc-nggip.iges.or.jp/public/2006gl/</w:t>
        </w:r>
      </w:hyperlink>
      <w:r>
        <w:t xml:space="preserve">). Более подробная информация о методологиях МЭА доступна по адресу: </w:t>
      </w:r>
      <w:hyperlink r:id="rId16" w:history="1">
        <w:r w:rsidRPr="004F74A4">
          <w:rPr>
            <w:rStyle w:val="ac"/>
          </w:rPr>
          <w:t>https://iea.blob.core.windows.net/assets/d755e4d6-9572-4549-9421-7d2bc377cd2f/WORLD_GHG_Documentation.pdf</w:t>
        </w:r>
      </w:hyperlink>
    </w:p>
    <w:p w:rsidR="004F74A4" w:rsidRDefault="004F74A4" w:rsidP="004F74A4">
      <w:r>
        <w:t>Самые последние оценки ВВП, опубликованные Всемирным банком (базовый год – 2017), были использованы при расчете выбросов CO</w:t>
      </w:r>
      <w:r w:rsidRPr="004F74A4">
        <w:rPr>
          <w:vertAlign w:val="subscript"/>
        </w:rPr>
        <w:t>2</w:t>
      </w:r>
      <w:r>
        <w:t xml:space="preserve"> на единицу показателя ВВП. Кроме того, недостающие годы для стран, по крайней мере, с одним показателем ВВП, представленным Всемирным банком, были оценены с использованием Национальных счетов – Анализа темпов роста основных агрегированных показателей (AMA).</w:t>
      </w:r>
    </w:p>
    <w:p w:rsidR="004F74A4" w:rsidRDefault="004F74A4" w:rsidP="004F74A4">
      <w:r>
        <w:t>Для расчета выбросов CO</w:t>
      </w:r>
      <w:r w:rsidRPr="004F74A4">
        <w:rPr>
          <w:vertAlign w:val="subscript"/>
        </w:rPr>
        <w:t>2</w:t>
      </w:r>
      <w:r>
        <w:t xml:space="preserve"> в обрабатывающей промышленности на единицу показателя MVA данные о MVA и ВВП по странам собираются с помощью вопросника по национальным счетам (NAQ), направленного СОООН. </w:t>
      </w:r>
    </w:p>
    <w:p w:rsidR="004F74A4" w:rsidRDefault="004F74A4" w:rsidP="004F74A4">
      <w:r>
        <w:t>Более подробная информация об этой методологии доступна по адресу:</w:t>
      </w:r>
    </w:p>
    <w:p w:rsidR="004F74A4" w:rsidRPr="004F74A4" w:rsidRDefault="00C833DA" w:rsidP="004F74A4">
      <w:hyperlink r:id="rId17" w:history="1">
        <w:r w:rsidR="004F74A4">
          <w:rPr>
            <w:rStyle w:val="ac"/>
          </w:rPr>
          <w:t>https://unstats.un.org/unsd/snaama/Index</w:t>
        </w:r>
      </w:hyperlink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4B6F98" w:rsidRPr="00BD29EC" w:rsidRDefault="004B6F98" w:rsidP="004B6F98">
      <w:r w:rsidRPr="004B6F98">
        <w:t>Сбор данных осуществляется путем получения данных в электронном виде в течение всего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605342" w:rsidRDefault="004B6F98" w:rsidP="004B6F98">
      <w:r w:rsidRPr="004B6F98">
        <w:t xml:space="preserve">Выбросы парниковых газов МЭА из статистики энергетики публикуются в апреле и августе с постепенным расширением географического охвата (публикуется полная информация за два календарных года до этого и избранная информация за один год до этого). </w:t>
      </w:r>
    </w:p>
    <w:p w:rsidR="004B6F98" w:rsidRPr="00BD29EC" w:rsidRDefault="009C6A53" w:rsidP="004B6F98">
      <w:r w:rsidRPr="009C6A53">
        <w:lastRenderedPageBreak/>
        <w:t>База данных национальных счетов ЮНИДО обновляется в марте каждого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605342" w:rsidRDefault="00605342" w:rsidP="00605342">
      <w:r w:rsidRPr="00605342">
        <w:t xml:space="preserve">Международное энергетическое агентство (МЭА), Статистический отдел Организации Объединенных Наций (СОООН), Организация Объединенных Наций по промышленному развитию (ЮНИДО) </w:t>
      </w:r>
    </w:p>
    <w:p w:rsidR="00A67383" w:rsidRPr="00A67383" w:rsidRDefault="00A67383" w:rsidP="00C833DA">
      <w:pPr>
        <w:spacing w:after="120"/>
        <w:rPr>
          <w:b/>
        </w:rPr>
      </w:pPr>
      <w:r w:rsidRPr="00A67383">
        <w:rPr>
          <w:b/>
        </w:rPr>
        <w:t>Описание:</w:t>
      </w:r>
    </w:p>
    <w:p w:rsidR="00605342" w:rsidRPr="00A71EC6" w:rsidRDefault="00605342" w:rsidP="00605342">
      <w:r w:rsidRPr="00605342">
        <w:t>Национальные статистические управления (НСУ) и национальные агентства по сбору энергетических данных предоставляют данные СОООН и МЭА.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605342" w:rsidRPr="00A67383" w:rsidRDefault="00605342" w:rsidP="00605342">
      <w:pPr>
        <w:rPr>
          <w:b/>
        </w:rPr>
      </w:pPr>
      <w:r w:rsidRPr="00A67383">
        <w:rPr>
          <w:b/>
        </w:rPr>
        <w:t xml:space="preserve">Наименование: </w:t>
      </w:r>
    </w:p>
    <w:p w:rsidR="00605342" w:rsidRPr="00605342" w:rsidRDefault="00605342" w:rsidP="00605342">
      <w:r w:rsidRPr="00605342">
        <w:t xml:space="preserve">Организация Объединенных Наций по промышленному развитию (ЮНИДО), Международное энергетическое агентство (МЭА) </w:t>
      </w:r>
    </w:p>
    <w:p w:rsidR="00605342" w:rsidRPr="00A67383" w:rsidRDefault="00605342" w:rsidP="00605342">
      <w:pPr>
        <w:rPr>
          <w:b/>
        </w:rPr>
      </w:pPr>
      <w:r w:rsidRPr="00A67383">
        <w:rPr>
          <w:b/>
        </w:rPr>
        <w:t xml:space="preserve">Описание: </w:t>
      </w:r>
    </w:p>
    <w:p w:rsidR="00605342" w:rsidRPr="00BD29EC" w:rsidRDefault="00605342" w:rsidP="00605342">
      <w:r w:rsidRPr="00605342">
        <w:t>МЭА предоставляет данные об общих выбросах CO</w:t>
      </w:r>
      <w:r w:rsidRPr="00605342">
        <w:rPr>
          <w:vertAlign w:val="subscript"/>
        </w:rPr>
        <w:t>2</w:t>
      </w:r>
      <w:r w:rsidRPr="00605342">
        <w:t>, выбросах CO</w:t>
      </w:r>
      <w:r w:rsidRPr="00605342">
        <w:rPr>
          <w:vertAlign w:val="subscript"/>
        </w:rPr>
        <w:t>2</w:t>
      </w:r>
      <w:r w:rsidRPr="00605342">
        <w:t>/ВВП по ППС и выбросах CO</w:t>
      </w:r>
      <w:r w:rsidRPr="00605342">
        <w:rPr>
          <w:vertAlign w:val="subscript"/>
        </w:rPr>
        <w:t>2</w:t>
      </w:r>
      <w:r w:rsidRPr="00605342">
        <w:t xml:space="preserve"> в обрабатывающей промышленности. ЮНИДО собирает данные, используя свой источник для получения данных MVA и МЭА для получения данных о выбросах CO</w:t>
      </w:r>
      <w:r w:rsidRPr="00605342">
        <w:rPr>
          <w:vertAlign w:val="subscript"/>
        </w:rPr>
        <w:t>2</w:t>
      </w:r>
      <w:r w:rsidRPr="00605342">
        <w:t>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605342" w:rsidRDefault="00605342" w:rsidP="00605342">
      <w:r w:rsidRPr="00605342">
        <w:t>МЭА как одно из агентств-</w:t>
      </w:r>
      <w:r>
        <w:t>кураторов</w:t>
      </w:r>
      <w:r w:rsidRPr="00605342">
        <w:t xml:space="preserve">, ответственных за мониторинг прогресса в достижении </w:t>
      </w:r>
      <w:r>
        <w:t>задачи</w:t>
      </w:r>
      <w:r w:rsidRPr="00605342">
        <w:t xml:space="preserve"> ЦУР 7.3, использует свои национальные усилия по сбору данных и повышает </w:t>
      </w:r>
      <w:r>
        <w:t xml:space="preserve">их </w:t>
      </w:r>
      <w:r w:rsidRPr="00605342">
        <w:t xml:space="preserve">ценность, продвигая согласованные стандарты, определения и </w:t>
      </w:r>
      <w:proofErr w:type="gramStart"/>
      <w:r w:rsidRPr="00605342">
        <w:t>методологии</w:t>
      </w:r>
      <w:proofErr w:type="gramEnd"/>
      <w:r w:rsidRPr="00605342">
        <w:t xml:space="preserve"> как для исходных данных, так и для производных показателей с конечной целью создания международных сопоставимых наборов данных. </w:t>
      </w:r>
    </w:p>
    <w:p w:rsidR="00980F79" w:rsidRDefault="00605342" w:rsidP="00605342">
      <w:r w:rsidRPr="00605342">
        <w:t>ЮНИДО, как специализированное учреждение ООН по промышленному развитию, имеет международный мандат на сбор, подготовку и распространение сопоставимой на международном уровне промышленной статистики. Мандат ЮНИДО охватывает (i) ведение и обновление международных баз данных промышленной статистики; (</w:t>
      </w:r>
      <w:proofErr w:type="spellStart"/>
      <w:r w:rsidRPr="00605342">
        <w:t>ii</w:t>
      </w:r>
      <w:proofErr w:type="spellEnd"/>
      <w:r w:rsidRPr="00605342">
        <w:t>) методологические и аналитические продукты, основанные на статистических исследованиях и опыте ведения сопоставимых на международном уровне статистических данных; (iii) вклад в разработку и внедрение международных статистических стандартов и методологии; и (</w:t>
      </w:r>
      <w:proofErr w:type="spellStart"/>
      <w:r w:rsidRPr="00605342">
        <w:t>iv</w:t>
      </w:r>
      <w:proofErr w:type="spellEnd"/>
      <w:r w:rsidRPr="00605342">
        <w:t xml:space="preserve">) услуги по техническому сотрудничеству для стран в области статистики промышленности. С преобразованием ЮНИДО в координационное учреждение по инклюзивному и устойчивому промышленному развитию (ISID) ее статистический мандат был расширен, чтобы охватить все аспекты промышленного развития, включая его </w:t>
      </w:r>
      <w:proofErr w:type="spellStart"/>
      <w:r w:rsidRPr="00605342">
        <w:t>инклюзивность</w:t>
      </w:r>
      <w:proofErr w:type="spellEnd"/>
      <w:r w:rsidRPr="00605342">
        <w:t xml:space="preserve"> и экологическую устойчивость.</w:t>
      </w:r>
    </w:p>
    <w:p w:rsidR="00C833DA" w:rsidRPr="00BD29EC" w:rsidRDefault="00C833DA" w:rsidP="00605342"/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605342" w:rsidRPr="00605342" w:rsidRDefault="00605342" w:rsidP="00605342">
      <w:r w:rsidRPr="00605342">
        <w:t>Показатель выбросов CO</w:t>
      </w:r>
      <w:r w:rsidRPr="00042404">
        <w:rPr>
          <w:vertAlign w:val="subscript"/>
        </w:rPr>
        <w:t>2</w:t>
      </w:r>
      <w:r w:rsidRPr="00605342">
        <w:t xml:space="preserve"> на единицу добавленной стоимости представляет собой количество выбросов от сжигания топлива, произведенных в результате экономической деятельности, на единицу экономической продукции. При расчете для всей экономики он объединяет эффекты средней углеродоемкости энергетического баланса (связанные с долями различных ископаемых видов топлива в общем объеме); структуры экономики (связанные с относительным весом более или менее энергоемких секторов); средней эффективности в использовании энергии. При расчете для производственного сектора (выбросы CO</w:t>
      </w:r>
      <w:r w:rsidRPr="00042404">
        <w:rPr>
          <w:vertAlign w:val="subscript"/>
        </w:rPr>
        <w:t>2</w:t>
      </w:r>
      <w:r w:rsidRPr="00605342">
        <w:t xml:space="preserve"> от сжигания топлива на единицу добавленной стоимости в обрабатывающей промышленности) он измеряет углеродоемкость производства в обрабатывающей промышленности, и его тенденции обусловлены изменениями средней углеродоемкости используемого энергетического баланса, структуры производственного сектора, энергоэффективности производства технологий в каждой подотрасли и экономической ценности различных видов продукции. Обрабатывающие производства, как правило, повышают интенсивность выбросов по мере того, как страны переходят к более высоким уровням индустриализации, но следует отметить, что интенсивность выбросов также может быть снижена за счет структурных изменений и диверсификации продукции в обрабатывающей промышленности. </w:t>
      </w:r>
    </w:p>
    <w:p w:rsidR="002E15F9" w:rsidRPr="00BD29EC" w:rsidRDefault="00605342" w:rsidP="00605342">
      <w:r w:rsidRPr="00605342">
        <w:t>На выбросы CO</w:t>
      </w:r>
      <w:r w:rsidRPr="00042404">
        <w:rPr>
          <w:vertAlign w:val="subscript"/>
        </w:rPr>
        <w:t>2</w:t>
      </w:r>
      <w:r w:rsidRPr="00605342">
        <w:t xml:space="preserve"> приходится около 80% всех выбросов парниковых газов в результате производственных процессов.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042404" w:rsidRPr="00BD29EC" w:rsidRDefault="00042404" w:rsidP="00042404">
      <w:r w:rsidRPr="00042404">
        <w:t>Оценка данных о выбросах CO</w:t>
      </w:r>
      <w:r w:rsidRPr="00042404">
        <w:rPr>
          <w:vertAlign w:val="subscript"/>
        </w:rPr>
        <w:t>2</w:t>
      </w:r>
      <w:r w:rsidRPr="00042404">
        <w:t xml:space="preserve"> во многих странах не систематизирована, хотя и проводится на международном уровне на основе согласованных энергетических данных, собранных на национальном уровне. Сбор энергетических данных, как правило, хорошо налажен, хотя в некоторых случаях национальные методологии могут отличаться от согласованных на международном уровне методологий. К национальным источникам данных относятся, в частности, статистические управления, министерства энергетики, агентства по охране окружающей среды. Данные о потреблении энергии и данные о добавленной стоимости поступают из разных источников данных, что может вызвать некоторые проблемы с согласованностью</w:t>
      </w:r>
      <w:r>
        <w:t xml:space="preserve"> данных</w:t>
      </w:r>
      <w:r w:rsidRPr="00042404"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042404" w:rsidRPr="00042404" w:rsidRDefault="00042404" w:rsidP="00042404">
      <w:r w:rsidRPr="00042404">
        <w:t>Выбросы CO</w:t>
      </w:r>
      <w:r w:rsidRPr="00042404">
        <w:rPr>
          <w:vertAlign w:val="subscript"/>
        </w:rPr>
        <w:t>2</w:t>
      </w:r>
      <w:r w:rsidRPr="00042404">
        <w:t xml:space="preserve"> при сжигании топлива оцениваются на основе потребления энергии и Руководящих принципов МГЭИК 2006 года по национальным кадастрам парниковых газов.</w:t>
      </w:r>
    </w:p>
    <w:p w:rsidR="00042404" w:rsidRPr="00042404" w:rsidRDefault="00042404" w:rsidP="00042404">
      <w:r w:rsidRPr="00042404">
        <w:t>Общая интенсивность экономики определяется как отношение общих выбросов CO</w:t>
      </w:r>
      <w:r w:rsidRPr="00042404">
        <w:rPr>
          <w:vertAlign w:val="subscript"/>
        </w:rPr>
        <w:t>2</w:t>
      </w:r>
      <w:r w:rsidRPr="00042404">
        <w:t xml:space="preserve"> при сжигании топлива к единице ВВП. Для целей международного сравнения ВВП измеряется в постоянном выражении по паритету покупательной способности, а показатель выражается в килограммах CO</w:t>
      </w:r>
      <w:r w:rsidRPr="00042404">
        <w:rPr>
          <w:vertAlign w:val="subscript"/>
        </w:rPr>
        <w:t>2</w:t>
      </w:r>
      <w:r w:rsidRPr="00042404">
        <w:t xml:space="preserve"> </w:t>
      </w:r>
      <w:r w:rsidR="00F71156" w:rsidRPr="00F71156">
        <w:t xml:space="preserve">в долларах США </w:t>
      </w:r>
      <w:proofErr w:type="gramStart"/>
      <w:r w:rsidR="00F71156" w:rsidRPr="00F71156">
        <w:t>по</w:t>
      </w:r>
      <w:proofErr w:type="gramEnd"/>
      <w:r w:rsidR="00F71156" w:rsidRPr="00F71156">
        <w:t xml:space="preserve"> постоянному ППС 2017 год</w:t>
      </w:r>
      <w:r w:rsidR="00F71156">
        <w:t xml:space="preserve">а </w:t>
      </w:r>
      <w:r w:rsidRPr="00042404">
        <w:t>для текущего ряда.</w:t>
      </w:r>
    </w:p>
    <w:p w:rsidR="00042404" w:rsidRDefault="00042404" w:rsidP="00042404">
      <w:r w:rsidRPr="00042404">
        <w:lastRenderedPageBreak/>
        <w:t>Отраслевая интенсивность определяется как выбросы CO2 от производства (в физических единицах измерения, таких как тонны), деленные на добавленную стоимость производства (</w:t>
      </w:r>
      <w:r w:rsidR="00F71156">
        <w:rPr>
          <w:sz w:val="21"/>
          <w:szCs w:val="21"/>
        </w:rPr>
        <w:t>MVA</w:t>
      </w:r>
      <w:r w:rsidRPr="00042404">
        <w:t>) в постоянных долларах США за 2015 год.</w:t>
      </w:r>
    </w:p>
    <w:p w:rsidR="00F71156" w:rsidRDefault="00F71156" w:rsidP="00042404">
      <m:oMathPara>
        <m:oMath>
          <m:r>
            <w:rPr>
              <w:rFonts w:ascii="Cambria Math" w:hAnsi="Cambria Math" w:cs="Cambria Math"/>
              <w:sz w:val="20"/>
            </w:rPr>
            <m:t>Выбросы CO</m:t>
          </m:r>
          <m:r>
            <w:rPr>
              <w:rFonts w:ascii="Cambria Math" w:hAnsi="Cambria Math" w:cs="Cambria Math"/>
              <w:sz w:val="20"/>
              <w:vertAlign w:val="subscript"/>
            </w:rPr>
            <m:t>2</m:t>
          </m:r>
          <m:r>
            <w:rPr>
              <w:rFonts w:ascii="Cambria Math" w:hAnsi="Cambria Math" w:cs="Cambria Math"/>
              <w:sz w:val="20"/>
            </w:rPr>
            <m:t xml:space="preserve"> на единицу добавленной стоимости</m:t>
          </m:r>
          <m:r>
            <m:rPr>
              <m:sty m:val="p"/>
            </m:rPr>
            <w:rPr>
              <w:rFonts w:ascii="Cambria Math" w:hAnsi="Cambria Math" w:cs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Выбросы CO2 от производства (в кг)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</w:rPr>
                <m:t>MVA (постоянный доллар США)</m:t>
              </m:r>
            </m:den>
          </m:f>
        </m:oMath>
      </m:oMathPara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794EF3" w:rsidRDefault="00794EF3" w:rsidP="00794EF3">
      <w:r w:rsidRPr="00794EF3">
        <w:t xml:space="preserve">МЭА имеет несколько внутренних процедур для проверки энергетических данных. Это включает в себя проверку энергетического баланса, анализ временных рядов и согласование различий в статистических классификациях и определениях. </w:t>
      </w:r>
    </w:p>
    <w:p w:rsidR="00794EF3" w:rsidRDefault="00794EF3" w:rsidP="00794EF3">
      <w:r w:rsidRPr="00794EF3">
        <w:t>ЮНИДО проводит со странами регулярные консультации в процессе сбора данных для обеспечения качества данных и международной сопоставимости.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794EF3" w:rsidRDefault="00794EF3" w:rsidP="00794EF3">
      <w:r w:rsidRPr="00794EF3">
        <w:t>Балансы товаров для конкретных стран, лежащие в основе оценок выбросов CO</w:t>
      </w:r>
      <w:r w:rsidRPr="00794EF3">
        <w:rPr>
          <w:vertAlign w:val="subscript"/>
        </w:rPr>
        <w:t>2</w:t>
      </w:r>
      <w:r w:rsidRPr="00794EF3">
        <w:t xml:space="preserve"> МЭА, основаны на национальных энергетических данных неоднородного характера, преобразованных и адаптированных в соответствии с форматом и методологией МЭА. Были предприняты значительные усилия для обеспечения соответствия данных определениям МЭА, основанным на руководящих принципах, предоставленных IRES. Тем не менее, статистика энергетики на национальном уровне часто собирается с использованием критериев и определений, которые иногда значительно отличаются от критериев и определений международных организаций. Это особенно верно для стран, не входящих в ОЭСР, которые представляют данные в МЭА на добровольной основе. МЭА выявило большинство этих различий и, по возможности, скорректировало данные в соответствии с международными определениями. Для получения подробной информации о выявленных аномалиях в конкретных странах и соответствующих корректировках, пожалуйста, обратитесь к примечаниям по конкретным странам, включенным в файл документации МЭА по мировым энергетическим балансам, доступный по адресу:</w:t>
      </w:r>
      <w:r>
        <w:t xml:space="preserve"> </w:t>
      </w:r>
      <w:hyperlink r:id="rId18" w:history="1">
        <w:r>
          <w:rPr>
            <w:rStyle w:val="ac"/>
          </w:rPr>
          <w:t>http://wds.iea.org/wds/pdf/WORLDBAL_Documentation.pdf</w:t>
        </w:r>
      </w:hyperlink>
    </w:p>
    <w:p w:rsidR="00794EF3" w:rsidRDefault="00794EF3" w:rsidP="00794EF3">
      <w:r w:rsidRPr="00794EF3">
        <w:t>ЮНИДО собирает данные MVA на основе базы данных основных агрегированных данных национальных счетов СОООН (NAMAS) и национальных публикаций. СОООН собирает данные национальных счетов путем регулярных консультаций со странами и регионами, направляя НС ООН для получения важной информации о различиях в концепции, сфере охвата, охвате и используемой классификации. Окончательные оценки приводятся для облегчения международной сопоставимости. Более подробная информация о методах оценки доступна здесь:</w:t>
      </w:r>
      <w:r>
        <w:t xml:space="preserve"> </w:t>
      </w:r>
      <w:hyperlink r:id="rId19" w:history="1">
        <w:r>
          <w:rPr>
            <w:rStyle w:val="ac"/>
          </w:rPr>
          <w:t>https://unstats.un.org/unsd/snaama/assets/pdf/methodology.pdf</w:t>
        </w:r>
      </w:hyperlink>
    </w:p>
    <w:p w:rsidR="00794EF3" w:rsidRDefault="00794EF3" w:rsidP="00794EF3">
      <w:r w:rsidRPr="00794EF3">
        <w:t>Данные MVA в настоящее время используются ЮНИДО для улучшения своевременного анализа тенденций в обрабатывающей промышленности.</w:t>
      </w:r>
    </w:p>
    <w:p w:rsidR="00C833DA" w:rsidRDefault="00C833DA" w:rsidP="00794EF3"/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A67383" w:rsidRDefault="00A67383" w:rsidP="00A67383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A67383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E15F9" w:rsidRPr="00BD29EC" w:rsidRDefault="00794EF3" w:rsidP="00794EF3">
      <w:r w:rsidRPr="00794EF3">
        <w:t>Обеспечение всех элементов энергетического баланса, лежащих в основе оценок выбросов CO</w:t>
      </w:r>
      <w:r w:rsidRPr="00794EF3">
        <w:rPr>
          <w:vertAlign w:val="subscript"/>
        </w:rPr>
        <w:t>2</w:t>
      </w:r>
      <w:r w:rsidRPr="00794EF3">
        <w:t xml:space="preserve"> МЭА, часто требовало проведения оценок. Оценки, как правило, делались после консультаций с национальными статистическими управлениями, энергетическими компаниями, коммунальными предприятиями и национальными экспертами в области энергетики.</w:t>
      </w:r>
    </w:p>
    <w:p w:rsidR="002E15F9" w:rsidRPr="00A67383" w:rsidRDefault="00694160" w:rsidP="00A67383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A67383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A67383" w:rsidRPr="00A67383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794EF3" w:rsidP="00B11ED5">
      <w:r w:rsidRPr="00794EF3">
        <w:t>При составлении энергетических балансов МЭА, которые являются основой для оценки выбросов CO2, и в дополнение к оценкам на страновом уровне иногда требуются корректировки, учитывающие различия в определениях наряду с оценками неофициальной и/или конфиденциальной торговли, производства или изменения запасов энергетических продуктов для завершения</w:t>
      </w:r>
      <w:r w:rsidR="001A6356">
        <w:t xml:space="preserve"> составления</w:t>
      </w:r>
      <w:r w:rsidRPr="00794EF3">
        <w:t xml:space="preserve"> основных агрегированных показателей, когда ключевые статистические данные </w:t>
      </w:r>
      <w:r w:rsidR="001A6356">
        <w:t>недоступны</w:t>
      </w:r>
      <w:r w:rsidRPr="00794EF3">
        <w:t>. Такие оценки и корректировки, осуществляемые МЭА, как правило, делались после консультаций с национальными статистическими управлениями, энергетическими компаниями, коммунальными предприятиями и национальными экспертами в области энергетики. Вменение не производится, если значения отсутствуют для всей страны или региона. Это можно спрогнозировать только на основе данных, представленных за предыдущие годы.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1A6356" w:rsidP="001A6356">
      <w:r w:rsidRPr="001A6356">
        <w:t>Региональные агрегированные показатели рассчитываются путем суммирования числителя и знаменателя по группе соответствующих стран.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1A6356" w:rsidRDefault="001A6356" w:rsidP="001A6356">
      <w:r w:rsidRPr="001A6356">
        <w:t>Важно, чтобы сбор энергетических данных и расчеты выбросов соответствовали международным стандартам. Выбросы CO</w:t>
      </w:r>
      <w:r w:rsidRPr="001A6356">
        <w:rPr>
          <w:vertAlign w:val="subscript"/>
        </w:rPr>
        <w:t>2</w:t>
      </w:r>
      <w:r w:rsidRPr="001A6356">
        <w:t xml:space="preserve"> необходимо оценивать на основе энергетических данных и согласованных на международном уровне методологий. Данные об энергетике собираются на страновом уровне на основе согласованных на международном уровне стандартов (Международные рекомендац</w:t>
      </w:r>
      <w:proofErr w:type="gramStart"/>
      <w:r w:rsidRPr="001A6356">
        <w:t>ии ОО</w:t>
      </w:r>
      <w:proofErr w:type="gramEnd"/>
      <w:r w:rsidRPr="001A6356">
        <w:t>Н по статистике энергетики (IRES)). МЭА собирает энергетические данные из стран в соответствии с согласованными на международном уровне определениями статистики энергетики и оценивает выбросы CO</w:t>
      </w:r>
      <w:r w:rsidRPr="001A6356">
        <w:rPr>
          <w:vertAlign w:val="subscript"/>
        </w:rPr>
        <w:t>2</w:t>
      </w:r>
      <w:r w:rsidRPr="001A6356">
        <w:t xml:space="preserve"> на основе Руководящих принципов МГЭИК 2006 года для национальных кадастров парниковых газов, предоставляя сопоставимые на международном уровне данные о выбросах CO</w:t>
      </w:r>
      <w:r w:rsidRPr="001A6356">
        <w:rPr>
          <w:vertAlign w:val="subscript"/>
        </w:rPr>
        <w:t>2</w:t>
      </w:r>
      <w:r w:rsidRPr="001A6356">
        <w:t xml:space="preserve"> </w:t>
      </w:r>
      <w:proofErr w:type="gramStart"/>
      <w:r w:rsidRPr="001A6356">
        <w:t>для</w:t>
      </w:r>
      <w:proofErr w:type="gramEnd"/>
      <w:r w:rsidRPr="001A6356">
        <w:t xml:space="preserve"> более </w:t>
      </w:r>
      <w:proofErr w:type="gramStart"/>
      <w:r w:rsidRPr="001A6356">
        <w:t>чем</w:t>
      </w:r>
      <w:proofErr w:type="gramEnd"/>
      <w:r w:rsidRPr="001A6356">
        <w:t xml:space="preserve"> 150 стран и регионов.</w:t>
      </w:r>
    </w:p>
    <w:p w:rsidR="001A6356" w:rsidRDefault="001A6356" w:rsidP="001A6356">
      <w:r w:rsidRPr="001A6356">
        <w:t xml:space="preserve">МЭА собирает данные об энергетике с помощью стандартизированных вопросников по конкретным видам топлива, которыми обмениваются страны - члены ОЭСР и </w:t>
      </w:r>
      <w:r>
        <w:t>другие</w:t>
      </w:r>
      <w:r w:rsidRPr="001A6356">
        <w:t xml:space="preserve"> </w:t>
      </w:r>
      <w:r>
        <w:t>выбранные</w:t>
      </w:r>
      <w:r w:rsidRPr="001A6356">
        <w:t xml:space="preserve"> страны. С этими вопросниками можно ознакомиться по адресу: </w:t>
      </w:r>
      <w:hyperlink r:id="rId20" w:history="1">
        <w:r>
          <w:rPr>
            <w:rStyle w:val="ac"/>
          </w:rPr>
          <w:t>https://www.iea.org/areas-of-work/data-and-statistics/questionnaires</w:t>
        </w:r>
      </w:hyperlink>
      <w:r w:rsidRPr="001A6356">
        <w:t xml:space="preserve"> . </w:t>
      </w:r>
    </w:p>
    <w:p w:rsidR="004D6A86" w:rsidRDefault="001A6356" w:rsidP="001A6356">
      <w:r w:rsidRPr="001A6356">
        <w:t xml:space="preserve">Энергетические балансы МЭА для всех других стран основаны на национальных энергетических данных разнородного характера, преобразованных и адаптированных в </w:t>
      </w:r>
      <w:r w:rsidRPr="001A6356">
        <w:lastRenderedPageBreak/>
        <w:t xml:space="preserve">соответствии с форматом и методологией МЭА, </w:t>
      </w:r>
      <w:proofErr w:type="gramStart"/>
      <w:r w:rsidRPr="001A6356">
        <w:t>основанными</w:t>
      </w:r>
      <w:proofErr w:type="gramEnd"/>
      <w:r w:rsidRPr="001A6356">
        <w:t xml:space="preserve"> на рекомендациях IRES. Более подробная информация о методах и источниках доступна по адресу: </w:t>
      </w:r>
      <w:hyperlink r:id="rId21" w:history="1">
        <w:r>
          <w:rPr>
            <w:rStyle w:val="ac"/>
          </w:rPr>
          <w:t>http://wds.iea.org/wds/pdf/WORLDBAL_Documentation.pdf</w:t>
        </w:r>
      </w:hyperlink>
      <w:r w:rsidRPr="001A6356">
        <w:t>. Что касается базовых энергетических данных, то</w:t>
      </w:r>
      <w:r w:rsidR="004D6A86">
        <w:t xml:space="preserve"> источником являются -</w:t>
      </w:r>
      <w:r w:rsidRPr="001A6356">
        <w:t xml:space="preserve"> Международные рекомендац</w:t>
      </w:r>
      <w:proofErr w:type="gramStart"/>
      <w:r w:rsidRPr="001A6356">
        <w:t>и</w:t>
      </w:r>
      <w:r w:rsidR="00C833DA">
        <w:t>и ОО</w:t>
      </w:r>
      <w:proofErr w:type="gramEnd"/>
      <w:r w:rsidR="00C833DA">
        <w:t>Н по статистике </w:t>
      </w:r>
      <w:r>
        <w:t>энергетики</w:t>
      </w:r>
      <w:r w:rsidR="00C833DA">
        <w:t>, </w:t>
      </w:r>
      <w:r w:rsidR="004D6A86">
        <w:t>доступные</w:t>
      </w:r>
      <w:r w:rsidR="00C833DA">
        <w:t> по </w:t>
      </w:r>
      <w:bookmarkStart w:id="5" w:name="_GoBack"/>
      <w:bookmarkEnd w:id="5"/>
      <w:r w:rsidRPr="001A6356">
        <w:t xml:space="preserve">адресу: </w:t>
      </w:r>
      <w:hyperlink r:id="rId22" w:history="1">
        <w:r w:rsidR="004D6A86">
          <w:rPr>
            <w:rStyle w:val="ac"/>
          </w:rPr>
          <w:t>http://wds.iea.org/wds/pdf/WORLDBAL_Documentation.pdf</w:t>
        </w:r>
      </w:hyperlink>
      <w:r w:rsidRPr="001A6356">
        <w:t xml:space="preserve">. </w:t>
      </w:r>
    </w:p>
    <w:p w:rsidR="001A6356" w:rsidRPr="00BD29EC" w:rsidRDefault="001A6356" w:rsidP="001A6356">
      <w:r w:rsidRPr="001A6356">
        <w:t>Для оценки выбросов CO</w:t>
      </w:r>
      <w:r w:rsidRPr="004D6A86">
        <w:rPr>
          <w:vertAlign w:val="subscript"/>
        </w:rPr>
        <w:t>2</w:t>
      </w:r>
      <w:r w:rsidRPr="001A6356">
        <w:t xml:space="preserve"> согласованной на международном уровне ссылкой являются Руководящие принципы МГЭИК 2006 года по национальным кадастрам парниковых газов, доступные по адресу: </w:t>
      </w:r>
      <w:hyperlink r:id="rId23" w:history="1">
        <w:r w:rsidR="0037221E">
          <w:rPr>
            <w:rStyle w:val="ac"/>
          </w:rPr>
          <w:t>https://www.ipcc-nggip.iges.or.jp/public/2006gl/index.html</w:t>
        </w:r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37221E" w:rsidRDefault="0037221E" w:rsidP="0037221E">
      <w:r w:rsidRPr="0037221E">
        <w:t xml:space="preserve">МЭА в сотрудничестве со Статистическим управлением Европейских сообществ (Евростат) опубликовало Руководство по статистике энергетики. Это Руководство помогает статистикам энергетики лучше разобраться в определениях, единицах измерения и методологиях. Кроме того, МЭА создало систему управления качеством, основанную на международно признанных руководящих принципах, рекомендованных IRES для обеспечения качества статистических продуктов. </w:t>
      </w:r>
    </w:p>
    <w:p w:rsidR="0037221E" w:rsidRPr="00BD29EC" w:rsidRDefault="0037221E" w:rsidP="0037221E">
      <w:r w:rsidRPr="0037221E">
        <w:t xml:space="preserve">Секция национальных счетов СОООН оказывает поддержку программе внедрения СНС путем разработки и обновления вспомогательных нормативных стандартов, учебных материалов и руководства по составлению для внедрения национальных счетов и поддержки экономической статистики и поддержания базы знаний по экономической статистике. Кроме того, СОООН оказывает основное обслуживание Комитету по взносам Пятого комитета Организации Объединенных Наций по техническим аспектам методологии </w:t>
      </w:r>
      <w:r w:rsidR="00A67383">
        <w:t>«</w:t>
      </w:r>
      <w:r w:rsidRPr="0037221E">
        <w:t>Элементы шкалы взносов</w:t>
      </w:r>
      <w:r w:rsidR="00A67383">
        <w:t>»</w:t>
      </w:r>
      <w:r w:rsidRPr="0037221E">
        <w:t xml:space="preserve"> для оценки взносов государств-членов в Организацию Объединенных Наций. ЮНИДО собирает и распространяет статистические данные по национальным счетам в консультации с СОООН.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2436C0" w:rsidRPr="002436C0" w:rsidRDefault="002436C0" w:rsidP="002436C0">
      <w:r w:rsidRPr="002436C0">
        <w:t>МЭА проводит тщательную проверку качества представленных данных по энергетике (над этим работают около 30 статистиков) и проводит консультации со странами по вопросам, связанным с данными, и способам их решения.</w:t>
      </w:r>
    </w:p>
    <w:p w:rsidR="00A67383" w:rsidRDefault="002436C0" w:rsidP="002436C0">
      <w:r w:rsidRPr="002436C0">
        <w:t>МЭА также работает в сотрудничестве с МГЭИК и РКИКООН, чтобы обеспечить максимальную согласованность между международными методологиями и методологиями, принятыми в МЭА; МЭА проверяет энергетические данные, представленные в РКИКООН странами в рамках их кадастров. МЭА организует международные семинары среди партнерских агентств, работающих над энергетическими данными, чтобы обеспечить постоянное повышение согласованности энергетических данных на глобальном уро</w:t>
      </w:r>
      <w:r w:rsidR="00A67383">
        <w:t>вне и гармонизацию методологий.</w:t>
      </w:r>
    </w:p>
    <w:p w:rsidR="002436C0" w:rsidRPr="00040034" w:rsidRDefault="00C833DA" w:rsidP="002436C0">
      <w:hyperlink r:id="rId24" w:history="1">
        <w:r w:rsidR="00A67383">
          <w:rPr>
            <w:rStyle w:val="ac"/>
          </w:rPr>
          <w:t>Система обеспечения качества ЮНИДО</w:t>
        </w:r>
      </w:hyperlink>
      <w:r w:rsidR="00A67383">
        <w:t xml:space="preserve"> </w:t>
      </w:r>
      <w:r w:rsidR="002436C0" w:rsidRPr="002436C0">
        <w:t xml:space="preserve">соблюдается для обеспечения актуальности статистической деятельности ЮНИДО, а собираемые и распространяемые данные являются точными, полными в рамках определенного объема и охвата, своевременными, </w:t>
      </w:r>
      <w:r w:rsidR="002436C0" w:rsidRPr="002436C0">
        <w:lastRenderedPageBreak/>
        <w:t xml:space="preserve">сопоставимыми с точки зрения рекомендуемых на международном уровне методов и стандартов классификации и внутренне согласованными с переменными, включенными в наборы данных. Хотя эти общепринятые, широкие аспекты качества статистических данных могут быть определены в собственной системе обеспечения качества каждого НСУ. ЮНИДО прилагает максимум усилий для того, чтобы данные, полученные в результате статистической деятельности, осуществляемой в рамках технического сотрудничества ЮНИДО, были точными, сопоставимыми </w:t>
      </w:r>
      <w:r w:rsidR="002436C0">
        <w:t xml:space="preserve">и согласованными </w:t>
      </w:r>
      <w:r w:rsidR="002436C0" w:rsidRPr="002436C0">
        <w:t>на международном уровне.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AE43B8" w:rsidRDefault="00AE43B8" w:rsidP="00AE43B8">
      <w:r w:rsidRPr="00AE43B8">
        <w:t xml:space="preserve">МЭА </w:t>
      </w:r>
      <w:r>
        <w:t>организует</w:t>
      </w:r>
      <w:r w:rsidRPr="00AE43B8">
        <w:t xml:space="preserve"> обширный процесс проверки качества данных посредством обмена данными с национальными поставщиками данных по всему миру. Он также созывает совещание своей Группы по разработке статистики энергетики для обсуждения со своими членами изменений в статистике энергетики и сотрудничает с партнерами по всему миру для обеспечения согласованности данных и методов. </w:t>
      </w:r>
    </w:p>
    <w:p w:rsidR="00AE43B8" w:rsidRPr="00BD29EC" w:rsidRDefault="00AE43B8" w:rsidP="00AE43B8">
      <w:r w:rsidRPr="00AE43B8">
        <w:t>Секция национальных счетов СОООН и ЮНИДО используют широкий спектр методов обеспечения качества данных и проводят консультации с национальными поставщиками для обеспечения соблюдения принципов качества, подкрепленных Основополагающими принципами официальной статистики.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</w:t>
      </w:r>
      <w:r w:rsidR="008B2B1C">
        <w:rPr>
          <w:b/>
          <w:color w:val="auto"/>
          <w:sz w:val="24"/>
          <w:szCs w:val="24"/>
          <w:lang w:val="ru-RU"/>
        </w:rPr>
        <w:t>гация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8B2B1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8B2B1C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B11ED5" w:rsidRPr="00BD29EC" w:rsidRDefault="00B11ED5" w:rsidP="00B11ED5">
      <w:r w:rsidRPr="00B11ED5">
        <w:t xml:space="preserve">Имеются данные </w:t>
      </w:r>
      <w:proofErr w:type="gramStart"/>
      <w:r w:rsidRPr="00B11ED5">
        <w:t>по</w:t>
      </w:r>
      <w:proofErr w:type="gramEnd"/>
      <w:r w:rsidRPr="00B11ED5">
        <w:t xml:space="preserve"> более </w:t>
      </w:r>
      <w:proofErr w:type="gramStart"/>
      <w:r w:rsidRPr="00B11ED5">
        <w:t>чем</w:t>
      </w:r>
      <w:proofErr w:type="gramEnd"/>
      <w:r w:rsidRPr="00B11ED5">
        <w:t xml:space="preserve"> 140 странам.</w:t>
      </w:r>
    </w:p>
    <w:p w:rsidR="0075371E" w:rsidRPr="008B2B1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8B2B1C">
        <w:rPr>
          <w:b/>
          <w:color w:val="auto"/>
          <w:sz w:val="24"/>
          <w:szCs w:val="24"/>
          <w:lang w:val="ru-RU"/>
        </w:rPr>
        <w:t>Временные ряды:</w:t>
      </w:r>
    </w:p>
    <w:p w:rsidR="00B11ED5" w:rsidRPr="00BD29EC" w:rsidRDefault="00B11ED5" w:rsidP="00B11ED5">
      <w:r w:rsidRPr="00B11ED5">
        <w:t>Данные по этому показателю имеются по состоянию на 2000 год в Глобальной базе данных ООН по ЦУР, но более длинные временные ряды доступны в базе данных МЭА (Выбросы парниковых газов МЭА от энергетики) и базе данных ЮНИДО MVA.</w:t>
      </w:r>
    </w:p>
    <w:p w:rsidR="0075371E" w:rsidRPr="008B2B1C" w:rsidRDefault="008B2B1C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8B2B1C">
        <w:rPr>
          <w:b/>
          <w:color w:val="auto"/>
          <w:sz w:val="24"/>
          <w:szCs w:val="24"/>
          <w:lang w:val="ru-RU"/>
        </w:rPr>
        <w:t>Дезагрегация:</w:t>
      </w:r>
    </w:p>
    <w:p w:rsidR="00B11ED5" w:rsidRPr="00BD29EC" w:rsidRDefault="00B11ED5" w:rsidP="00B11ED5">
      <w:r w:rsidRPr="00B11ED5">
        <w:t>Данные могут быть представлены для национальных итогов, для производственного сектора и по промышленным подсекторам.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B11ED5" w:rsidRDefault="00B11ED5" w:rsidP="00B11ED5">
      <w:pPr>
        <w:rPr>
          <w:lang w:eastAsia="en-GB"/>
        </w:rPr>
      </w:pPr>
      <w:r w:rsidRPr="00B11ED5">
        <w:rPr>
          <w:lang w:eastAsia="en-GB"/>
        </w:rPr>
        <w:t>Выбросы парниковых газов МЭА от энергетики, используемые для расчета этих показателей, представляют собой глобальную базу данных, полученную на основе согласованных определений и сопоставимых методологий в разных странах. Однако он не является официальным источником для национальных кадастров парниковых газов, представленных странами. Различия могут возникнуть из-за различных источников официальных энергетических данных, различий в базовых методологиях, корректировках и оценках. Более подробная информация об этих источниках различий доступна в файле документации базы данных МЭА, доступном по адресу:</w:t>
      </w:r>
    </w:p>
    <w:p w:rsidR="00B11ED5" w:rsidRDefault="00C833DA" w:rsidP="00B11ED5">
      <w:hyperlink r:id="rId25" w:history="1">
        <w:r w:rsidR="00B11ED5">
          <w:rPr>
            <w:rStyle w:val="ac"/>
          </w:rPr>
          <w:t>https://iea.blob.core.windows.net/assets/d755e4d6-9572-4549-9421-7d2bc377cd2f/WORLD_GHG_Documentation.pdf</w:t>
        </w:r>
      </w:hyperlink>
    </w:p>
    <w:p w:rsidR="00B11ED5" w:rsidRDefault="00B11ED5" w:rsidP="00B11ED5">
      <w:pPr>
        <w:rPr>
          <w:lang w:eastAsia="en-GB"/>
        </w:rPr>
      </w:pPr>
      <w:r w:rsidRPr="00B11ED5">
        <w:rPr>
          <w:lang w:eastAsia="en-GB"/>
        </w:rPr>
        <w:t>Кроме того, разница может возникнуть, если страна не представила данные о потреблении энергии в надлежащей разбивке по секторам или источникам энергии и/или из-за перевода данных о стоимости в доллары США.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B11ED5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B11ED5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B11ED5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8B2B1C" w:rsidRPr="008B2B1C" w:rsidRDefault="00B11ED5" w:rsidP="008B2B1C">
      <w:pPr>
        <w:spacing w:after="120"/>
        <w:rPr>
          <w:b/>
          <w:szCs w:val="24"/>
        </w:rPr>
      </w:pPr>
      <w:r w:rsidRPr="008B2B1C">
        <w:rPr>
          <w:b/>
          <w:szCs w:val="24"/>
          <w:lang w:val="en-US"/>
        </w:rPr>
        <w:t>URL</w:t>
      </w:r>
      <w:r w:rsidR="008B2B1C" w:rsidRPr="008B2B1C">
        <w:rPr>
          <w:b/>
          <w:szCs w:val="24"/>
        </w:rPr>
        <w:t>:</w:t>
      </w:r>
    </w:p>
    <w:p w:rsidR="008B2B1C" w:rsidRPr="008B2B1C" w:rsidRDefault="00C833DA" w:rsidP="008B2B1C">
      <w:pPr>
        <w:spacing w:after="120"/>
        <w:rPr>
          <w:szCs w:val="24"/>
        </w:rPr>
      </w:pPr>
      <w:hyperlink r:id="rId26" w:history="1">
        <w:proofErr w:type="spellStart"/>
        <w:proofErr w:type="gramStart"/>
        <w:r w:rsidR="008B2B1C" w:rsidRPr="008B2B1C">
          <w:rPr>
            <w:rStyle w:val="ac"/>
            <w:szCs w:val="24"/>
            <w:lang w:val="en-GB"/>
          </w:rPr>
          <w:t>iea</w:t>
        </w:r>
        <w:proofErr w:type="spellEnd"/>
        <w:r w:rsidR="008B2B1C" w:rsidRPr="00131362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org</w:t>
        </w:r>
        <w:r w:rsidR="008B2B1C" w:rsidRPr="00131362">
          <w:rPr>
            <w:rStyle w:val="ac"/>
            <w:szCs w:val="24"/>
          </w:rPr>
          <w:t>/</w:t>
        </w:r>
        <w:r w:rsidR="008B2B1C" w:rsidRPr="008B2B1C">
          <w:rPr>
            <w:rStyle w:val="ac"/>
            <w:szCs w:val="24"/>
            <w:lang w:val="en-GB"/>
          </w:rPr>
          <w:t>statistics</w:t>
        </w:r>
        <w:proofErr w:type="gramEnd"/>
        <w:r w:rsidR="008B2B1C" w:rsidRPr="00131362">
          <w:rPr>
            <w:rStyle w:val="ac"/>
            <w:szCs w:val="24"/>
          </w:rPr>
          <w:t xml:space="preserve"> </w:t>
        </w:r>
      </w:hyperlink>
    </w:p>
    <w:p w:rsidR="008B2B1C" w:rsidRPr="008B2B1C" w:rsidRDefault="00C833DA" w:rsidP="008B2B1C">
      <w:pPr>
        <w:spacing w:after="120"/>
        <w:rPr>
          <w:szCs w:val="24"/>
          <w:u w:val="single"/>
        </w:rPr>
      </w:pPr>
      <w:hyperlink r:id="rId27" w:history="1">
        <w:r w:rsidR="008B2B1C" w:rsidRPr="008B2B1C">
          <w:rPr>
            <w:rStyle w:val="ac"/>
            <w:szCs w:val="24"/>
            <w:lang w:val="en-GB"/>
          </w:rPr>
          <w:t>https</w:t>
        </w:r>
        <w:r w:rsidR="008B2B1C" w:rsidRPr="008B2B1C">
          <w:rPr>
            <w:rStyle w:val="ac"/>
            <w:szCs w:val="24"/>
          </w:rPr>
          <w:t>://</w:t>
        </w:r>
        <w:proofErr w:type="spellStart"/>
        <w:r w:rsidR="008B2B1C" w:rsidRPr="008B2B1C">
          <w:rPr>
            <w:rStyle w:val="ac"/>
            <w:szCs w:val="24"/>
            <w:lang w:val="en-GB"/>
          </w:rPr>
          <w:t>iea</w:t>
        </w:r>
        <w:proofErr w:type="spellEnd"/>
        <w:r w:rsidR="008B2B1C" w:rsidRPr="008B2B1C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blob</w:t>
        </w:r>
        <w:r w:rsidR="008B2B1C" w:rsidRPr="008B2B1C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core</w:t>
        </w:r>
        <w:r w:rsidR="008B2B1C" w:rsidRPr="008B2B1C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windows</w:t>
        </w:r>
        <w:r w:rsidR="008B2B1C" w:rsidRPr="008B2B1C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net</w:t>
        </w:r>
        <w:r w:rsidR="008B2B1C" w:rsidRPr="008B2B1C">
          <w:rPr>
            <w:rStyle w:val="ac"/>
            <w:szCs w:val="24"/>
          </w:rPr>
          <w:t>/</w:t>
        </w:r>
        <w:r w:rsidR="008B2B1C" w:rsidRPr="008B2B1C">
          <w:rPr>
            <w:rStyle w:val="ac"/>
            <w:szCs w:val="24"/>
            <w:lang w:val="en-GB"/>
          </w:rPr>
          <w:t>assets</w:t>
        </w:r>
        <w:r w:rsidR="008B2B1C" w:rsidRPr="008B2B1C">
          <w:rPr>
            <w:rStyle w:val="ac"/>
            <w:szCs w:val="24"/>
          </w:rPr>
          <w:t>/</w:t>
        </w:r>
        <w:r w:rsidR="008B2B1C" w:rsidRPr="008B2B1C">
          <w:rPr>
            <w:rStyle w:val="ac"/>
            <w:szCs w:val="24"/>
            <w:lang w:val="en-GB"/>
          </w:rPr>
          <w:t>d</w:t>
        </w:r>
        <w:r w:rsidR="008B2B1C" w:rsidRPr="008B2B1C">
          <w:rPr>
            <w:rStyle w:val="ac"/>
            <w:szCs w:val="24"/>
          </w:rPr>
          <w:t>755</w:t>
        </w:r>
        <w:r w:rsidR="008B2B1C" w:rsidRPr="008B2B1C">
          <w:rPr>
            <w:rStyle w:val="ac"/>
            <w:szCs w:val="24"/>
            <w:lang w:val="en-GB"/>
          </w:rPr>
          <w:t>e</w:t>
        </w:r>
        <w:r w:rsidR="008B2B1C" w:rsidRPr="008B2B1C">
          <w:rPr>
            <w:rStyle w:val="ac"/>
            <w:szCs w:val="24"/>
          </w:rPr>
          <w:t>4</w:t>
        </w:r>
        <w:r w:rsidR="008B2B1C" w:rsidRPr="008B2B1C">
          <w:rPr>
            <w:rStyle w:val="ac"/>
            <w:szCs w:val="24"/>
            <w:lang w:val="en-GB"/>
          </w:rPr>
          <w:t>d</w:t>
        </w:r>
        <w:r w:rsidR="008B2B1C" w:rsidRPr="008B2B1C">
          <w:rPr>
            <w:rStyle w:val="ac"/>
            <w:szCs w:val="24"/>
          </w:rPr>
          <w:t>6-9572-4549-9421-7</w:t>
        </w:r>
        <w:r w:rsidR="008B2B1C" w:rsidRPr="008B2B1C">
          <w:rPr>
            <w:rStyle w:val="ac"/>
            <w:szCs w:val="24"/>
            <w:lang w:val="en-GB"/>
          </w:rPr>
          <w:t>d</w:t>
        </w:r>
        <w:r w:rsidR="008B2B1C" w:rsidRPr="008B2B1C">
          <w:rPr>
            <w:rStyle w:val="ac"/>
            <w:szCs w:val="24"/>
          </w:rPr>
          <w:t>2</w:t>
        </w:r>
        <w:proofErr w:type="spellStart"/>
        <w:r w:rsidR="008B2B1C" w:rsidRPr="008B2B1C">
          <w:rPr>
            <w:rStyle w:val="ac"/>
            <w:szCs w:val="24"/>
            <w:lang w:val="en-GB"/>
          </w:rPr>
          <w:t>bc</w:t>
        </w:r>
        <w:proofErr w:type="spellEnd"/>
        <w:r w:rsidR="008B2B1C" w:rsidRPr="008B2B1C">
          <w:rPr>
            <w:rStyle w:val="ac"/>
            <w:szCs w:val="24"/>
          </w:rPr>
          <w:t>377</w:t>
        </w:r>
        <w:r w:rsidR="008B2B1C" w:rsidRPr="008B2B1C">
          <w:rPr>
            <w:rStyle w:val="ac"/>
            <w:szCs w:val="24"/>
            <w:lang w:val="en-GB"/>
          </w:rPr>
          <w:t>cd</w:t>
        </w:r>
        <w:r w:rsidR="008B2B1C" w:rsidRPr="008B2B1C">
          <w:rPr>
            <w:rStyle w:val="ac"/>
            <w:szCs w:val="24"/>
          </w:rPr>
          <w:t>2</w:t>
        </w:r>
        <w:r w:rsidR="008B2B1C" w:rsidRPr="008B2B1C">
          <w:rPr>
            <w:rStyle w:val="ac"/>
            <w:szCs w:val="24"/>
            <w:lang w:val="en-GB"/>
          </w:rPr>
          <w:t>f</w:t>
        </w:r>
        <w:r w:rsidR="008B2B1C" w:rsidRPr="008B2B1C">
          <w:rPr>
            <w:rStyle w:val="ac"/>
            <w:szCs w:val="24"/>
          </w:rPr>
          <w:t>/</w:t>
        </w:r>
        <w:r w:rsidR="008B2B1C" w:rsidRPr="008B2B1C">
          <w:rPr>
            <w:rStyle w:val="ac"/>
            <w:szCs w:val="24"/>
            <w:lang w:val="en-GB"/>
          </w:rPr>
          <w:t>WORLD</w:t>
        </w:r>
        <w:r w:rsidR="008B2B1C" w:rsidRPr="008B2B1C">
          <w:rPr>
            <w:rStyle w:val="ac"/>
            <w:szCs w:val="24"/>
          </w:rPr>
          <w:t>_</w:t>
        </w:r>
        <w:r w:rsidR="008B2B1C" w:rsidRPr="008B2B1C">
          <w:rPr>
            <w:rStyle w:val="ac"/>
            <w:szCs w:val="24"/>
            <w:lang w:val="en-GB"/>
          </w:rPr>
          <w:t>GHG</w:t>
        </w:r>
        <w:r w:rsidR="008B2B1C" w:rsidRPr="008B2B1C">
          <w:rPr>
            <w:rStyle w:val="ac"/>
            <w:szCs w:val="24"/>
          </w:rPr>
          <w:t>_</w:t>
        </w:r>
        <w:r w:rsidR="008B2B1C" w:rsidRPr="008B2B1C">
          <w:rPr>
            <w:rStyle w:val="ac"/>
            <w:szCs w:val="24"/>
            <w:lang w:val="en-GB"/>
          </w:rPr>
          <w:t>Documentation</w:t>
        </w:r>
        <w:r w:rsidR="008B2B1C" w:rsidRPr="008B2B1C">
          <w:rPr>
            <w:rStyle w:val="ac"/>
            <w:szCs w:val="24"/>
          </w:rPr>
          <w:t>.</w:t>
        </w:r>
        <w:r w:rsidR="008B2B1C" w:rsidRPr="008B2B1C">
          <w:rPr>
            <w:rStyle w:val="ac"/>
            <w:szCs w:val="24"/>
            <w:lang w:val="en-GB"/>
          </w:rPr>
          <w:t>pdf</w:t>
        </w:r>
      </w:hyperlink>
    </w:p>
    <w:p w:rsidR="008B2B1C" w:rsidRPr="008B2B1C" w:rsidRDefault="00C833DA" w:rsidP="008B2B1C">
      <w:pPr>
        <w:spacing w:after="120"/>
        <w:rPr>
          <w:szCs w:val="24"/>
          <w:lang w:val="en-GB"/>
        </w:rPr>
      </w:pPr>
      <w:hyperlink r:id="rId28" w:history="1">
        <w:proofErr w:type="gramStart"/>
        <w:r w:rsidR="008B2B1C" w:rsidRPr="008B2B1C">
          <w:rPr>
            <w:rStyle w:val="ac"/>
            <w:szCs w:val="24"/>
            <w:lang w:val="en-GB"/>
          </w:rPr>
          <w:t>unido.org/statistics</w:t>
        </w:r>
        <w:proofErr w:type="gramEnd"/>
      </w:hyperlink>
    </w:p>
    <w:p w:rsidR="008B2B1C" w:rsidRPr="008B2B1C" w:rsidRDefault="00C833DA" w:rsidP="008B2B1C">
      <w:pPr>
        <w:spacing w:after="120"/>
        <w:rPr>
          <w:szCs w:val="24"/>
          <w:lang w:val="en-GB"/>
        </w:rPr>
      </w:pPr>
      <w:hyperlink r:id="rId29" w:history="1">
        <w:r w:rsidR="008B2B1C" w:rsidRPr="008B2B1C">
          <w:rPr>
            <w:rStyle w:val="ac"/>
            <w:szCs w:val="24"/>
            <w:lang w:val="en-GB"/>
          </w:rPr>
          <w:t>unstats.un.org/</w:t>
        </w:r>
        <w:proofErr w:type="spellStart"/>
        <w:r w:rsidR="008B2B1C" w:rsidRPr="008B2B1C">
          <w:rPr>
            <w:rStyle w:val="ac"/>
            <w:szCs w:val="24"/>
            <w:lang w:val="en-GB"/>
          </w:rPr>
          <w:t>unsd</w:t>
        </w:r>
        <w:proofErr w:type="spellEnd"/>
        <w:r w:rsidR="008B2B1C" w:rsidRPr="008B2B1C">
          <w:rPr>
            <w:rStyle w:val="ac"/>
            <w:szCs w:val="24"/>
            <w:lang w:val="en-GB"/>
          </w:rPr>
          <w:t>/</w:t>
        </w:r>
        <w:proofErr w:type="spellStart"/>
        <w:r w:rsidR="008B2B1C" w:rsidRPr="008B2B1C">
          <w:rPr>
            <w:rStyle w:val="ac"/>
            <w:szCs w:val="24"/>
            <w:lang w:val="en-GB"/>
          </w:rPr>
          <w:t>snaama</w:t>
        </w:r>
        <w:proofErr w:type="spellEnd"/>
        <w:r w:rsidR="008B2B1C" w:rsidRPr="008B2B1C">
          <w:rPr>
            <w:rStyle w:val="ac"/>
            <w:szCs w:val="24"/>
            <w:lang w:val="en-GB"/>
          </w:rPr>
          <w:t>/methodology.pdf</w:t>
        </w:r>
      </w:hyperlink>
    </w:p>
    <w:p w:rsidR="00B11ED5" w:rsidRPr="008B2B1C" w:rsidRDefault="00B11ED5" w:rsidP="008B2B1C">
      <w:pPr>
        <w:spacing w:after="120"/>
        <w:rPr>
          <w:szCs w:val="24"/>
          <w:lang w:val="en-US"/>
        </w:rPr>
      </w:pPr>
    </w:p>
    <w:p w:rsidR="00B11ED5" w:rsidRPr="008B2B1C" w:rsidRDefault="00B11ED5" w:rsidP="008B2B1C">
      <w:pPr>
        <w:spacing w:after="0"/>
        <w:rPr>
          <w:b/>
        </w:rPr>
      </w:pPr>
      <w:r w:rsidRPr="008B2B1C">
        <w:rPr>
          <w:b/>
        </w:rPr>
        <w:t xml:space="preserve">Использованные документы: </w:t>
      </w:r>
    </w:p>
    <w:p w:rsidR="008B2B1C" w:rsidRDefault="008B2B1C" w:rsidP="008B2B1C">
      <w:pPr>
        <w:spacing w:after="0"/>
      </w:pPr>
      <w:proofErr w:type="spellStart"/>
      <w:r>
        <w:t>Боудт</w:t>
      </w:r>
      <w:proofErr w:type="spellEnd"/>
      <w:r>
        <w:t xml:space="preserve"> К., Тодоров В. и </w:t>
      </w:r>
      <w:proofErr w:type="spellStart"/>
      <w:r>
        <w:t>Упадхьяя</w:t>
      </w:r>
      <w:proofErr w:type="spellEnd"/>
      <w:r>
        <w:t xml:space="preserve"> С. (2009). Анализ добавленной стоимости производства для сравнения по странам. Статистический журнал IAOS, 26(1, 2), 15-20.</w:t>
      </w:r>
    </w:p>
    <w:p w:rsidR="008B2B1C" w:rsidRDefault="008B2B1C" w:rsidP="008B2B1C">
      <w:pPr>
        <w:spacing w:after="0"/>
      </w:pPr>
    </w:p>
    <w:p w:rsidR="008B2B1C" w:rsidRDefault="008B2B1C" w:rsidP="008B2B1C">
      <w:pPr>
        <w:spacing w:after="0"/>
      </w:pPr>
      <w:r>
        <w:t xml:space="preserve">Международный ежегодник промышленной статистики; ЮНИДО: </w:t>
      </w:r>
    </w:p>
    <w:p w:rsidR="008B2B1C" w:rsidRPr="00131362" w:rsidRDefault="00C833DA" w:rsidP="008B2B1C">
      <w:pPr>
        <w:spacing w:after="0"/>
      </w:pPr>
      <w:hyperlink r:id="rId30" w:history="1">
        <w:proofErr w:type="spellStart"/>
        <w:r w:rsidR="008B2B1C" w:rsidRPr="008B2B1C">
          <w:rPr>
            <w:rStyle w:val="ac"/>
            <w:lang w:val="en-GB"/>
          </w:rPr>
          <w:t>unido</w:t>
        </w:r>
        <w:proofErr w:type="spellEnd"/>
        <w:r w:rsidR="008B2B1C" w:rsidRPr="00131362">
          <w:rPr>
            <w:rStyle w:val="ac"/>
          </w:rPr>
          <w:t>.</w:t>
        </w:r>
        <w:r w:rsidR="008B2B1C" w:rsidRPr="008B2B1C">
          <w:rPr>
            <w:rStyle w:val="ac"/>
            <w:lang w:val="en-GB"/>
          </w:rPr>
          <w:t>org</w:t>
        </w:r>
        <w:r w:rsidR="008B2B1C" w:rsidRPr="00131362">
          <w:rPr>
            <w:rStyle w:val="ac"/>
          </w:rPr>
          <w:t>/</w:t>
        </w:r>
        <w:r w:rsidR="008B2B1C" w:rsidRPr="008B2B1C">
          <w:rPr>
            <w:rStyle w:val="ac"/>
            <w:lang w:val="en-GB"/>
          </w:rPr>
          <w:t>resources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publications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flagship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publications</w:t>
        </w:r>
        <w:r w:rsidR="008B2B1C" w:rsidRPr="00131362">
          <w:rPr>
            <w:rStyle w:val="ac"/>
          </w:rPr>
          <w:t>/</w:t>
        </w:r>
        <w:r w:rsidR="008B2B1C" w:rsidRPr="008B2B1C">
          <w:rPr>
            <w:rStyle w:val="ac"/>
            <w:lang w:val="en-GB"/>
          </w:rPr>
          <w:t>international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yearbook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industrial</w:t>
        </w:r>
        <w:r w:rsidR="008B2B1C" w:rsidRPr="00131362">
          <w:rPr>
            <w:rStyle w:val="ac"/>
          </w:rPr>
          <w:t>-</w:t>
        </w:r>
        <w:r w:rsidR="008B2B1C" w:rsidRPr="008B2B1C">
          <w:rPr>
            <w:rStyle w:val="ac"/>
            <w:lang w:val="en-GB"/>
          </w:rPr>
          <w:t>statistics</w:t>
        </w:r>
      </w:hyperlink>
    </w:p>
    <w:p w:rsidR="008B2B1C" w:rsidRPr="00131362" w:rsidRDefault="008B2B1C" w:rsidP="008B2B1C">
      <w:pPr>
        <w:spacing w:after="0"/>
      </w:pPr>
    </w:p>
    <w:p w:rsidR="008B2B1C" w:rsidRDefault="008B2B1C" w:rsidP="008B2B1C">
      <w:pPr>
        <w:spacing w:after="0"/>
      </w:pPr>
      <w:r>
        <w:t>МЭА, Выбросы парниковых газов в энергетике:</w:t>
      </w:r>
    </w:p>
    <w:p w:rsidR="008B2B1C" w:rsidRDefault="00C833DA" w:rsidP="008B2B1C">
      <w:pPr>
        <w:spacing w:after="0"/>
      </w:pPr>
      <w:hyperlink r:id="rId31" w:history="1">
        <w:r w:rsidR="008B2B1C" w:rsidRPr="000F687A">
          <w:rPr>
            <w:rStyle w:val="ac"/>
          </w:rPr>
          <w:t>https://www.iea.org/data-and-statistics/data-product/greenhouse-gas-emissions-from-energy</w:t>
        </w:r>
      </w:hyperlink>
      <w:r w:rsidR="008B2B1C">
        <w:t xml:space="preserve"> </w:t>
      </w:r>
    </w:p>
    <w:p w:rsidR="008B2B1C" w:rsidRDefault="008B2B1C" w:rsidP="008B2B1C">
      <w:pPr>
        <w:spacing w:after="0"/>
      </w:pPr>
    </w:p>
    <w:p w:rsidR="008B2B1C" w:rsidRDefault="008B2B1C" w:rsidP="008B2B1C">
      <w:pPr>
        <w:spacing w:after="0"/>
      </w:pPr>
      <w:r>
        <w:t>Система национальных счетов, 2008:</w:t>
      </w:r>
    </w:p>
    <w:p w:rsidR="001C7F89" w:rsidRPr="00131362" w:rsidRDefault="00C833DA" w:rsidP="001C7F89">
      <w:pPr>
        <w:spacing w:after="0"/>
        <w:rPr>
          <w:u w:val="single"/>
        </w:rPr>
      </w:pPr>
      <w:hyperlink r:id="rId32" w:history="1">
        <w:proofErr w:type="spellStart"/>
        <w:r w:rsidR="001C7F89" w:rsidRPr="001C7F89">
          <w:rPr>
            <w:rStyle w:val="ac"/>
            <w:lang w:val="en-GB"/>
          </w:rPr>
          <w:t>unstats</w:t>
        </w:r>
        <w:proofErr w:type="spellEnd"/>
        <w:r w:rsidR="001C7F89" w:rsidRPr="00131362">
          <w:rPr>
            <w:rStyle w:val="ac"/>
          </w:rPr>
          <w:t>.</w:t>
        </w:r>
        <w:r w:rsidR="001C7F89" w:rsidRPr="001C7F89">
          <w:rPr>
            <w:rStyle w:val="ac"/>
            <w:lang w:val="en-GB"/>
          </w:rPr>
          <w:t>un</w:t>
        </w:r>
        <w:r w:rsidR="001C7F89" w:rsidRPr="00131362">
          <w:rPr>
            <w:rStyle w:val="ac"/>
          </w:rPr>
          <w:t>.</w:t>
        </w:r>
        <w:r w:rsidR="001C7F89" w:rsidRPr="001C7F89">
          <w:rPr>
            <w:rStyle w:val="ac"/>
            <w:lang w:val="en-GB"/>
          </w:rPr>
          <w:t>org</w:t>
        </w:r>
        <w:r w:rsidR="001C7F89" w:rsidRPr="00131362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unsd</w:t>
        </w:r>
        <w:proofErr w:type="spellEnd"/>
        <w:r w:rsidR="001C7F89" w:rsidRPr="00131362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nationalaccount</w:t>
        </w:r>
        <w:proofErr w:type="spellEnd"/>
        <w:r w:rsidR="001C7F89" w:rsidRPr="00131362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sna</w:t>
        </w:r>
        <w:proofErr w:type="spellEnd"/>
        <w:r w:rsidR="001C7F89" w:rsidRPr="00131362">
          <w:rPr>
            <w:rStyle w:val="ac"/>
          </w:rPr>
          <w:t>2008.</w:t>
        </w:r>
        <w:r w:rsidR="001C7F89" w:rsidRPr="001C7F89">
          <w:rPr>
            <w:rStyle w:val="ac"/>
            <w:lang w:val="en-GB"/>
          </w:rPr>
          <w:t>asp</w:t>
        </w:r>
      </w:hyperlink>
    </w:p>
    <w:p w:rsidR="008B2B1C" w:rsidRPr="00131362" w:rsidRDefault="008B2B1C" w:rsidP="008B2B1C">
      <w:pPr>
        <w:spacing w:after="0"/>
      </w:pPr>
    </w:p>
    <w:p w:rsidR="008B2B1C" w:rsidRDefault="008B2B1C" w:rsidP="008B2B1C">
      <w:pPr>
        <w:spacing w:after="0"/>
      </w:pPr>
      <w:r>
        <w:t>Международный валютный фонд. Обзор мировой экономики (ПРМЭ):</w:t>
      </w:r>
    </w:p>
    <w:p w:rsidR="001C7F89" w:rsidRPr="001C7F89" w:rsidRDefault="00C833DA" w:rsidP="001C7F89">
      <w:pPr>
        <w:spacing w:after="0"/>
        <w:rPr>
          <w:lang w:val="en-GB"/>
        </w:rPr>
      </w:pPr>
      <w:hyperlink r:id="rId33" w:anchor="sort=%40imfdate%20descending" w:history="1">
        <w:r w:rsidR="001C7F89" w:rsidRPr="001C7F89">
          <w:rPr>
            <w:rStyle w:val="ac"/>
            <w:lang w:val="en-GB"/>
          </w:rPr>
          <w:t>World Economic Outlook Databases (imf.org)</w:t>
        </w:r>
      </w:hyperlink>
    </w:p>
    <w:p w:rsidR="008B2B1C" w:rsidRPr="001C7F89" w:rsidRDefault="008B2B1C" w:rsidP="008B2B1C">
      <w:pPr>
        <w:spacing w:after="0"/>
        <w:rPr>
          <w:lang w:val="en-GB"/>
        </w:rPr>
      </w:pPr>
    </w:p>
    <w:p w:rsidR="008B2B1C" w:rsidRPr="008B2B1C" w:rsidRDefault="008B2B1C" w:rsidP="008B2B1C">
      <w:pPr>
        <w:spacing w:after="0"/>
        <w:rPr>
          <w:lang w:val="en-US"/>
        </w:rPr>
      </w:pPr>
      <w:r>
        <w:t>Показатели</w:t>
      </w:r>
      <w:r w:rsidRPr="008B2B1C">
        <w:rPr>
          <w:lang w:val="en-US"/>
        </w:rPr>
        <w:t xml:space="preserve"> </w:t>
      </w:r>
      <w:r>
        <w:t>развития</w:t>
      </w:r>
      <w:r w:rsidRPr="008B2B1C">
        <w:rPr>
          <w:lang w:val="en-US"/>
        </w:rPr>
        <w:t xml:space="preserve"> </w:t>
      </w:r>
      <w:r>
        <w:t>Всемирного</w:t>
      </w:r>
      <w:r w:rsidRPr="008B2B1C">
        <w:rPr>
          <w:lang w:val="en-US"/>
        </w:rPr>
        <w:t xml:space="preserve"> </w:t>
      </w:r>
      <w:r>
        <w:t>банка</w:t>
      </w:r>
      <w:r w:rsidRPr="008B2B1C">
        <w:rPr>
          <w:lang w:val="en-US"/>
        </w:rPr>
        <w:t>:</w:t>
      </w:r>
    </w:p>
    <w:p w:rsidR="008B2B1C" w:rsidRPr="001C7F89" w:rsidRDefault="00C833DA" w:rsidP="008B2B1C">
      <w:pPr>
        <w:spacing w:after="0"/>
        <w:rPr>
          <w:u w:val="single"/>
          <w:lang w:val="en-US"/>
        </w:rPr>
      </w:pPr>
      <w:hyperlink r:id="rId34" w:history="1">
        <w:r w:rsidR="001C7F89" w:rsidRPr="001C7F89">
          <w:rPr>
            <w:rStyle w:val="ac"/>
            <w:lang w:val="en-GB"/>
          </w:rPr>
          <w:t>databank.worldbank.org/source/world-development-indicators</w:t>
        </w:r>
      </w:hyperlink>
    </w:p>
    <w:p w:rsidR="001C7F89" w:rsidRPr="001C7F89" w:rsidRDefault="001C7F89" w:rsidP="008B2B1C">
      <w:pPr>
        <w:spacing w:after="0"/>
        <w:rPr>
          <w:u w:val="single"/>
          <w:lang w:val="en-US"/>
        </w:rPr>
      </w:pPr>
    </w:p>
    <w:p w:rsidR="008B2B1C" w:rsidRDefault="008B2B1C" w:rsidP="008B2B1C">
      <w:pPr>
        <w:spacing w:after="0"/>
      </w:pPr>
      <w:r>
        <w:t>База данных CEPII – CHELEM:</w:t>
      </w:r>
    </w:p>
    <w:p w:rsidR="008B2B1C" w:rsidRDefault="00C833DA" w:rsidP="008B2B1C">
      <w:pPr>
        <w:spacing w:after="0"/>
      </w:pPr>
      <w:hyperlink r:id="rId35" w:history="1">
        <w:r w:rsidR="001C7F89" w:rsidRPr="001C7F89">
          <w:rPr>
            <w:rStyle w:val="ac"/>
            <w:lang w:val="en-GB"/>
          </w:rPr>
          <w:t>http</w:t>
        </w:r>
        <w:r w:rsidR="001C7F89" w:rsidRPr="001C7F89">
          <w:rPr>
            <w:rStyle w:val="ac"/>
          </w:rPr>
          <w:t>://</w:t>
        </w:r>
        <w:r w:rsidR="001C7F89" w:rsidRPr="001C7F89">
          <w:rPr>
            <w:rStyle w:val="ac"/>
            <w:lang w:val="en-GB"/>
          </w:rPr>
          <w:t>www</w:t>
        </w:r>
        <w:r w:rsidR="001C7F89" w:rsidRPr="001C7F89">
          <w:rPr>
            <w:rStyle w:val="ac"/>
          </w:rPr>
          <w:t>.</w:t>
        </w:r>
        <w:proofErr w:type="spellStart"/>
        <w:r w:rsidR="001C7F89" w:rsidRPr="001C7F89">
          <w:rPr>
            <w:rStyle w:val="ac"/>
            <w:lang w:val="en-GB"/>
          </w:rPr>
          <w:t>cepii</w:t>
        </w:r>
        <w:proofErr w:type="spellEnd"/>
        <w:r w:rsidR="001C7F89" w:rsidRPr="001C7F89">
          <w:rPr>
            <w:rStyle w:val="ac"/>
          </w:rPr>
          <w:t>.</w:t>
        </w:r>
        <w:proofErr w:type="spellStart"/>
        <w:r w:rsidR="001C7F89" w:rsidRPr="001C7F89">
          <w:rPr>
            <w:rStyle w:val="ac"/>
            <w:lang w:val="en-GB"/>
          </w:rPr>
          <w:t>fr</w:t>
        </w:r>
        <w:proofErr w:type="spellEnd"/>
        <w:r w:rsidR="001C7F89" w:rsidRPr="001C7F89">
          <w:rPr>
            <w:rStyle w:val="ac"/>
          </w:rPr>
          <w:t>/</w:t>
        </w:r>
        <w:r w:rsidR="001C7F89" w:rsidRPr="001C7F89">
          <w:rPr>
            <w:rStyle w:val="ac"/>
            <w:lang w:val="en-GB"/>
          </w:rPr>
          <w:t>CEPII</w:t>
        </w:r>
        <w:r w:rsidR="001C7F89" w:rsidRPr="001C7F89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en</w:t>
        </w:r>
        <w:proofErr w:type="spellEnd"/>
        <w:r w:rsidR="001C7F89" w:rsidRPr="001C7F89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bdd</w:t>
        </w:r>
        <w:proofErr w:type="spellEnd"/>
        <w:r w:rsidR="001C7F89" w:rsidRPr="001C7F89">
          <w:rPr>
            <w:rStyle w:val="ac"/>
          </w:rPr>
          <w:t>_</w:t>
        </w:r>
        <w:proofErr w:type="spellStart"/>
        <w:r w:rsidR="001C7F89" w:rsidRPr="001C7F89">
          <w:rPr>
            <w:rStyle w:val="ac"/>
            <w:lang w:val="en-GB"/>
          </w:rPr>
          <w:t>modele</w:t>
        </w:r>
        <w:proofErr w:type="spellEnd"/>
        <w:r w:rsidR="001C7F89" w:rsidRPr="001C7F89">
          <w:rPr>
            <w:rStyle w:val="ac"/>
          </w:rPr>
          <w:t>/</w:t>
        </w:r>
        <w:proofErr w:type="spellStart"/>
        <w:r w:rsidR="001C7F89" w:rsidRPr="001C7F89">
          <w:rPr>
            <w:rStyle w:val="ac"/>
            <w:lang w:val="en-GB"/>
          </w:rPr>
          <w:t>bdd</w:t>
        </w:r>
        <w:proofErr w:type="spellEnd"/>
        <w:r w:rsidR="001C7F89" w:rsidRPr="001C7F89">
          <w:rPr>
            <w:rStyle w:val="ac"/>
          </w:rPr>
          <w:t>_</w:t>
        </w:r>
        <w:proofErr w:type="spellStart"/>
        <w:r w:rsidR="001C7F89" w:rsidRPr="001C7F89">
          <w:rPr>
            <w:rStyle w:val="ac"/>
            <w:lang w:val="en-GB"/>
          </w:rPr>
          <w:t>modele</w:t>
        </w:r>
        <w:proofErr w:type="spellEnd"/>
        <w:r w:rsidR="001C7F89" w:rsidRPr="001C7F89">
          <w:rPr>
            <w:rStyle w:val="ac"/>
          </w:rPr>
          <w:t>_</w:t>
        </w:r>
        <w:r w:rsidR="001C7F89" w:rsidRPr="001C7F89">
          <w:rPr>
            <w:rStyle w:val="ac"/>
            <w:lang w:val="en-GB"/>
          </w:rPr>
          <w:t>item</w:t>
        </w:r>
        <w:r w:rsidR="001C7F89" w:rsidRPr="001C7F89">
          <w:rPr>
            <w:rStyle w:val="ac"/>
          </w:rPr>
          <w:t>.</w:t>
        </w:r>
        <w:r w:rsidR="001C7F89" w:rsidRPr="001C7F89">
          <w:rPr>
            <w:rStyle w:val="ac"/>
            <w:lang w:val="en-GB"/>
          </w:rPr>
          <w:t>asp</w:t>
        </w:r>
        <w:r w:rsidR="001C7F89" w:rsidRPr="001C7F89">
          <w:rPr>
            <w:rStyle w:val="ac"/>
          </w:rPr>
          <w:t>?</w:t>
        </w:r>
        <w:r w:rsidR="001C7F89" w:rsidRPr="001C7F89">
          <w:rPr>
            <w:rStyle w:val="ac"/>
            <w:lang w:val="en-GB"/>
          </w:rPr>
          <w:t>id</w:t>
        </w:r>
        <w:r w:rsidR="001C7F89" w:rsidRPr="001C7F89">
          <w:rPr>
            <w:rStyle w:val="ac"/>
          </w:rPr>
          <w:t>=17</w:t>
        </w:r>
      </w:hyperlink>
    </w:p>
    <w:p w:rsidR="008B2B1C" w:rsidRDefault="008B2B1C" w:rsidP="008B2B1C">
      <w:pPr>
        <w:spacing w:after="0"/>
      </w:pPr>
    </w:p>
    <w:p w:rsidR="008B2B1C" w:rsidRDefault="008B2B1C" w:rsidP="008B2B1C">
      <w:pPr>
        <w:spacing w:after="0"/>
      </w:pPr>
      <w:r>
        <w:t>Международная стандартная отраслевая классификация всех видов экономической деятельности 2008:</w:t>
      </w:r>
    </w:p>
    <w:p w:rsidR="00B11ED5" w:rsidRPr="001C7F89" w:rsidRDefault="00C833DA" w:rsidP="008B2B1C">
      <w:pPr>
        <w:spacing w:after="0"/>
        <w:rPr>
          <w:lang w:val="en-US"/>
        </w:rPr>
      </w:pPr>
      <w:hyperlink r:id="rId36" w:history="1">
        <w:r w:rsidR="001C7F89" w:rsidRPr="001C7F89">
          <w:rPr>
            <w:rStyle w:val="ac"/>
            <w:lang w:val="en-GB"/>
          </w:rPr>
          <w:t>unstats.un.org/unsd/iiss/International-Standard-Industrial-Classification-of-all-Economic-Activities-ISIC.ashx</w:t>
        </w:r>
      </w:hyperlink>
    </w:p>
    <w:sectPr w:rsidR="00B11ED5" w:rsidRPr="001C7F89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6" w:rsidRDefault="001612F6" w:rsidP="00F73DBC">
      <w:pPr>
        <w:spacing w:after="0" w:line="240" w:lineRule="auto"/>
      </w:pPr>
      <w:r>
        <w:separator/>
      </w:r>
    </w:p>
  </w:endnote>
  <w:endnote w:type="continuationSeparator" w:id="0">
    <w:p w:rsidR="001612F6" w:rsidRDefault="001612F6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6" w:rsidRDefault="001612F6" w:rsidP="00F73DBC">
      <w:pPr>
        <w:spacing w:after="0" w:line="240" w:lineRule="auto"/>
      </w:pPr>
      <w:r>
        <w:separator/>
      </w:r>
    </w:p>
  </w:footnote>
  <w:footnote w:type="continuationSeparator" w:id="0">
    <w:p w:rsidR="001612F6" w:rsidRDefault="001612F6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FF7C02">
      <w:rPr>
        <w:rFonts w:cs="Times New Roman"/>
      </w:rPr>
      <w:t xml:space="preserve">июль </w:t>
    </w:r>
    <w:r w:rsidR="00781DE7" w:rsidRPr="00087B96">
      <w:rPr>
        <w:rFonts w:cs="Times New Roman"/>
      </w:rPr>
      <w:t>202</w:t>
    </w:r>
    <w:r w:rsidR="00FF7C02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7BE"/>
    <w:multiLevelType w:val="hybridMultilevel"/>
    <w:tmpl w:val="FBDE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4EE5"/>
    <w:multiLevelType w:val="hybridMultilevel"/>
    <w:tmpl w:val="E8B4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04DF7"/>
    <w:multiLevelType w:val="hybridMultilevel"/>
    <w:tmpl w:val="CBF6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2404"/>
    <w:rsid w:val="000476F9"/>
    <w:rsid w:val="00053D20"/>
    <w:rsid w:val="00087B96"/>
    <w:rsid w:val="000A210D"/>
    <w:rsid w:val="000A229E"/>
    <w:rsid w:val="000C5EF5"/>
    <w:rsid w:val="00116248"/>
    <w:rsid w:val="00131362"/>
    <w:rsid w:val="001470A2"/>
    <w:rsid w:val="001612F6"/>
    <w:rsid w:val="00165896"/>
    <w:rsid w:val="001762D0"/>
    <w:rsid w:val="001A163A"/>
    <w:rsid w:val="001A6356"/>
    <w:rsid w:val="001C7F89"/>
    <w:rsid w:val="001E2FC9"/>
    <w:rsid w:val="002064C4"/>
    <w:rsid w:val="002306F8"/>
    <w:rsid w:val="002436C0"/>
    <w:rsid w:val="00291FA0"/>
    <w:rsid w:val="002E122C"/>
    <w:rsid w:val="002E15F9"/>
    <w:rsid w:val="002F63E5"/>
    <w:rsid w:val="00303D71"/>
    <w:rsid w:val="003143BC"/>
    <w:rsid w:val="003721B4"/>
    <w:rsid w:val="0037221E"/>
    <w:rsid w:val="003746BC"/>
    <w:rsid w:val="003859BD"/>
    <w:rsid w:val="003A325C"/>
    <w:rsid w:val="003D58DC"/>
    <w:rsid w:val="003D6F28"/>
    <w:rsid w:val="00407AF0"/>
    <w:rsid w:val="00407E4E"/>
    <w:rsid w:val="004143B4"/>
    <w:rsid w:val="00421928"/>
    <w:rsid w:val="004344AC"/>
    <w:rsid w:val="004B6F98"/>
    <w:rsid w:val="004D6228"/>
    <w:rsid w:val="004D6A86"/>
    <w:rsid w:val="004E087E"/>
    <w:rsid w:val="004F74A4"/>
    <w:rsid w:val="00503B4A"/>
    <w:rsid w:val="005758B6"/>
    <w:rsid w:val="00587D0B"/>
    <w:rsid w:val="005E47BD"/>
    <w:rsid w:val="005F2C0B"/>
    <w:rsid w:val="00605342"/>
    <w:rsid w:val="006704C2"/>
    <w:rsid w:val="00682107"/>
    <w:rsid w:val="00694160"/>
    <w:rsid w:val="006B260E"/>
    <w:rsid w:val="006B3939"/>
    <w:rsid w:val="006C43F8"/>
    <w:rsid w:val="006C572E"/>
    <w:rsid w:val="006D7049"/>
    <w:rsid w:val="00702333"/>
    <w:rsid w:val="00705161"/>
    <w:rsid w:val="0075371E"/>
    <w:rsid w:val="00780F08"/>
    <w:rsid w:val="00781DE7"/>
    <w:rsid w:val="00794EF3"/>
    <w:rsid w:val="007B07B2"/>
    <w:rsid w:val="007B0CFD"/>
    <w:rsid w:val="007B32CE"/>
    <w:rsid w:val="007C27E0"/>
    <w:rsid w:val="007D1185"/>
    <w:rsid w:val="007F06DF"/>
    <w:rsid w:val="00820ABF"/>
    <w:rsid w:val="00836F3E"/>
    <w:rsid w:val="00853C09"/>
    <w:rsid w:val="008B2B1C"/>
    <w:rsid w:val="009508D1"/>
    <w:rsid w:val="00957A62"/>
    <w:rsid w:val="009655B4"/>
    <w:rsid w:val="009737AE"/>
    <w:rsid w:val="00980F79"/>
    <w:rsid w:val="00982FE8"/>
    <w:rsid w:val="009C064B"/>
    <w:rsid w:val="009C6A53"/>
    <w:rsid w:val="009F258D"/>
    <w:rsid w:val="00A110F9"/>
    <w:rsid w:val="00A53D4B"/>
    <w:rsid w:val="00A618FC"/>
    <w:rsid w:val="00A67383"/>
    <w:rsid w:val="00A71EC6"/>
    <w:rsid w:val="00A82CD3"/>
    <w:rsid w:val="00A91FDE"/>
    <w:rsid w:val="00AC1A97"/>
    <w:rsid w:val="00AC7424"/>
    <w:rsid w:val="00AE43B8"/>
    <w:rsid w:val="00B0378B"/>
    <w:rsid w:val="00B11ED5"/>
    <w:rsid w:val="00B72F77"/>
    <w:rsid w:val="00BD29EC"/>
    <w:rsid w:val="00BE2C5D"/>
    <w:rsid w:val="00BE415C"/>
    <w:rsid w:val="00C47A4A"/>
    <w:rsid w:val="00C515AF"/>
    <w:rsid w:val="00C833DA"/>
    <w:rsid w:val="00C8596F"/>
    <w:rsid w:val="00C90708"/>
    <w:rsid w:val="00C95AB2"/>
    <w:rsid w:val="00CA1CB1"/>
    <w:rsid w:val="00D05466"/>
    <w:rsid w:val="00D2619D"/>
    <w:rsid w:val="00DA19D7"/>
    <w:rsid w:val="00DC18AA"/>
    <w:rsid w:val="00E123F7"/>
    <w:rsid w:val="00E21B43"/>
    <w:rsid w:val="00E27922"/>
    <w:rsid w:val="00E33CA8"/>
    <w:rsid w:val="00E90BD4"/>
    <w:rsid w:val="00EB362A"/>
    <w:rsid w:val="00EB389E"/>
    <w:rsid w:val="00EE0900"/>
    <w:rsid w:val="00F31037"/>
    <w:rsid w:val="00F374BA"/>
    <w:rsid w:val="00F6371F"/>
    <w:rsid w:val="00F71156"/>
    <w:rsid w:val="00F73DBC"/>
    <w:rsid w:val="00F84FF1"/>
    <w:rsid w:val="00F92D6F"/>
    <w:rsid w:val="00FB66D9"/>
    <w:rsid w:val="00FE35CF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60534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60534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a.org/data-and-statistics/data-product/greenhouse-gas-emissions-from-energy" TargetMode="External"/><Relationship Id="rId18" Type="http://schemas.openxmlformats.org/officeDocument/2006/relationships/hyperlink" Target="http://wds.iea.org/wds/pdf/WORLDBAL_Documentation.pdf" TargetMode="External"/><Relationship Id="rId26" Type="http://schemas.openxmlformats.org/officeDocument/2006/relationships/hyperlink" Target="https://www.iea.org/data-and-statistic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ds.iea.org/wds/pdf/WORLDBAL_Documentation.pdf" TargetMode="External"/><Relationship Id="rId34" Type="http://schemas.openxmlformats.org/officeDocument/2006/relationships/hyperlink" Target="https://databank.worldbank.org/source/world-development-indicato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nstats.un.org/unsd/publication/seriesm/seriesm_4rev3_1e.pdf" TargetMode="External"/><Relationship Id="rId17" Type="http://schemas.openxmlformats.org/officeDocument/2006/relationships/hyperlink" Target="https://unstats.un.org/unsd/snaama/Index" TargetMode="External"/><Relationship Id="rId25" Type="http://schemas.openxmlformats.org/officeDocument/2006/relationships/hyperlink" Target="https://iea.blob.core.windows.net/assets/d755e4d6-9572-4549-9421-7d2bc377cd2f/WORLD_GHG_Documentation.pdf" TargetMode="External"/><Relationship Id="rId33" Type="http://schemas.openxmlformats.org/officeDocument/2006/relationships/hyperlink" Target="https://www.imf.org/en/Publications/SPROLLs/world-economic-outlook-database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ea.blob.core.windows.net/assets/d755e4d6-9572-4549-9421-7d2bc377cd2f/WORLD_GHG_Documentation.pdf" TargetMode="External"/><Relationship Id="rId20" Type="http://schemas.openxmlformats.org/officeDocument/2006/relationships/hyperlink" Target="https://www.iea.org/areas-of-work/data-and-statistics/questionnaires" TargetMode="External"/><Relationship Id="rId29" Type="http://schemas.openxmlformats.org/officeDocument/2006/relationships/hyperlink" Target="https://unstats.un.org/unsd/snaama/methodology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stats.un.org/unsd/publication/seriesm/seriesm_4rev4e.pdf" TargetMode="External"/><Relationship Id="rId24" Type="http://schemas.openxmlformats.org/officeDocument/2006/relationships/hyperlink" Target="https://unstats.un.org/unsd/unsystem/Documents/QAF-UNIDO.pdf" TargetMode="External"/><Relationship Id="rId32" Type="http://schemas.openxmlformats.org/officeDocument/2006/relationships/hyperlink" Target="https://unstats.un.org/unsd/nationalaccount/sna2008.asp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pcc-nggip.iges.or.jp/public/2006gl/" TargetMode="External"/><Relationship Id="rId23" Type="http://schemas.openxmlformats.org/officeDocument/2006/relationships/hyperlink" Target="https://www.ipcc-nggip.iges.or.jp/public/2006gl/index.html" TargetMode="External"/><Relationship Id="rId28" Type="http://schemas.openxmlformats.org/officeDocument/2006/relationships/hyperlink" Target="http://www.unido.org/statistics" TargetMode="External"/><Relationship Id="rId36" Type="http://schemas.openxmlformats.org/officeDocument/2006/relationships/hyperlink" Target="https://unstats.un.org/unsd/iiss/International-Standard-Industrial-Classification-of-all-Economic-Activities-ISIC.ashx" TargetMode="External"/><Relationship Id="rId10" Type="http://schemas.openxmlformats.org/officeDocument/2006/relationships/hyperlink" Target="http://www.ipcc-nggip.iges.or.jp/public/2006gl/" TargetMode="External"/><Relationship Id="rId19" Type="http://schemas.openxmlformats.org/officeDocument/2006/relationships/hyperlink" Target="https://unstats.un.org/unsd/snaama/assets/pdf/methodology.pdf" TargetMode="External"/><Relationship Id="rId31" Type="http://schemas.openxmlformats.org/officeDocument/2006/relationships/hyperlink" Target="https://www.iea.org/data-and-statistics/data-product/greenhouse-gas-emissions-from-energ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stats.un.org/unsd/energystats/methodology/ires/" TargetMode="External"/><Relationship Id="rId14" Type="http://schemas.openxmlformats.org/officeDocument/2006/relationships/hyperlink" Target="https://unstats.un.org/unsd/energystats/methodology/ires/" TargetMode="External"/><Relationship Id="rId22" Type="http://schemas.openxmlformats.org/officeDocument/2006/relationships/hyperlink" Target="http://wds.iea.org/wds/pdf/WORLDBAL_Documentation.pdf" TargetMode="External"/><Relationship Id="rId27" Type="http://schemas.openxmlformats.org/officeDocument/2006/relationships/hyperlink" Target="https://www.iea.org/data-and-statistics/data-product/greenhouse-gas-emissions-from-energy" TargetMode="External"/><Relationship Id="rId30" Type="http://schemas.openxmlformats.org/officeDocument/2006/relationships/hyperlink" Target="https://www.unido.org/resources-publications-flagship-publications/international-yearbook-industrial-statistics" TargetMode="External"/><Relationship Id="rId35" Type="http://schemas.openxmlformats.org/officeDocument/2006/relationships/hyperlink" Target="http://www.cepii.fr/CEPII/en/bdd_modele/bdd_modele_item.asp?id=17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B412-C95F-4DEB-9999-69CA17C5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16</cp:revision>
  <dcterms:created xsi:type="dcterms:W3CDTF">2022-04-28T13:08:00Z</dcterms:created>
  <dcterms:modified xsi:type="dcterms:W3CDTF">2024-07-26T13:43:00Z</dcterms:modified>
</cp:coreProperties>
</file>