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ascii="Times New Roman" w:eastAsia="Arial Unicode MS" w:hAnsi="Times New Roman" w:cs="Times New Roman"/>
          <w:b/>
          <w:sz w:val="24"/>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(Гармонизированный шаблон метаданных - версия формата 1.</w:t>
      </w:r>
      <w:r w:rsidR="00100738">
        <w:rPr>
          <w:rFonts w:ascii="Times New Roman" w:eastAsia="Arial Unicode MS" w:hAnsi="Times New Roman" w:cs="Times New Roman"/>
          <w:b/>
          <w:sz w:val="24"/>
          <w:szCs w:val="24"/>
          <w:bdr w:val="nil"/>
          <w:lang w:eastAsia="ru-RU"/>
        </w:rPr>
        <w:t>1</w:t>
      </w:r>
      <w:r w:rsidRPr="00BD29EC">
        <w:rPr>
          <w:rFonts w:ascii="Times New Roman" w:eastAsia="Arial Unicode MS" w:hAnsi="Times New Roman" w:cs="Times New Roman"/>
          <w:b/>
          <w:sz w:val="24"/>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a</w:t>
      </w:r>
      <w:r w:rsidRPr="00BD29EC">
        <w:rPr>
          <w:rFonts w:ascii="Times New Roman" w:eastAsia="Arial Unicode MS" w:hAnsi="Times New Roman" w:cs="Times New Roman"/>
          <w:b/>
          <w:sz w:val="24"/>
          <w:szCs w:val="24"/>
          <w:bdr w:val="nil"/>
          <w:lang w:eastAsia="ru-RU"/>
        </w:rPr>
        <w:t>. Цель</w:t>
      </w:r>
    </w:p>
    <w:p w:rsidR="00780F08" w:rsidRPr="00BD29EC" w:rsidRDefault="00780F08" w:rsidP="00853C09">
      <w:pPr>
        <w:pBdr>
          <w:top w:val="nil"/>
          <w:left w:val="nil"/>
          <w:bottom w:val="nil"/>
          <w:right w:val="nil"/>
          <w:between w:val="nil"/>
          <w:bar w:val="nil"/>
        </w:pBdr>
        <w:spacing w:after="0"/>
        <w:jc w:val="both"/>
        <w:rPr>
          <w:rFonts w:ascii="Times New Roman" w:eastAsia="Arial Unicode MS" w:hAnsi="Times New Roman" w:cs="Times New Roman"/>
          <w:sz w:val="24"/>
          <w:szCs w:val="24"/>
          <w:bdr w:val="nil"/>
          <w:lang w:eastAsia="ru-RU"/>
        </w:rPr>
      </w:pPr>
      <w:r w:rsidRPr="00BD29EC">
        <w:rPr>
          <w:rFonts w:ascii="Times New Roman" w:eastAsia="Arial Unicode MS" w:hAnsi="Times New Roman" w:cs="Times New Roman"/>
          <w:sz w:val="24"/>
          <w:szCs w:val="24"/>
          <w:bdr w:val="nil"/>
          <w:lang w:eastAsia="ru-RU"/>
        </w:rPr>
        <w:t>Цель 1: Повсеместная ликвидация нищеты во всех ее формах</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b</w:t>
      </w:r>
      <w:r w:rsidRPr="00BD29EC">
        <w:rPr>
          <w:rFonts w:ascii="Times New Roman" w:eastAsia="Arial Unicode MS" w:hAnsi="Times New Roman" w:cs="Times New Roman"/>
          <w:b/>
          <w:sz w:val="24"/>
          <w:szCs w:val="24"/>
          <w:bdr w:val="nil"/>
          <w:lang w:eastAsia="ru-RU"/>
        </w:rPr>
        <w:t>. Задача</w:t>
      </w:r>
    </w:p>
    <w:p w:rsidR="002F63E5" w:rsidRPr="00BD29EC" w:rsidRDefault="00C54664" w:rsidP="00853C09">
      <w:pPr>
        <w:pBdr>
          <w:top w:val="nil"/>
          <w:left w:val="nil"/>
          <w:bottom w:val="nil"/>
          <w:right w:val="nil"/>
          <w:between w:val="nil"/>
          <w:bar w:val="nil"/>
        </w:pBdr>
        <w:spacing w:after="0"/>
        <w:jc w:val="both"/>
        <w:rPr>
          <w:rFonts w:ascii="Times New Roman" w:hAnsi="Times New Roman" w:cs="Times New Roman"/>
          <w:sz w:val="24"/>
          <w:szCs w:val="24"/>
        </w:rPr>
      </w:pPr>
      <w:r>
        <w:rPr>
          <w:rFonts w:ascii="Times New Roman" w:hAnsi="Times New Roman" w:cs="Times New Roman"/>
          <w:sz w:val="24"/>
          <w:szCs w:val="24"/>
        </w:rPr>
        <w:t xml:space="preserve">1.4. </w:t>
      </w:r>
      <w:r w:rsidR="00780F08" w:rsidRPr="00BD29EC">
        <w:rPr>
          <w:rFonts w:ascii="Times New Roman" w:hAnsi="Times New Roman" w:cs="Times New Roman"/>
          <w:sz w:val="24"/>
          <w:szCs w:val="24"/>
        </w:rPr>
        <w:t>К 2030 году обеспечить, чтобы все мужчины и женщины, особенно малоимущие и уязвимые, имели равные права на экономические ресурсы, а также доступ к базовым услугам, владению и распоряжению землей и другими формами собственности, наследуемому имуществу, природным ресурсам, соответствующим новым технологиям и финансовым услугам, включая микрофинансирование</w:t>
      </w:r>
    </w:p>
    <w:p w:rsidR="003143BC" w:rsidRPr="00BD29E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Показатель </w:t>
      </w:r>
      <w:r w:rsidR="00780F08" w:rsidRPr="00BD29EC">
        <w:rPr>
          <w:rFonts w:ascii="Times New Roman" w:hAnsi="Times New Roman" w:cs="Times New Roman"/>
          <w:sz w:val="24"/>
          <w:szCs w:val="24"/>
        </w:rPr>
        <w:t>1.4.1 Доля населения, живущего в домохозяйствах с доступом к базовым услугам</w:t>
      </w:r>
    </w:p>
    <w:p w:rsidR="003143BC" w:rsidRDefault="003143BC"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d</w:t>
      </w:r>
      <w:r w:rsidRPr="00BD29EC">
        <w:rPr>
          <w:rFonts w:ascii="Times New Roman" w:eastAsia="Arial Unicode MS" w:hAnsi="Times New Roman" w:cs="Times New Roman"/>
          <w:b/>
          <w:sz w:val="24"/>
          <w:szCs w:val="24"/>
          <w:bdr w:val="nil"/>
          <w:lang w:eastAsia="ru-RU"/>
        </w:rPr>
        <w:t xml:space="preserve">. </w:t>
      </w:r>
      <w:r w:rsidR="00291FA0">
        <w:rPr>
          <w:rFonts w:ascii="Times New Roman" w:eastAsia="Arial Unicode MS" w:hAnsi="Times New Roman" w:cs="Times New Roman"/>
          <w:b/>
          <w:sz w:val="24"/>
          <w:szCs w:val="24"/>
          <w:bdr w:val="nil"/>
          <w:lang w:eastAsia="ru-RU"/>
        </w:rPr>
        <w:t>Ряд</w:t>
      </w:r>
    </w:p>
    <w:p w:rsidR="00100738" w:rsidRPr="00BD29EC" w:rsidRDefault="00100738"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p>
    <w:p w:rsidR="00C8596F" w:rsidRPr="00BD29EC"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e</w:t>
      </w:r>
      <w:r w:rsidRPr="00BD29EC">
        <w:rPr>
          <w:rFonts w:ascii="Times New Roman" w:eastAsia="Arial Unicode MS" w:hAnsi="Times New Roman" w:cs="Times New Roman"/>
          <w:b/>
          <w:sz w:val="24"/>
          <w:szCs w:val="24"/>
          <w:bdr w:val="nil"/>
          <w:lang w:eastAsia="ru-RU"/>
        </w:rPr>
        <w:t xml:space="preserve">. Обновление данных </w:t>
      </w:r>
    </w:p>
    <w:p w:rsidR="00C8596F" w:rsidRPr="00BD29EC" w:rsidRDefault="00100738"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18.07.2023</w:t>
      </w:r>
    </w:p>
    <w:p w:rsidR="00C8596F" w:rsidRPr="00BD29EC" w:rsidRDefault="00C8596F" w:rsidP="00853C09">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f</w:t>
      </w:r>
      <w:r w:rsidRPr="00BD29EC">
        <w:rPr>
          <w:rFonts w:ascii="Times New Roman" w:eastAsia="Arial Unicode MS" w:hAnsi="Times New Roman" w:cs="Times New Roman"/>
          <w:b/>
          <w:sz w:val="24"/>
          <w:szCs w:val="24"/>
          <w:bdr w:val="nil"/>
          <w:lang w:eastAsia="ru-RU"/>
        </w:rPr>
        <w:t xml:space="preserve">. Связанные показатели </w:t>
      </w:r>
    </w:p>
    <w:p w:rsidR="00100738" w:rsidRPr="00100738" w:rsidRDefault="00100738" w:rsidP="0075371E">
      <w:pPr>
        <w:pBdr>
          <w:top w:val="nil"/>
          <w:left w:val="nil"/>
          <w:bottom w:val="nil"/>
          <w:right w:val="nil"/>
          <w:between w:val="nil"/>
          <w:bar w:val="nil"/>
        </w:pBdr>
        <w:tabs>
          <w:tab w:val="left" w:pos="284"/>
        </w:tabs>
        <w:spacing w:after="0"/>
        <w:jc w:val="both"/>
        <w:rPr>
          <w:rFonts w:ascii="Times New Roman" w:eastAsia="Arial Unicode MS" w:hAnsi="Times New Roman" w:cs="Times New Roman"/>
          <w:sz w:val="24"/>
          <w:szCs w:val="24"/>
          <w:bdr w:val="nil"/>
          <w:lang w:eastAsia="ru-RU"/>
        </w:rPr>
      </w:pPr>
      <w:r>
        <w:rPr>
          <w:rFonts w:ascii="Times New Roman" w:eastAsia="Arial Unicode MS" w:hAnsi="Times New Roman" w:cs="Times New Roman"/>
          <w:sz w:val="24"/>
          <w:szCs w:val="24"/>
          <w:bdr w:val="nil"/>
          <w:lang w:eastAsia="ru-RU"/>
        </w:rPr>
        <w:t>Глобальные</w:t>
      </w:r>
      <w:r w:rsidRPr="00100738">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задачи</w:t>
      </w:r>
      <w:r w:rsidRPr="00100738">
        <w:rPr>
          <w:rFonts w:ascii="Times New Roman" w:eastAsia="Arial Unicode MS" w:hAnsi="Times New Roman" w:cs="Times New Roman"/>
          <w:sz w:val="24"/>
          <w:szCs w:val="24"/>
          <w:bdr w:val="nil"/>
          <w:lang w:eastAsia="ru-RU"/>
        </w:rPr>
        <w:t xml:space="preserve"> </w:t>
      </w:r>
      <w:r>
        <w:rPr>
          <w:rFonts w:ascii="Times New Roman" w:eastAsia="Arial Unicode MS" w:hAnsi="Times New Roman" w:cs="Times New Roman"/>
          <w:sz w:val="24"/>
          <w:szCs w:val="24"/>
          <w:bdr w:val="nil"/>
          <w:lang w:eastAsia="ru-RU"/>
        </w:rPr>
        <w:t>ЦУР</w:t>
      </w:r>
      <w:r w:rsidRPr="00100738">
        <w:rPr>
          <w:rFonts w:ascii="Times New Roman" w:eastAsia="Arial Unicode MS" w:hAnsi="Times New Roman" w:cs="Times New Roman"/>
          <w:sz w:val="24"/>
          <w:szCs w:val="24"/>
          <w:bdr w:val="nil"/>
          <w:lang w:eastAsia="ru-RU"/>
        </w:rPr>
        <w:t xml:space="preserve"> 1.2, 2.2, 3.2, 3.7, 3.8, 3.9, 4.1, 4.</w:t>
      </w:r>
      <w:r w:rsidRPr="00100738">
        <w:rPr>
          <w:rFonts w:ascii="Times New Roman" w:eastAsia="Arial Unicode MS" w:hAnsi="Times New Roman" w:cs="Times New Roman"/>
          <w:sz w:val="24"/>
          <w:szCs w:val="24"/>
          <w:bdr w:val="nil"/>
          <w:lang w:val="en-GB" w:eastAsia="ru-RU"/>
        </w:rPr>
        <w:t>a</w:t>
      </w:r>
      <w:r w:rsidRPr="00100738">
        <w:rPr>
          <w:rFonts w:ascii="Times New Roman" w:eastAsia="Arial Unicode MS" w:hAnsi="Times New Roman" w:cs="Times New Roman"/>
          <w:sz w:val="24"/>
          <w:szCs w:val="24"/>
          <w:bdr w:val="nil"/>
          <w:lang w:eastAsia="ru-RU"/>
        </w:rPr>
        <w:t>, 5.4, 5.</w:t>
      </w:r>
      <w:r w:rsidRPr="00100738">
        <w:rPr>
          <w:rFonts w:ascii="Times New Roman" w:eastAsia="Arial Unicode MS" w:hAnsi="Times New Roman" w:cs="Times New Roman"/>
          <w:sz w:val="24"/>
          <w:szCs w:val="24"/>
          <w:bdr w:val="nil"/>
          <w:lang w:val="en-GB" w:eastAsia="ru-RU"/>
        </w:rPr>
        <w:t>b</w:t>
      </w:r>
      <w:r>
        <w:rPr>
          <w:rFonts w:ascii="Times New Roman" w:eastAsia="Arial Unicode MS" w:hAnsi="Times New Roman" w:cs="Times New Roman"/>
          <w:sz w:val="24"/>
          <w:szCs w:val="24"/>
          <w:bdr w:val="nil"/>
          <w:lang w:eastAsia="ru-RU"/>
        </w:rPr>
        <w:t>, 6.1, 6.2, 7.1, 7.2, 9.1</w:t>
      </w:r>
      <w:r>
        <w:rPr>
          <w:rFonts w:ascii="Times New Roman" w:eastAsia="Arial Unicode MS" w:hAnsi="Times New Roman" w:cs="Times New Roman"/>
          <w:sz w:val="24"/>
          <w:szCs w:val="24"/>
          <w:bdr w:val="nil"/>
          <w:lang w:eastAsia="ru-RU"/>
        </w:rPr>
        <w:br/>
        <w:t xml:space="preserve">и </w:t>
      </w:r>
      <w:r w:rsidRPr="00100738">
        <w:rPr>
          <w:rFonts w:ascii="Times New Roman" w:eastAsia="Arial Unicode MS" w:hAnsi="Times New Roman" w:cs="Times New Roman"/>
          <w:sz w:val="24"/>
          <w:szCs w:val="24"/>
          <w:bdr w:val="nil"/>
          <w:lang w:eastAsia="ru-RU"/>
        </w:rPr>
        <w:t>11.2.</w:t>
      </w:r>
    </w:p>
    <w:p w:rsidR="00A91FDE" w:rsidRPr="00BD29EC" w:rsidRDefault="00E33CA8" w:rsidP="0075371E">
      <w:pPr>
        <w:pBdr>
          <w:top w:val="nil"/>
          <w:left w:val="nil"/>
          <w:bottom w:val="nil"/>
          <w:right w:val="nil"/>
          <w:between w:val="nil"/>
          <w:bar w:val="nil"/>
        </w:pBdr>
        <w:tabs>
          <w:tab w:val="left" w:pos="284"/>
        </w:tabs>
        <w:spacing w:after="0"/>
        <w:jc w:val="both"/>
        <w:rPr>
          <w:rFonts w:ascii="Times New Roman" w:eastAsia="Arial Unicode MS" w:hAnsi="Times New Roman" w:cs="Times New Roman"/>
          <w:b/>
          <w:sz w:val="24"/>
          <w:szCs w:val="24"/>
          <w:bdr w:val="nil"/>
          <w:lang w:eastAsia="ru-RU"/>
        </w:rPr>
      </w:pPr>
      <w:r w:rsidRPr="00BD29EC">
        <w:rPr>
          <w:rFonts w:ascii="Times New Roman" w:eastAsia="Arial Unicode MS" w:hAnsi="Times New Roman" w:cs="Times New Roman"/>
          <w:b/>
          <w:sz w:val="24"/>
          <w:szCs w:val="24"/>
          <w:bdr w:val="nil"/>
          <w:lang w:eastAsia="ru-RU"/>
        </w:rPr>
        <w:t>0.</w:t>
      </w:r>
      <w:r w:rsidRPr="00BD29EC">
        <w:rPr>
          <w:rFonts w:ascii="Times New Roman" w:eastAsia="Arial Unicode MS" w:hAnsi="Times New Roman" w:cs="Times New Roman"/>
          <w:b/>
          <w:sz w:val="24"/>
          <w:szCs w:val="24"/>
          <w:bdr w:val="nil"/>
          <w:lang w:val="en-US" w:eastAsia="ru-RU"/>
        </w:rPr>
        <w:t>g</w:t>
      </w:r>
      <w:r w:rsidRPr="00BD29EC">
        <w:rPr>
          <w:rFonts w:ascii="Times New Roman" w:eastAsia="Arial Unicode MS" w:hAnsi="Times New Roman" w:cs="Times New Roman"/>
          <w:b/>
          <w:sz w:val="24"/>
          <w:szCs w:val="24"/>
          <w:bdr w:val="nil"/>
          <w:lang w:eastAsia="ru-RU"/>
        </w:rPr>
        <w:t>. Международные организации, ответственные за глобальный мониторинг</w:t>
      </w:r>
    </w:p>
    <w:p w:rsidR="00780F08" w:rsidRDefault="00E33CA8"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Программа Организации Объединенных Наций по населенным пунктам (ООН-</w:t>
      </w:r>
      <w:proofErr w:type="spellStart"/>
      <w:r w:rsidRPr="00BD29EC">
        <w:rPr>
          <w:rFonts w:ascii="Times New Roman" w:hAnsi="Times New Roman" w:cs="Times New Roman"/>
          <w:sz w:val="24"/>
          <w:szCs w:val="24"/>
        </w:rPr>
        <w:t>Хабитат</w:t>
      </w:r>
      <w:proofErr w:type="spellEnd"/>
      <w:r w:rsidRPr="00BD29EC">
        <w:rPr>
          <w:rFonts w:ascii="Times New Roman" w:hAnsi="Times New Roman" w:cs="Times New Roman"/>
          <w:sz w:val="24"/>
          <w:szCs w:val="24"/>
        </w:rPr>
        <w:t>)</w:t>
      </w:r>
    </w:p>
    <w:p w:rsidR="00100738" w:rsidRPr="00BD29EC" w:rsidRDefault="00100738" w:rsidP="0075371E">
      <w:pPr>
        <w:pBdr>
          <w:top w:val="nil"/>
          <w:left w:val="nil"/>
          <w:bottom w:val="nil"/>
          <w:right w:val="nil"/>
          <w:between w:val="nil"/>
          <w:bar w:val="nil"/>
        </w:pBdr>
        <w:spacing w:after="0"/>
        <w:jc w:val="both"/>
        <w:rPr>
          <w:rFonts w:ascii="Times New Roman" w:hAnsi="Times New Roman" w:cs="Times New Roman"/>
          <w:sz w:val="24"/>
          <w:szCs w:val="24"/>
        </w:rPr>
      </w:pPr>
      <w:r w:rsidRPr="00100738">
        <w:rPr>
          <w:rFonts w:ascii="Times New Roman" w:hAnsi="Times New Roman" w:cs="Times New Roman"/>
          <w:sz w:val="24"/>
          <w:szCs w:val="24"/>
        </w:rPr>
        <w:t>Совместная программа ВОЗ/ЮНИСЕФ по мониторингу водоснабжения, санитарии и гигиены (1.4.1a, b и c)</w:t>
      </w:r>
    </w:p>
    <w:p w:rsidR="00957A62" w:rsidRPr="00BD29EC" w:rsidRDefault="00957A62" w:rsidP="0075371E">
      <w:pPr>
        <w:pBdr>
          <w:top w:val="nil"/>
          <w:left w:val="nil"/>
          <w:bottom w:val="nil"/>
          <w:right w:val="nil"/>
          <w:between w:val="nil"/>
          <w:bar w:val="nil"/>
        </w:pBdr>
        <w:spacing w:after="0"/>
        <w:jc w:val="both"/>
        <w:rPr>
          <w:rFonts w:ascii="Times New Roman" w:hAnsi="Times New Roman" w:cs="Times New Roman"/>
          <w:sz w:val="24"/>
          <w:szCs w:val="24"/>
        </w:rPr>
      </w:pPr>
    </w:p>
    <w:p w:rsidR="00957A62" w:rsidRPr="00BD29EC" w:rsidRDefault="00957A62" w:rsidP="0075371E">
      <w:pPr>
        <w:pStyle w:val="MHeader"/>
        <w:jc w:val="both"/>
        <w:rPr>
          <w:rFonts w:ascii="Times New Roman" w:hAnsi="Times New Roman"/>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rFonts w:ascii="Times New Roman" w:hAnsi="Times New Roman"/>
          <w:b/>
          <w:color w:val="auto"/>
          <w:sz w:val="24"/>
          <w:szCs w:val="24"/>
          <w:lang w:val="ru-RU"/>
        </w:rPr>
        <w:t xml:space="preserve">1. </w:t>
      </w:r>
      <w:bookmarkEnd w:id="0"/>
      <w:bookmarkEnd w:id="1"/>
      <w:bookmarkEnd w:id="2"/>
      <w:bookmarkEnd w:id="3"/>
      <w:bookmarkEnd w:id="4"/>
      <w:r w:rsidR="00853C09" w:rsidRPr="00BD29EC">
        <w:rPr>
          <w:rFonts w:ascii="Times New Roman" w:hAnsi="Times New Roman"/>
          <w:b/>
          <w:color w:val="auto"/>
          <w:sz w:val="24"/>
          <w:szCs w:val="24"/>
          <w:lang w:val="ru-RU"/>
        </w:rPr>
        <w:t xml:space="preserve">Данные представлены </w:t>
      </w:r>
    </w:p>
    <w:p w:rsidR="00957A62" w:rsidRPr="00BD29EC" w:rsidRDefault="00957A62"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1.</w:t>
      </w:r>
      <w:r w:rsidRPr="00BD29EC">
        <w:rPr>
          <w:rFonts w:ascii="Times New Roman" w:hAnsi="Times New Roman"/>
          <w:color w:val="auto"/>
          <w:sz w:val="24"/>
          <w:szCs w:val="24"/>
        </w:rPr>
        <w:t>a</w:t>
      </w:r>
      <w:r w:rsidRPr="00BD29EC">
        <w:rPr>
          <w:rFonts w:ascii="Times New Roman" w:hAnsi="Times New Roman"/>
          <w:color w:val="auto"/>
          <w:sz w:val="24"/>
          <w:szCs w:val="24"/>
          <w:lang w:val="ru-RU"/>
        </w:rPr>
        <w:t>. Организация</w:t>
      </w:r>
    </w:p>
    <w:p w:rsidR="00957A62" w:rsidRPr="00BD29EC" w:rsidRDefault="00957A62"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Программа Организации Объединенных Наций по населенным пунктам (ООН-</w:t>
      </w:r>
      <w:proofErr w:type="spellStart"/>
      <w:r w:rsidRPr="00BD29EC">
        <w:rPr>
          <w:rFonts w:ascii="Times New Roman" w:hAnsi="Times New Roman"/>
          <w:color w:val="auto"/>
          <w:sz w:val="24"/>
          <w:szCs w:val="24"/>
          <w:lang w:val="ru-RU"/>
        </w:rPr>
        <w:t>Хабитат</w:t>
      </w:r>
      <w:proofErr w:type="spellEnd"/>
      <w:r w:rsidRPr="00BD29EC">
        <w:rPr>
          <w:rFonts w:ascii="Times New Roman" w:hAnsi="Times New Roman"/>
          <w:color w:val="auto"/>
          <w:sz w:val="24"/>
          <w:szCs w:val="24"/>
          <w:lang w:val="ru-RU"/>
        </w:rPr>
        <w:t>)</w:t>
      </w:r>
    </w:p>
    <w:p w:rsidR="00957A62" w:rsidRPr="00BD29EC" w:rsidRDefault="00957A62" w:rsidP="0075371E">
      <w:pPr>
        <w:pStyle w:val="MText"/>
        <w:jc w:val="both"/>
        <w:rPr>
          <w:rFonts w:ascii="Times New Roman" w:hAnsi="Times New Roman"/>
          <w:color w:val="auto"/>
          <w:sz w:val="24"/>
          <w:szCs w:val="24"/>
          <w:lang w:val="ru-RU"/>
        </w:rPr>
      </w:pPr>
    </w:p>
    <w:p w:rsidR="00957A62" w:rsidRPr="00BD29EC" w:rsidRDefault="00957A62"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2. Определения, </w:t>
      </w:r>
      <w:r w:rsidR="00100738">
        <w:rPr>
          <w:rFonts w:ascii="Times New Roman" w:hAnsi="Times New Roman"/>
          <w:b/>
          <w:color w:val="auto"/>
          <w:sz w:val="24"/>
          <w:szCs w:val="24"/>
          <w:lang w:val="ru-RU"/>
        </w:rPr>
        <w:t>понятия</w:t>
      </w:r>
      <w:r w:rsidRPr="00BD29EC">
        <w:rPr>
          <w:rFonts w:ascii="Times New Roman" w:hAnsi="Times New Roman"/>
          <w:b/>
          <w:color w:val="auto"/>
          <w:sz w:val="24"/>
          <w:szCs w:val="24"/>
          <w:lang w:val="ru-RU"/>
        </w:rPr>
        <w:t xml:space="preserve"> и классификации</w:t>
      </w:r>
    </w:p>
    <w:p w:rsidR="00957A62" w:rsidRPr="00BD29EC" w:rsidRDefault="00957A62"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Определения и концепции </w:t>
      </w:r>
    </w:p>
    <w:p w:rsidR="00E33CA8" w:rsidRPr="00D23CB0" w:rsidRDefault="00D23CB0" w:rsidP="0075371E">
      <w:pPr>
        <w:pBdr>
          <w:top w:val="nil"/>
          <w:left w:val="nil"/>
          <w:bottom w:val="nil"/>
          <w:right w:val="nil"/>
          <w:between w:val="nil"/>
          <w:bar w:val="nil"/>
        </w:pBdr>
        <w:spacing w:after="0"/>
        <w:jc w:val="both"/>
        <w:rPr>
          <w:rFonts w:ascii="Times New Roman" w:hAnsi="Times New Roman" w:cs="Times New Roman"/>
          <w:b/>
          <w:sz w:val="24"/>
          <w:szCs w:val="24"/>
        </w:rPr>
      </w:pPr>
      <w:r w:rsidRPr="00D23CB0">
        <w:rPr>
          <w:rFonts w:ascii="Times New Roman" w:hAnsi="Times New Roman" w:cs="Times New Roman"/>
          <w:b/>
          <w:sz w:val="24"/>
          <w:szCs w:val="24"/>
        </w:rPr>
        <w:t>Определение:</w:t>
      </w:r>
    </w:p>
    <w:p w:rsidR="00D23CB0" w:rsidRPr="00BD29EC" w:rsidRDefault="00D23CB0" w:rsidP="0075371E">
      <w:pPr>
        <w:pBdr>
          <w:top w:val="nil"/>
          <w:left w:val="nil"/>
          <w:bottom w:val="nil"/>
          <w:right w:val="nil"/>
          <w:between w:val="nil"/>
          <w:bar w:val="nil"/>
        </w:pBdr>
        <w:spacing w:after="0"/>
        <w:jc w:val="both"/>
        <w:rPr>
          <w:rFonts w:ascii="Times New Roman" w:hAnsi="Times New Roman" w:cs="Times New Roman"/>
          <w:sz w:val="24"/>
          <w:szCs w:val="24"/>
        </w:rPr>
      </w:pPr>
      <w:r w:rsidRPr="00D23CB0">
        <w:rPr>
          <w:rFonts w:ascii="Times New Roman" w:hAnsi="Times New Roman" w:cs="Times New Roman"/>
          <w:sz w:val="24"/>
          <w:szCs w:val="24"/>
        </w:rPr>
        <w:t>Доля населения, проживающего в домохозяйствах, имеющих доступ к основным услугам, определяется как доля населения, использующего системы предоставления государственных услуг, которые удовлетворяют основные потребности человека, включая питьевую воду, санитарию, гигиену, энергию, мобильность, сбор мусора, здравоохранение, образование и информаци</w:t>
      </w:r>
      <w:r w:rsidR="00263536">
        <w:rPr>
          <w:rFonts w:ascii="Times New Roman" w:hAnsi="Times New Roman" w:cs="Times New Roman"/>
          <w:sz w:val="24"/>
          <w:szCs w:val="24"/>
        </w:rPr>
        <w:t>онные</w:t>
      </w:r>
      <w:r w:rsidRPr="00D23CB0">
        <w:rPr>
          <w:rFonts w:ascii="Times New Roman" w:hAnsi="Times New Roman" w:cs="Times New Roman"/>
          <w:sz w:val="24"/>
          <w:szCs w:val="24"/>
        </w:rPr>
        <w:t xml:space="preserve"> технологии. Таким образом, показатель базовых услуг основан на 9 компонентах. Эти компоненты отражены в различных самостоятельных показателях ЦУР, а это означает, что концепции и определения показателя 1.4.1 ЦУР будут выведены из этих конкретных показателей ЦУР или будут такими же.</w:t>
      </w:r>
    </w:p>
    <w:p w:rsidR="00E33CA8" w:rsidRPr="00BD29EC" w:rsidRDefault="00E33CA8" w:rsidP="0075371E">
      <w:pPr>
        <w:pBdr>
          <w:top w:val="nil"/>
          <w:left w:val="nil"/>
          <w:bottom w:val="nil"/>
          <w:right w:val="nil"/>
          <w:between w:val="nil"/>
          <w:bar w:val="nil"/>
        </w:pBdr>
        <w:spacing w:after="0"/>
        <w:jc w:val="both"/>
        <w:rPr>
          <w:rFonts w:ascii="Times New Roman" w:hAnsi="Times New Roman" w:cs="Times New Roman"/>
          <w:b/>
          <w:sz w:val="24"/>
          <w:szCs w:val="24"/>
        </w:rPr>
      </w:pPr>
    </w:p>
    <w:p w:rsidR="00100738" w:rsidRDefault="00100738" w:rsidP="0075371E">
      <w:pPr>
        <w:pBdr>
          <w:top w:val="nil"/>
          <w:left w:val="nil"/>
          <w:bottom w:val="nil"/>
          <w:right w:val="nil"/>
          <w:between w:val="nil"/>
          <w:bar w:val="nil"/>
        </w:pBdr>
        <w:spacing w:after="0"/>
        <w:jc w:val="both"/>
        <w:rPr>
          <w:rFonts w:ascii="Times New Roman" w:hAnsi="Times New Roman" w:cs="Times New Roman"/>
          <w:b/>
          <w:sz w:val="24"/>
          <w:szCs w:val="24"/>
        </w:rPr>
      </w:pPr>
      <w:r>
        <w:rPr>
          <w:rFonts w:ascii="Times New Roman" w:hAnsi="Times New Roman" w:cs="Times New Roman"/>
          <w:b/>
          <w:sz w:val="24"/>
          <w:szCs w:val="24"/>
        </w:rPr>
        <w:t>Понятия:</w:t>
      </w:r>
    </w:p>
    <w:p w:rsidR="00980F79" w:rsidRDefault="00100738" w:rsidP="0075371E">
      <w:pPr>
        <w:pBdr>
          <w:top w:val="nil"/>
          <w:left w:val="nil"/>
          <w:bottom w:val="nil"/>
          <w:right w:val="nil"/>
          <w:between w:val="nil"/>
          <w:bar w:val="nil"/>
        </w:pBdr>
        <w:spacing w:after="0"/>
        <w:jc w:val="both"/>
        <w:rPr>
          <w:rFonts w:ascii="Times New Roman" w:hAnsi="Times New Roman" w:cs="Times New Roman"/>
          <w:sz w:val="24"/>
          <w:szCs w:val="24"/>
        </w:rPr>
      </w:pPr>
      <w:r w:rsidRPr="00100738">
        <w:rPr>
          <w:rFonts w:ascii="Times New Roman" w:hAnsi="Times New Roman" w:cs="Times New Roman"/>
          <w:sz w:val="24"/>
          <w:szCs w:val="24"/>
        </w:rPr>
        <w:t xml:space="preserve">Термин </w:t>
      </w:r>
      <w:r>
        <w:rPr>
          <w:rFonts w:ascii="Times New Roman" w:hAnsi="Times New Roman" w:cs="Times New Roman"/>
          <w:b/>
          <w:sz w:val="24"/>
          <w:szCs w:val="24"/>
        </w:rPr>
        <w:t>«</w:t>
      </w:r>
      <w:r w:rsidR="00980F79" w:rsidRPr="00BD29EC">
        <w:rPr>
          <w:rFonts w:ascii="Times New Roman" w:hAnsi="Times New Roman" w:cs="Times New Roman"/>
          <w:b/>
          <w:sz w:val="24"/>
          <w:szCs w:val="24"/>
        </w:rPr>
        <w:t>Доступ к базовым услугам</w:t>
      </w:r>
      <w:r>
        <w:rPr>
          <w:rFonts w:ascii="Times New Roman" w:hAnsi="Times New Roman" w:cs="Times New Roman"/>
          <w:b/>
          <w:sz w:val="24"/>
          <w:szCs w:val="24"/>
        </w:rPr>
        <w:t>»</w:t>
      </w:r>
      <w:r w:rsidR="00980F79" w:rsidRPr="00BD29EC">
        <w:rPr>
          <w:rFonts w:ascii="Times New Roman" w:hAnsi="Times New Roman" w:cs="Times New Roman"/>
          <w:sz w:val="24"/>
          <w:szCs w:val="24"/>
        </w:rPr>
        <w:t xml:space="preserve"> подразумевает, </w:t>
      </w:r>
      <w:r w:rsidRPr="00100738">
        <w:rPr>
          <w:rFonts w:ascii="Times New Roman" w:hAnsi="Times New Roman" w:cs="Times New Roman"/>
          <w:sz w:val="24"/>
          <w:szCs w:val="24"/>
        </w:rPr>
        <w:t xml:space="preserve">достаточные и доступные услуги гарантированно </w:t>
      </w:r>
      <w:r w:rsidR="00D23CB0">
        <w:rPr>
          <w:rFonts w:ascii="Times New Roman" w:hAnsi="Times New Roman" w:cs="Times New Roman"/>
          <w:sz w:val="24"/>
          <w:szCs w:val="24"/>
        </w:rPr>
        <w:t>обеспечены</w:t>
      </w:r>
      <w:r w:rsidRPr="00100738">
        <w:rPr>
          <w:rFonts w:ascii="Times New Roman" w:hAnsi="Times New Roman" w:cs="Times New Roman"/>
          <w:sz w:val="24"/>
          <w:szCs w:val="24"/>
        </w:rPr>
        <w:t xml:space="preserve"> и </w:t>
      </w:r>
      <w:r w:rsidR="00D23CB0">
        <w:rPr>
          <w:rFonts w:ascii="Times New Roman" w:hAnsi="Times New Roman" w:cs="Times New Roman"/>
          <w:sz w:val="24"/>
          <w:szCs w:val="24"/>
        </w:rPr>
        <w:t xml:space="preserve">имеют </w:t>
      </w:r>
      <w:r w:rsidRPr="00100738">
        <w:rPr>
          <w:rFonts w:ascii="Times New Roman" w:hAnsi="Times New Roman" w:cs="Times New Roman"/>
          <w:sz w:val="24"/>
          <w:szCs w:val="24"/>
        </w:rPr>
        <w:t>надлежаще</w:t>
      </w:r>
      <w:r w:rsidR="00D23CB0">
        <w:rPr>
          <w:rFonts w:ascii="Times New Roman" w:hAnsi="Times New Roman" w:cs="Times New Roman"/>
          <w:sz w:val="24"/>
          <w:szCs w:val="24"/>
        </w:rPr>
        <w:t>е</w:t>
      </w:r>
      <w:r w:rsidRPr="00100738">
        <w:rPr>
          <w:rFonts w:ascii="Times New Roman" w:hAnsi="Times New Roman" w:cs="Times New Roman"/>
          <w:sz w:val="24"/>
          <w:szCs w:val="24"/>
        </w:rPr>
        <w:t xml:space="preserve"> качеств</w:t>
      </w:r>
      <w:r w:rsidR="00263536">
        <w:rPr>
          <w:rFonts w:ascii="Times New Roman" w:hAnsi="Times New Roman" w:cs="Times New Roman"/>
          <w:sz w:val="24"/>
          <w:szCs w:val="24"/>
        </w:rPr>
        <w:t>о</w:t>
      </w:r>
      <w:r w:rsidRPr="00100738">
        <w:rPr>
          <w:rFonts w:ascii="Times New Roman" w:hAnsi="Times New Roman" w:cs="Times New Roman"/>
          <w:sz w:val="24"/>
          <w:szCs w:val="24"/>
        </w:rPr>
        <w:t>.</w:t>
      </w:r>
    </w:p>
    <w:p w:rsidR="00D23CB0" w:rsidRPr="00BD29EC" w:rsidRDefault="00D23CB0" w:rsidP="0075371E">
      <w:pPr>
        <w:pBdr>
          <w:top w:val="nil"/>
          <w:left w:val="nil"/>
          <w:bottom w:val="nil"/>
          <w:right w:val="nil"/>
          <w:between w:val="nil"/>
          <w:bar w:val="nil"/>
        </w:pBdr>
        <w:spacing w:after="0"/>
        <w:jc w:val="both"/>
        <w:rPr>
          <w:rFonts w:ascii="Times New Roman" w:hAnsi="Times New Roman" w:cs="Times New Roman"/>
          <w:sz w:val="24"/>
          <w:szCs w:val="24"/>
        </w:rPr>
      </w:pPr>
    </w:p>
    <w:p w:rsidR="00980F79" w:rsidRDefault="00980F79" w:rsidP="00DA3D37">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b/>
          <w:sz w:val="24"/>
          <w:szCs w:val="24"/>
        </w:rPr>
        <w:t>Доступ к основным услугам питьевой воды</w:t>
      </w:r>
      <w:r w:rsidRPr="00BD29EC">
        <w:rPr>
          <w:rFonts w:ascii="Times New Roman" w:hAnsi="Times New Roman" w:cs="Times New Roman"/>
          <w:sz w:val="24"/>
          <w:szCs w:val="24"/>
        </w:rPr>
        <w:t xml:space="preserve"> относится </w:t>
      </w:r>
      <w:r w:rsidR="000476F9">
        <w:rPr>
          <w:rFonts w:ascii="Times New Roman" w:hAnsi="Times New Roman" w:cs="Times New Roman"/>
          <w:sz w:val="24"/>
          <w:szCs w:val="24"/>
        </w:rPr>
        <w:t xml:space="preserve">к </w:t>
      </w:r>
      <w:r w:rsidR="000476F9" w:rsidRPr="000476F9">
        <w:rPr>
          <w:rFonts w:ascii="Times New Roman" w:hAnsi="Times New Roman" w:cs="Times New Roman"/>
          <w:sz w:val="24"/>
          <w:szCs w:val="24"/>
        </w:rPr>
        <w:t>питьевой во</w:t>
      </w:r>
      <w:r w:rsidR="000476F9">
        <w:rPr>
          <w:rFonts w:ascii="Times New Roman" w:hAnsi="Times New Roman" w:cs="Times New Roman"/>
          <w:sz w:val="24"/>
          <w:szCs w:val="24"/>
        </w:rPr>
        <w:t>де</w:t>
      </w:r>
      <w:r w:rsidR="000476F9" w:rsidRPr="000476F9">
        <w:rPr>
          <w:rFonts w:ascii="Times New Roman" w:hAnsi="Times New Roman" w:cs="Times New Roman"/>
          <w:sz w:val="24"/>
          <w:szCs w:val="24"/>
        </w:rPr>
        <w:t xml:space="preserve"> из улучшенного источника, который доступен со временем сбора не более 30 минут в оба конца, включая ожидание в очереди. К улучшенным источникам относятся: водопроводная вода, скважины или трубчатые колодцы, защищенные выкопанные колодцы, защищенные источники, а также фасованная или доставленная вода. Это определение основано на лестнице питьевой воды СПМ и является основой показателя 6.1.1 ЦУР - </w:t>
      </w:r>
      <w:r w:rsidR="00DA3D37" w:rsidRPr="00DA3D37">
        <w:rPr>
          <w:rFonts w:ascii="Times New Roman" w:hAnsi="Times New Roman" w:cs="Times New Roman"/>
          <w:sz w:val="24"/>
          <w:szCs w:val="24"/>
        </w:rPr>
        <w:t>Доля населения, пользующегося услугами</w:t>
      </w:r>
      <w:r w:rsidR="00DA3D37">
        <w:rPr>
          <w:rFonts w:ascii="Times New Roman" w:hAnsi="Times New Roman" w:cs="Times New Roman"/>
          <w:sz w:val="24"/>
          <w:szCs w:val="24"/>
        </w:rPr>
        <w:t xml:space="preserve"> </w:t>
      </w:r>
      <w:r w:rsidR="00DA3D37" w:rsidRPr="00DA3D37">
        <w:rPr>
          <w:rFonts w:ascii="Times New Roman" w:hAnsi="Times New Roman" w:cs="Times New Roman"/>
          <w:sz w:val="24"/>
          <w:szCs w:val="24"/>
        </w:rPr>
        <w:t>водоснабжения, организованного с соблюдением требований безопасности</w:t>
      </w:r>
      <w:r w:rsidR="00E851B7">
        <w:rPr>
          <w:rStyle w:val="a6"/>
          <w:rFonts w:ascii="Times New Roman" w:hAnsi="Times New Roman" w:cs="Times New Roman"/>
          <w:sz w:val="24"/>
          <w:szCs w:val="24"/>
        </w:rPr>
        <w:footnoteReference w:id="1"/>
      </w:r>
      <w:r w:rsidR="000476F9" w:rsidRPr="00DA3D37">
        <w:rPr>
          <w:rFonts w:ascii="Times New Roman" w:hAnsi="Times New Roman" w:cs="Times New Roman"/>
          <w:sz w:val="24"/>
          <w:szCs w:val="24"/>
        </w:rPr>
        <w:t>.</w:t>
      </w:r>
    </w:p>
    <w:p w:rsidR="00DA3D37" w:rsidRPr="00DA3D37" w:rsidRDefault="00DA3D37" w:rsidP="00DA3D37">
      <w:pPr>
        <w:pStyle w:val="ab"/>
        <w:pBdr>
          <w:top w:val="nil"/>
          <w:left w:val="nil"/>
          <w:bottom w:val="nil"/>
          <w:right w:val="nil"/>
          <w:between w:val="nil"/>
          <w:bar w:val="nil"/>
        </w:pBdr>
        <w:spacing w:after="0"/>
        <w:jc w:val="both"/>
        <w:rPr>
          <w:rFonts w:ascii="Times New Roman" w:hAnsi="Times New Roman" w:cs="Times New Roman"/>
          <w:sz w:val="24"/>
          <w:szCs w:val="24"/>
        </w:rPr>
      </w:pPr>
    </w:p>
    <w:p w:rsidR="00980F79" w:rsidRPr="00481C89" w:rsidRDefault="00980F79" w:rsidP="00481C89">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proofErr w:type="gramStart"/>
      <w:r w:rsidRPr="00BD29EC">
        <w:rPr>
          <w:rFonts w:ascii="Times New Roman" w:hAnsi="Times New Roman" w:cs="Times New Roman"/>
          <w:b/>
          <w:sz w:val="24"/>
          <w:szCs w:val="24"/>
        </w:rPr>
        <w:t>Доступ к основным службам санитарии</w:t>
      </w:r>
      <w:r w:rsidRPr="00BD29EC">
        <w:rPr>
          <w:rFonts w:ascii="Times New Roman" w:hAnsi="Times New Roman" w:cs="Times New Roman"/>
          <w:sz w:val="24"/>
          <w:szCs w:val="24"/>
        </w:rPr>
        <w:t xml:space="preserve"> относ</w:t>
      </w:r>
      <w:r w:rsidR="00481C89">
        <w:rPr>
          <w:rFonts w:ascii="Times New Roman" w:hAnsi="Times New Roman" w:cs="Times New Roman"/>
          <w:sz w:val="24"/>
          <w:szCs w:val="24"/>
        </w:rPr>
        <w:t>ится к использованию</w:t>
      </w:r>
      <w:r w:rsidR="005160FF" w:rsidRPr="005160FF">
        <w:rPr>
          <w:rFonts w:ascii="Times New Roman" w:hAnsi="Times New Roman" w:cs="Times New Roman"/>
          <w:sz w:val="24"/>
          <w:szCs w:val="24"/>
        </w:rPr>
        <w:t xml:space="preserve"> улучшенных </w:t>
      </w:r>
      <w:r w:rsidR="00481C89" w:rsidRPr="00481C89">
        <w:rPr>
          <w:rFonts w:ascii="Times New Roman" w:hAnsi="Times New Roman" w:cs="Times New Roman"/>
          <w:sz w:val="24"/>
          <w:szCs w:val="24"/>
        </w:rPr>
        <w:t>сани</w:t>
      </w:r>
      <w:r w:rsidR="00481C89">
        <w:rPr>
          <w:rFonts w:ascii="Times New Roman" w:hAnsi="Times New Roman" w:cs="Times New Roman"/>
          <w:sz w:val="24"/>
          <w:szCs w:val="24"/>
        </w:rPr>
        <w:t>тарно-гигиеническим сооружений, которыми</w:t>
      </w:r>
      <w:r w:rsidR="005160FF" w:rsidRPr="005160FF">
        <w:rPr>
          <w:rFonts w:ascii="Times New Roman" w:hAnsi="Times New Roman" w:cs="Times New Roman"/>
          <w:sz w:val="24"/>
          <w:szCs w:val="24"/>
        </w:rPr>
        <w:t xml:space="preserve"> не пользуются другие домох</w:t>
      </w:r>
      <w:r w:rsidR="00481C89">
        <w:rPr>
          <w:rFonts w:ascii="Times New Roman" w:hAnsi="Times New Roman" w:cs="Times New Roman"/>
          <w:sz w:val="24"/>
          <w:szCs w:val="24"/>
        </w:rPr>
        <w:t>озяйства.</w:t>
      </w:r>
      <w:proofErr w:type="gramEnd"/>
      <w:r w:rsidR="00481C89">
        <w:rPr>
          <w:rFonts w:ascii="Times New Roman" w:hAnsi="Times New Roman" w:cs="Times New Roman"/>
          <w:sz w:val="24"/>
          <w:szCs w:val="24"/>
        </w:rPr>
        <w:t xml:space="preserve"> «Улучшенное санитарно-гигиеническое</w:t>
      </w:r>
      <w:r w:rsidR="005160FF" w:rsidRPr="005160FF">
        <w:rPr>
          <w:rFonts w:ascii="Times New Roman" w:hAnsi="Times New Roman" w:cs="Times New Roman"/>
          <w:sz w:val="24"/>
          <w:szCs w:val="24"/>
        </w:rPr>
        <w:t xml:space="preserve"> сооружение» определяется как учреждение, предназначенное для гигиенического отделения человеческих экскрементов от контакта с людьми. Улучшенные санитарно-технические сооружения включают технологии влажной санитарии, такие как туалеты со смывом или проливом, подключенные к канализационным системам, септикам или уборным с выгребной ямой; и технологии сухой санитарии, такие как туалеты с сухой выгребной ямой с плитами (построенные из прочных и легко чистящихся материалов), туалеты с вентилируемой улучшенной выгребной ямой (VIP), уборные с выгребной ямой с плитой, биотуалеты и санитарные системы на основе контейнеров. Если домохозяйство пользуется туалетом со смывом или проливом, но не знает, куда осуществляется смыв, то санитарно-техническое сооружение считается улучшенным, поскольку домохозяйство может не знать, в какую канализацию, септик или выгребную яму осуществляется смыв. Это определение основано на лестнице санитарии СПМ и является основой для показателя ЦУР 6.2.1a – </w:t>
      </w:r>
      <w:r w:rsidR="00481C89">
        <w:rPr>
          <w:rFonts w:ascii="Times New Roman" w:hAnsi="Times New Roman" w:cs="Times New Roman"/>
          <w:sz w:val="24"/>
          <w:szCs w:val="24"/>
        </w:rPr>
        <w:t>Доля населения, использующего</w:t>
      </w:r>
      <w:r w:rsidR="00481C89" w:rsidRPr="00481C89">
        <w:rPr>
          <w:rFonts w:ascii="Times New Roman" w:hAnsi="Times New Roman" w:cs="Times New Roman"/>
          <w:sz w:val="24"/>
          <w:szCs w:val="24"/>
        </w:rPr>
        <w:t xml:space="preserve"> организованные с соблюдением требований безопасности</w:t>
      </w:r>
      <w:r w:rsidR="00481C89">
        <w:rPr>
          <w:rFonts w:ascii="Times New Roman" w:hAnsi="Times New Roman" w:cs="Times New Roman"/>
          <w:sz w:val="24"/>
          <w:szCs w:val="24"/>
        </w:rPr>
        <w:t xml:space="preserve"> услуги санитарии</w:t>
      </w:r>
      <w:r w:rsidR="00E851B7">
        <w:rPr>
          <w:rStyle w:val="a6"/>
          <w:rFonts w:ascii="Times New Roman" w:hAnsi="Times New Roman" w:cs="Times New Roman"/>
          <w:sz w:val="24"/>
          <w:szCs w:val="24"/>
        </w:rPr>
        <w:footnoteReference w:id="2"/>
      </w:r>
      <w:r w:rsidR="005160FF" w:rsidRPr="00481C89">
        <w:rPr>
          <w:rFonts w:ascii="Times New Roman" w:hAnsi="Times New Roman" w:cs="Times New Roman"/>
          <w:sz w:val="24"/>
          <w:szCs w:val="24"/>
        </w:rPr>
        <w:t>.</w:t>
      </w:r>
    </w:p>
    <w:p w:rsidR="00DA3D37" w:rsidRPr="00DA3D37" w:rsidRDefault="00DA3D37" w:rsidP="00DA3D37">
      <w:pPr>
        <w:pBdr>
          <w:top w:val="nil"/>
          <w:left w:val="nil"/>
          <w:bottom w:val="nil"/>
          <w:right w:val="nil"/>
          <w:between w:val="nil"/>
          <w:bar w:val="nil"/>
        </w:pBdr>
        <w:spacing w:after="0"/>
        <w:jc w:val="both"/>
        <w:rPr>
          <w:rFonts w:ascii="Times New Roman" w:hAnsi="Times New Roman" w:cs="Times New Roman"/>
          <w:sz w:val="24"/>
          <w:szCs w:val="24"/>
        </w:rPr>
      </w:pPr>
    </w:p>
    <w:p w:rsidR="00980F79" w:rsidRPr="005D463E" w:rsidRDefault="00980F79" w:rsidP="00DF092F">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b/>
          <w:sz w:val="24"/>
          <w:szCs w:val="24"/>
        </w:rPr>
        <w:t>Доступ к основным средствам гигиены</w:t>
      </w:r>
      <w:r w:rsidR="00DF092F" w:rsidRPr="00DF092F">
        <w:rPr>
          <w:rFonts w:ascii="Times New Roman" w:hAnsi="Times New Roman" w:cs="Times New Roman"/>
          <w:sz w:val="24"/>
          <w:szCs w:val="24"/>
        </w:rPr>
        <w:t xml:space="preserve"> означает наличие дома средства для мытья рук с мылом и водой. Устройства для мытья рук могут располагаться внутри жилища, во дворе или на участке. Устройства для мытья рук могут быть стационарными или передвижными и включать раковину с водопроводной водой, ведра с кранами, краны-опрокидыватели, а также кувшины или тазы, предназначенные для мытья рук. Мыло включает кусковое мыло, жидкое мыло, порошковое моющее средство и мыльную воду, но не включает золу, почву, песок или другие средства для мытья рук. Это определение основано на гигиенической </w:t>
      </w:r>
      <w:r w:rsidR="00DF092F" w:rsidRPr="00DF092F">
        <w:rPr>
          <w:rFonts w:ascii="Times New Roman" w:hAnsi="Times New Roman" w:cs="Times New Roman"/>
          <w:sz w:val="24"/>
          <w:szCs w:val="24"/>
        </w:rPr>
        <w:lastRenderedPageBreak/>
        <w:t>лестнице СПМ и лежит в основе показателя ЦУР 6.2.1</w:t>
      </w:r>
      <w:r w:rsidR="00DF092F" w:rsidRPr="00DF092F">
        <w:rPr>
          <w:rFonts w:ascii="Times New Roman" w:hAnsi="Times New Roman" w:cs="Times New Roman"/>
          <w:sz w:val="24"/>
          <w:szCs w:val="24"/>
          <w:lang w:val="en-US"/>
        </w:rPr>
        <w:t>b</w:t>
      </w:r>
      <w:r w:rsidR="00DF092F" w:rsidRPr="00DF092F">
        <w:rPr>
          <w:rFonts w:ascii="Times New Roman" w:hAnsi="Times New Roman" w:cs="Times New Roman"/>
          <w:sz w:val="24"/>
          <w:szCs w:val="24"/>
        </w:rPr>
        <w:t xml:space="preserve"> «</w:t>
      </w:r>
      <w:r w:rsidR="00DF092F">
        <w:rPr>
          <w:rFonts w:ascii="Times New Roman" w:hAnsi="Times New Roman" w:cs="Times New Roman"/>
          <w:sz w:val="24"/>
          <w:szCs w:val="24"/>
        </w:rPr>
        <w:t>Доля населения, использующего</w:t>
      </w:r>
      <w:r w:rsidR="00DF092F" w:rsidRPr="00DF092F">
        <w:rPr>
          <w:rFonts w:ascii="Times New Roman" w:hAnsi="Times New Roman" w:cs="Times New Roman"/>
          <w:sz w:val="24"/>
          <w:szCs w:val="24"/>
        </w:rPr>
        <w:t xml:space="preserve"> устройства для мытья рук с мылом и водой»</w:t>
      </w:r>
      <w:r w:rsidR="00174E8C">
        <w:rPr>
          <w:rStyle w:val="a6"/>
          <w:rFonts w:ascii="Times New Roman" w:hAnsi="Times New Roman" w:cs="Times New Roman"/>
          <w:sz w:val="24"/>
          <w:szCs w:val="24"/>
        </w:rPr>
        <w:footnoteReference w:id="3"/>
      </w:r>
      <w:r w:rsidR="00DF092F" w:rsidRPr="00DF092F">
        <w:rPr>
          <w:rFonts w:ascii="Times New Roman" w:hAnsi="Times New Roman" w:cs="Times New Roman"/>
          <w:sz w:val="24"/>
          <w:szCs w:val="24"/>
        </w:rPr>
        <w:t>.</w:t>
      </w:r>
    </w:p>
    <w:p w:rsidR="005D463E" w:rsidRPr="005D463E" w:rsidRDefault="005D463E" w:rsidP="005D463E">
      <w:pPr>
        <w:pStyle w:val="ab"/>
        <w:rPr>
          <w:rFonts w:ascii="Times New Roman" w:hAnsi="Times New Roman" w:cs="Times New Roman"/>
          <w:sz w:val="24"/>
          <w:szCs w:val="24"/>
        </w:rPr>
      </w:pPr>
    </w:p>
    <w:p w:rsidR="005D463E" w:rsidRPr="00DF092F" w:rsidRDefault="005D463E" w:rsidP="005D463E">
      <w:pPr>
        <w:pStyle w:val="ab"/>
        <w:pBdr>
          <w:top w:val="nil"/>
          <w:left w:val="nil"/>
          <w:bottom w:val="nil"/>
          <w:right w:val="nil"/>
          <w:between w:val="nil"/>
          <w:bar w:val="nil"/>
        </w:pBdr>
        <w:spacing w:after="0"/>
        <w:ind w:left="0" w:firstLine="709"/>
        <w:jc w:val="both"/>
        <w:rPr>
          <w:rFonts w:ascii="Times New Roman" w:hAnsi="Times New Roman" w:cs="Times New Roman"/>
          <w:sz w:val="24"/>
          <w:szCs w:val="24"/>
        </w:rPr>
      </w:pPr>
      <w:r w:rsidRPr="005D463E">
        <w:rPr>
          <w:rFonts w:ascii="Times New Roman" w:hAnsi="Times New Roman" w:cs="Times New Roman"/>
          <w:sz w:val="24"/>
          <w:szCs w:val="24"/>
        </w:rPr>
        <w:t>Для многих стран с низким и средним уровнем дохода достижение всеобщего доступа к базовой питьевой воде, санитарии и гигиене остается высоким приоритетом, что поможет им достичь доступа к «безопасно управляемым услугам», задачам ЦУР 6.1 и 6.2.</w:t>
      </w:r>
    </w:p>
    <w:p w:rsidR="00DA3D37" w:rsidRPr="00DA3D37" w:rsidRDefault="00DA3D37" w:rsidP="00DA3D37">
      <w:pPr>
        <w:pBdr>
          <w:top w:val="nil"/>
          <w:left w:val="nil"/>
          <w:bottom w:val="nil"/>
          <w:right w:val="nil"/>
          <w:between w:val="nil"/>
          <w:bar w:val="nil"/>
        </w:pBdr>
        <w:spacing w:after="0"/>
        <w:jc w:val="both"/>
        <w:rPr>
          <w:rFonts w:ascii="Times New Roman" w:hAnsi="Times New Roman" w:cs="Times New Roman"/>
          <w:sz w:val="24"/>
          <w:szCs w:val="24"/>
        </w:rPr>
      </w:pPr>
    </w:p>
    <w:p w:rsidR="00DA3D37" w:rsidRPr="005D463E" w:rsidRDefault="00980F79" w:rsidP="005D463E">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b/>
          <w:sz w:val="24"/>
          <w:szCs w:val="24"/>
        </w:rPr>
        <w:t>Доступ к чистым видам топлива и технологиям</w:t>
      </w:r>
      <w:r w:rsidRPr="00BD29EC">
        <w:rPr>
          <w:rFonts w:ascii="Times New Roman" w:hAnsi="Times New Roman" w:cs="Times New Roman"/>
          <w:sz w:val="24"/>
          <w:szCs w:val="24"/>
        </w:rPr>
        <w:t xml:space="preserve"> относится к использованию топлива и технологий, которые определены целевыми показателями уровня выбросов и конкретными рекомендациями по топливу (например, в отношении необработанного угля и керосина), включенными в нормативное руководство ВОЗ по качеству воздуха в помещениях: сжига</w:t>
      </w:r>
      <w:r w:rsidR="00FB66D9">
        <w:rPr>
          <w:rFonts w:ascii="Times New Roman" w:hAnsi="Times New Roman" w:cs="Times New Roman"/>
          <w:sz w:val="24"/>
          <w:szCs w:val="24"/>
        </w:rPr>
        <w:t>ние топлива в домашних условиях</w:t>
      </w:r>
      <w:r w:rsidRPr="00BD29EC">
        <w:rPr>
          <w:rFonts w:ascii="Times New Roman" w:hAnsi="Times New Roman" w:cs="Times New Roman"/>
          <w:sz w:val="24"/>
          <w:szCs w:val="24"/>
        </w:rPr>
        <w:t xml:space="preserve">. Этот компонент будет отражен в ЦУР 7.1.2 - </w:t>
      </w:r>
      <w:r w:rsidR="005D463E" w:rsidRPr="005D463E">
        <w:rPr>
          <w:rFonts w:ascii="Times New Roman" w:hAnsi="Times New Roman" w:cs="Times New Roman"/>
          <w:sz w:val="24"/>
          <w:szCs w:val="24"/>
        </w:rPr>
        <w:t>Доля населения, использующего в основном чистые виды топлива и технологи</w:t>
      </w:r>
      <w:r w:rsidRPr="005D463E">
        <w:rPr>
          <w:rFonts w:ascii="Times New Roman" w:hAnsi="Times New Roman" w:cs="Times New Roman"/>
          <w:sz w:val="24"/>
          <w:szCs w:val="24"/>
        </w:rPr>
        <w:t>.</w:t>
      </w:r>
    </w:p>
    <w:p w:rsidR="00DA3D37" w:rsidRPr="00DA3D37" w:rsidRDefault="00DA3D37" w:rsidP="00DA3D37">
      <w:pPr>
        <w:pBdr>
          <w:top w:val="nil"/>
          <w:left w:val="nil"/>
          <w:bottom w:val="nil"/>
          <w:right w:val="nil"/>
          <w:between w:val="nil"/>
          <w:bar w:val="nil"/>
        </w:pBdr>
        <w:spacing w:after="0"/>
        <w:jc w:val="both"/>
        <w:rPr>
          <w:rFonts w:ascii="Times New Roman" w:hAnsi="Times New Roman" w:cs="Times New Roman"/>
          <w:sz w:val="24"/>
          <w:szCs w:val="24"/>
        </w:rPr>
      </w:pPr>
    </w:p>
    <w:p w:rsidR="00980F79" w:rsidRPr="00BD29EC" w:rsidRDefault="00980F79" w:rsidP="000476F9">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b/>
          <w:sz w:val="24"/>
          <w:szCs w:val="24"/>
        </w:rPr>
        <w:t>Доступ к базовой мобильности</w:t>
      </w:r>
      <w:r w:rsidRPr="00BD29EC">
        <w:rPr>
          <w:rFonts w:ascii="Times New Roman" w:hAnsi="Times New Roman" w:cs="Times New Roman"/>
          <w:sz w:val="24"/>
          <w:szCs w:val="24"/>
        </w:rPr>
        <w:t xml:space="preserve"> относится к </w:t>
      </w:r>
      <w:r w:rsidR="000476F9">
        <w:rPr>
          <w:rFonts w:ascii="Times New Roman" w:hAnsi="Times New Roman" w:cs="Times New Roman"/>
          <w:sz w:val="24"/>
          <w:szCs w:val="24"/>
        </w:rPr>
        <w:t xml:space="preserve">удобному </w:t>
      </w:r>
      <w:r w:rsidR="000476F9" w:rsidRPr="000476F9">
        <w:rPr>
          <w:rFonts w:ascii="Times New Roman" w:hAnsi="Times New Roman" w:cs="Times New Roman"/>
          <w:sz w:val="24"/>
          <w:szCs w:val="24"/>
        </w:rPr>
        <w:t>к транспорту в сельской местности (ЦУР 9.1.1) или удобн</w:t>
      </w:r>
      <w:r w:rsidR="000476F9">
        <w:rPr>
          <w:rFonts w:ascii="Times New Roman" w:hAnsi="Times New Roman" w:cs="Times New Roman"/>
          <w:sz w:val="24"/>
          <w:szCs w:val="24"/>
        </w:rPr>
        <w:t>ому</w:t>
      </w:r>
      <w:r w:rsidR="000476F9" w:rsidRPr="000476F9">
        <w:rPr>
          <w:rFonts w:ascii="Times New Roman" w:hAnsi="Times New Roman" w:cs="Times New Roman"/>
          <w:sz w:val="24"/>
          <w:szCs w:val="24"/>
        </w:rPr>
        <w:t xml:space="preserve"> доступ</w:t>
      </w:r>
      <w:r w:rsidR="000476F9">
        <w:rPr>
          <w:rFonts w:ascii="Times New Roman" w:hAnsi="Times New Roman" w:cs="Times New Roman"/>
          <w:sz w:val="24"/>
          <w:szCs w:val="24"/>
        </w:rPr>
        <w:t>у</w:t>
      </w:r>
      <w:r w:rsidR="000476F9" w:rsidRPr="000476F9">
        <w:rPr>
          <w:rFonts w:ascii="Times New Roman" w:hAnsi="Times New Roman" w:cs="Times New Roman"/>
          <w:sz w:val="24"/>
          <w:szCs w:val="24"/>
        </w:rPr>
        <w:t xml:space="preserve"> к общественному транспорту в городском контексте (ЦУР 11.2.1).</w:t>
      </w:r>
    </w:p>
    <w:p w:rsidR="006D7049" w:rsidRPr="00BD29EC" w:rsidRDefault="006D7049" w:rsidP="0075371E">
      <w:pPr>
        <w:pStyle w:val="ab"/>
        <w:pBdr>
          <w:top w:val="nil"/>
          <w:left w:val="nil"/>
          <w:bottom w:val="nil"/>
          <w:right w:val="nil"/>
          <w:between w:val="nil"/>
          <w:bar w:val="nil"/>
        </w:pBdr>
        <w:spacing w:after="0"/>
        <w:jc w:val="both"/>
        <w:rPr>
          <w:rFonts w:ascii="Times New Roman" w:hAnsi="Times New Roman" w:cs="Times New Roman"/>
          <w:sz w:val="24"/>
          <w:szCs w:val="24"/>
        </w:rPr>
      </w:pPr>
    </w:p>
    <w:p w:rsidR="006D7049" w:rsidRPr="00BD29EC" w:rsidRDefault="006D7049" w:rsidP="00BB62ED">
      <w:pPr>
        <w:pStyle w:val="ab"/>
        <w:numPr>
          <w:ilvl w:val="0"/>
          <w:numId w:val="5"/>
        </w:numPr>
        <w:pBdr>
          <w:top w:val="nil"/>
          <w:left w:val="nil"/>
          <w:bottom w:val="nil"/>
          <w:right w:val="nil"/>
          <w:between w:val="nil"/>
          <w:bar w:val="nil"/>
        </w:pBdr>
        <w:spacing w:after="0"/>
        <w:jc w:val="both"/>
        <w:rPr>
          <w:rFonts w:ascii="Times New Roman" w:hAnsi="Times New Roman" w:cs="Times New Roman"/>
          <w:b/>
          <w:sz w:val="24"/>
          <w:szCs w:val="24"/>
        </w:rPr>
      </w:pPr>
      <w:r w:rsidRPr="00BD29EC">
        <w:rPr>
          <w:rFonts w:ascii="Times New Roman" w:hAnsi="Times New Roman" w:cs="Times New Roman"/>
          <w:b/>
          <w:sz w:val="24"/>
          <w:szCs w:val="24"/>
        </w:rPr>
        <w:t>В контексте сельских территорий:</w:t>
      </w:r>
    </w:p>
    <w:p w:rsidR="00FB66D9" w:rsidRPr="00FB66D9" w:rsidRDefault="00FB66D9" w:rsidP="00FB66D9">
      <w:pPr>
        <w:pStyle w:val="ab"/>
        <w:pBdr>
          <w:top w:val="nil"/>
          <w:left w:val="nil"/>
          <w:bottom w:val="nil"/>
          <w:right w:val="nil"/>
          <w:between w:val="nil"/>
          <w:bar w:val="nil"/>
        </w:pBdr>
        <w:spacing w:after="0"/>
        <w:jc w:val="both"/>
        <w:rPr>
          <w:rFonts w:ascii="Times New Roman" w:hAnsi="Times New Roman" w:cs="Times New Roman"/>
          <w:sz w:val="24"/>
          <w:szCs w:val="24"/>
        </w:rPr>
      </w:pPr>
      <w:r w:rsidRPr="00FB66D9">
        <w:rPr>
          <w:rFonts w:ascii="Times New Roman" w:hAnsi="Times New Roman" w:cs="Times New Roman"/>
          <w:sz w:val="24"/>
          <w:szCs w:val="24"/>
        </w:rPr>
        <w:t xml:space="preserve">Чтобы искоренить бедность, сообщества должны быть подключены к социально-экономическим возможностям с помощью дорог, которые проходимы круглый год и привлекают надежные и доступные услуги общественного транспорта. </w:t>
      </w:r>
      <w:proofErr w:type="gramStart"/>
      <w:r w:rsidRPr="00FB66D9">
        <w:rPr>
          <w:rFonts w:ascii="Times New Roman" w:hAnsi="Times New Roman" w:cs="Times New Roman"/>
          <w:sz w:val="24"/>
          <w:szCs w:val="24"/>
        </w:rPr>
        <w:t>Во многих районах могут потребоваться безопасные пешеходные дорожки, пешеходные мосты и водные пути в сочетании с дорогами или в качестве альтернативы им. Для упрощения в этом определении особый акцент был сделан на дорогах (на основе Индекса доступа в сельской местности - RAI - процент населения, находящегося на расстоянии менее 2 км от всесезонной дороги (э</w:t>
      </w:r>
      <w:r>
        <w:rPr>
          <w:rFonts w:ascii="Times New Roman" w:hAnsi="Times New Roman" w:cs="Times New Roman"/>
          <w:sz w:val="24"/>
          <w:szCs w:val="24"/>
        </w:rPr>
        <w:t>квивалент 20-25 минут ходьбы)</w:t>
      </w:r>
      <w:r w:rsidR="002D232A">
        <w:rPr>
          <w:rStyle w:val="a6"/>
          <w:rFonts w:ascii="Times New Roman" w:hAnsi="Times New Roman" w:cs="Times New Roman"/>
          <w:sz w:val="24"/>
          <w:szCs w:val="24"/>
        </w:rPr>
        <w:footnoteReference w:id="4"/>
      </w:r>
      <w:r>
        <w:rPr>
          <w:rFonts w:ascii="Times New Roman" w:hAnsi="Times New Roman" w:cs="Times New Roman"/>
          <w:sz w:val="24"/>
          <w:szCs w:val="24"/>
        </w:rPr>
        <w:t>)</w:t>
      </w:r>
      <w:r w:rsidR="002D232A">
        <w:rPr>
          <w:rStyle w:val="a6"/>
          <w:rFonts w:ascii="Times New Roman" w:hAnsi="Times New Roman" w:cs="Times New Roman"/>
          <w:sz w:val="24"/>
          <w:szCs w:val="24"/>
        </w:rPr>
        <w:footnoteReference w:id="5"/>
      </w:r>
      <w:r>
        <w:rPr>
          <w:rFonts w:ascii="Times New Roman" w:hAnsi="Times New Roman" w:cs="Times New Roman"/>
          <w:sz w:val="24"/>
          <w:szCs w:val="24"/>
        </w:rPr>
        <w:t xml:space="preserve">. </w:t>
      </w:r>
      <w:r w:rsidRPr="00FB66D9">
        <w:rPr>
          <w:rFonts w:ascii="Times New Roman" w:hAnsi="Times New Roman" w:cs="Times New Roman"/>
          <w:sz w:val="24"/>
          <w:szCs w:val="24"/>
        </w:rPr>
        <w:t>В тех ситуациях, когда</w:t>
      </w:r>
      <w:proofErr w:type="gramEnd"/>
      <w:r w:rsidRPr="00FB66D9">
        <w:rPr>
          <w:rFonts w:ascii="Times New Roman" w:hAnsi="Times New Roman" w:cs="Times New Roman"/>
          <w:sz w:val="24"/>
          <w:szCs w:val="24"/>
        </w:rPr>
        <w:t xml:space="preserve"> доминирует другой вид транспорта, например водный, определение будет изменено и </w:t>
      </w:r>
      <w:proofErr w:type="spellStart"/>
      <w:r w:rsidRPr="00FB66D9">
        <w:rPr>
          <w:rFonts w:ascii="Times New Roman" w:hAnsi="Times New Roman" w:cs="Times New Roman"/>
          <w:sz w:val="24"/>
          <w:szCs w:val="24"/>
        </w:rPr>
        <w:t>контекстуализировано</w:t>
      </w:r>
      <w:proofErr w:type="spellEnd"/>
      <w:r w:rsidRPr="00FB66D9">
        <w:rPr>
          <w:rFonts w:ascii="Times New Roman" w:hAnsi="Times New Roman" w:cs="Times New Roman"/>
          <w:sz w:val="24"/>
          <w:szCs w:val="24"/>
        </w:rPr>
        <w:t>, чтобы отразить и уловить эти аспекты. Доступ к мобильности показал одно из самых значительных воздействий на сокращение бедности и имеет сильную корреляцию с результатами в области образования, экономики и здоровья («транспорт как средство реализации»).</w:t>
      </w:r>
    </w:p>
    <w:p w:rsidR="00FB66D9" w:rsidRPr="00A27FDB" w:rsidRDefault="00FB66D9" w:rsidP="00A27FDB">
      <w:pPr>
        <w:pStyle w:val="ab"/>
        <w:pBdr>
          <w:top w:val="nil"/>
          <w:left w:val="nil"/>
          <w:bottom w:val="nil"/>
          <w:right w:val="nil"/>
          <w:between w:val="nil"/>
          <w:bar w:val="nil"/>
        </w:pBdr>
        <w:spacing w:after="0"/>
        <w:jc w:val="both"/>
        <w:rPr>
          <w:rFonts w:ascii="Times New Roman" w:hAnsi="Times New Roman" w:cs="Times New Roman"/>
          <w:sz w:val="24"/>
          <w:szCs w:val="24"/>
        </w:rPr>
      </w:pPr>
      <w:r w:rsidRPr="00FB66D9">
        <w:rPr>
          <w:rFonts w:ascii="Times New Roman" w:hAnsi="Times New Roman" w:cs="Times New Roman"/>
          <w:sz w:val="24"/>
          <w:szCs w:val="24"/>
        </w:rPr>
        <w:t>RAI является наиболее широко используемым показателем для отслеживания доступа к транспорту в сельской мес</w:t>
      </w:r>
      <w:r w:rsidR="00C54664">
        <w:rPr>
          <w:rFonts w:ascii="Times New Roman" w:hAnsi="Times New Roman" w:cs="Times New Roman"/>
          <w:sz w:val="24"/>
          <w:szCs w:val="24"/>
        </w:rPr>
        <w:t xml:space="preserve">тности и был включен в ЦУР как показатель </w:t>
      </w:r>
      <w:r w:rsidRPr="00FB66D9">
        <w:rPr>
          <w:rFonts w:ascii="Times New Roman" w:hAnsi="Times New Roman" w:cs="Times New Roman"/>
          <w:sz w:val="24"/>
          <w:szCs w:val="24"/>
        </w:rPr>
        <w:t xml:space="preserve">ЦУР </w:t>
      </w:r>
      <w:r w:rsidR="00C54664" w:rsidRPr="00FB66D9">
        <w:rPr>
          <w:rFonts w:ascii="Times New Roman" w:hAnsi="Times New Roman" w:cs="Times New Roman"/>
          <w:sz w:val="24"/>
          <w:szCs w:val="24"/>
        </w:rPr>
        <w:t xml:space="preserve">9.1.1 </w:t>
      </w:r>
      <w:r w:rsidR="00C54664">
        <w:rPr>
          <w:rFonts w:ascii="Times New Roman" w:hAnsi="Times New Roman" w:cs="Times New Roman"/>
          <w:sz w:val="24"/>
          <w:szCs w:val="24"/>
        </w:rPr>
        <w:t>–</w:t>
      </w:r>
      <w:r w:rsidRPr="00FB66D9">
        <w:rPr>
          <w:rFonts w:ascii="Times New Roman" w:hAnsi="Times New Roman" w:cs="Times New Roman"/>
          <w:sz w:val="24"/>
          <w:szCs w:val="24"/>
        </w:rPr>
        <w:t xml:space="preserve"> </w:t>
      </w:r>
      <w:r w:rsidR="00A27FDB" w:rsidRPr="00A27FDB">
        <w:rPr>
          <w:rFonts w:ascii="Times New Roman" w:hAnsi="Times New Roman" w:cs="Times New Roman"/>
          <w:sz w:val="24"/>
          <w:szCs w:val="24"/>
        </w:rPr>
        <w:t>Доля сель</w:t>
      </w:r>
      <w:r w:rsidR="00A27FDB">
        <w:rPr>
          <w:rFonts w:ascii="Times New Roman" w:hAnsi="Times New Roman" w:cs="Times New Roman"/>
          <w:sz w:val="24"/>
          <w:szCs w:val="24"/>
        </w:rPr>
        <w:t xml:space="preserve">ского населения, проживающего в </w:t>
      </w:r>
      <w:r w:rsidR="00A27FDB" w:rsidRPr="00A27FDB">
        <w:rPr>
          <w:rFonts w:ascii="Times New Roman" w:hAnsi="Times New Roman" w:cs="Times New Roman"/>
          <w:sz w:val="24"/>
          <w:szCs w:val="24"/>
        </w:rPr>
        <w:t>пределах 2 км от всесезонной дороги</w:t>
      </w:r>
      <w:r w:rsidRPr="00A27FDB">
        <w:rPr>
          <w:rFonts w:ascii="Times New Roman" w:hAnsi="Times New Roman" w:cs="Times New Roman"/>
          <w:sz w:val="24"/>
          <w:szCs w:val="24"/>
        </w:rPr>
        <w:t>. Таким образом, этот компонент будет отражен в ЦУР 9.1.1.</w:t>
      </w:r>
    </w:p>
    <w:p w:rsidR="006D7049" w:rsidRPr="00BD29EC" w:rsidRDefault="00FB66D9" w:rsidP="00FB66D9">
      <w:pPr>
        <w:pStyle w:val="ab"/>
        <w:pBdr>
          <w:top w:val="nil"/>
          <w:left w:val="nil"/>
          <w:bottom w:val="nil"/>
          <w:right w:val="nil"/>
          <w:between w:val="nil"/>
          <w:bar w:val="nil"/>
        </w:pBdr>
        <w:spacing w:after="0"/>
        <w:jc w:val="both"/>
        <w:rPr>
          <w:rFonts w:ascii="Times New Roman" w:hAnsi="Times New Roman" w:cs="Times New Roman"/>
          <w:sz w:val="24"/>
          <w:szCs w:val="24"/>
        </w:rPr>
      </w:pPr>
      <w:r w:rsidRPr="00FB66D9">
        <w:rPr>
          <w:rFonts w:ascii="Times New Roman" w:hAnsi="Times New Roman" w:cs="Times New Roman"/>
          <w:sz w:val="24"/>
          <w:szCs w:val="24"/>
        </w:rPr>
        <w:t xml:space="preserve">Существующая методология RAI основана на данных обследований на уровне домохозяйств, однако в настоящее время она пересматривается в индекс на основе </w:t>
      </w:r>
      <w:r w:rsidRPr="00FB66D9">
        <w:rPr>
          <w:rFonts w:ascii="Times New Roman" w:hAnsi="Times New Roman" w:cs="Times New Roman"/>
          <w:sz w:val="24"/>
          <w:szCs w:val="24"/>
        </w:rPr>
        <w:lastRenderedPageBreak/>
        <w:t>ГИС, который использует достижения цифровых технологий с целью создания более точного и экономичного инструмента.</w:t>
      </w:r>
    </w:p>
    <w:p w:rsidR="006D7049" w:rsidRPr="00BD29EC" w:rsidRDefault="006D7049" w:rsidP="0075371E">
      <w:pPr>
        <w:pStyle w:val="ab"/>
        <w:pBdr>
          <w:top w:val="nil"/>
          <w:left w:val="nil"/>
          <w:bottom w:val="nil"/>
          <w:right w:val="nil"/>
          <w:between w:val="nil"/>
          <w:bar w:val="nil"/>
        </w:pBdr>
        <w:spacing w:after="0"/>
        <w:jc w:val="both"/>
        <w:rPr>
          <w:rFonts w:ascii="Times New Roman" w:hAnsi="Times New Roman" w:cs="Times New Roman"/>
          <w:sz w:val="24"/>
          <w:szCs w:val="24"/>
        </w:rPr>
      </w:pPr>
    </w:p>
    <w:p w:rsidR="006D7049" w:rsidRPr="00BD29EC" w:rsidRDefault="00BB62ED" w:rsidP="00BB62ED">
      <w:pPr>
        <w:pStyle w:val="ab"/>
        <w:numPr>
          <w:ilvl w:val="0"/>
          <w:numId w:val="5"/>
        </w:numPr>
        <w:pBdr>
          <w:top w:val="nil"/>
          <w:left w:val="nil"/>
          <w:bottom w:val="nil"/>
          <w:right w:val="nil"/>
          <w:between w:val="nil"/>
          <w:bar w:val="nil"/>
        </w:pBdr>
        <w:spacing w:after="0"/>
        <w:jc w:val="both"/>
        <w:rPr>
          <w:rFonts w:ascii="Times New Roman" w:hAnsi="Times New Roman" w:cs="Times New Roman"/>
          <w:b/>
          <w:sz w:val="24"/>
          <w:szCs w:val="24"/>
        </w:rPr>
      </w:pPr>
      <w:r>
        <w:rPr>
          <w:rFonts w:ascii="Times New Roman" w:hAnsi="Times New Roman" w:cs="Times New Roman"/>
          <w:b/>
          <w:sz w:val="24"/>
          <w:szCs w:val="24"/>
        </w:rPr>
        <w:t>В контексте городских территорий</w:t>
      </w:r>
      <w:r w:rsidR="006D7049" w:rsidRPr="00BD29EC">
        <w:rPr>
          <w:rFonts w:ascii="Times New Roman" w:hAnsi="Times New Roman" w:cs="Times New Roman"/>
          <w:b/>
          <w:sz w:val="24"/>
          <w:szCs w:val="24"/>
        </w:rPr>
        <w:t>:</w:t>
      </w:r>
    </w:p>
    <w:p w:rsidR="00FB66D9" w:rsidRPr="00A27FDB" w:rsidRDefault="00FB66D9" w:rsidP="00A27FDB">
      <w:pPr>
        <w:pStyle w:val="ab"/>
        <w:pBdr>
          <w:top w:val="nil"/>
          <w:left w:val="nil"/>
          <w:bottom w:val="nil"/>
          <w:right w:val="nil"/>
          <w:between w:val="nil"/>
          <w:bar w:val="nil"/>
        </w:pBdr>
        <w:spacing w:after="0"/>
        <w:jc w:val="both"/>
        <w:rPr>
          <w:rFonts w:ascii="Times New Roman" w:hAnsi="Times New Roman" w:cs="Times New Roman"/>
          <w:sz w:val="24"/>
          <w:szCs w:val="24"/>
        </w:rPr>
      </w:pPr>
      <w:r w:rsidRPr="00FB66D9">
        <w:rPr>
          <w:rFonts w:ascii="Times New Roman" w:hAnsi="Times New Roman" w:cs="Times New Roman"/>
          <w:sz w:val="24"/>
          <w:szCs w:val="24"/>
        </w:rPr>
        <w:t xml:space="preserve">Городской контекст доступа к транспорту измеряется с использованием методологии ЦУР 11.2.1 - </w:t>
      </w:r>
      <w:r w:rsidR="00A27FDB" w:rsidRPr="00A27FDB">
        <w:rPr>
          <w:rFonts w:ascii="Times New Roman" w:hAnsi="Times New Roman" w:cs="Times New Roman"/>
          <w:sz w:val="24"/>
          <w:szCs w:val="24"/>
        </w:rPr>
        <w:t>Доля нас</w:t>
      </w:r>
      <w:r w:rsidR="00A27FDB">
        <w:rPr>
          <w:rFonts w:ascii="Times New Roman" w:hAnsi="Times New Roman" w:cs="Times New Roman"/>
          <w:sz w:val="24"/>
          <w:szCs w:val="24"/>
        </w:rPr>
        <w:t xml:space="preserve">еления, имеющего удобный доступ </w:t>
      </w:r>
      <w:r w:rsidR="00A27FDB" w:rsidRPr="00A27FDB">
        <w:rPr>
          <w:rFonts w:ascii="Times New Roman" w:hAnsi="Times New Roman" w:cs="Times New Roman"/>
          <w:sz w:val="24"/>
          <w:szCs w:val="24"/>
        </w:rPr>
        <w:t>к общественному транспорту, в разбивке по полу,</w:t>
      </w:r>
      <w:r w:rsidR="00A27FDB">
        <w:rPr>
          <w:rFonts w:ascii="Times New Roman" w:hAnsi="Times New Roman" w:cs="Times New Roman"/>
          <w:sz w:val="24"/>
          <w:szCs w:val="24"/>
        </w:rPr>
        <w:t xml:space="preserve"> </w:t>
      </w:r>
      <w:r w:rsidR="00A27FDB" w:rsidRPr="00A27FDB">
        <w:rPr>
          <w:rFonts w:ascii="Times New Roman" w:hAnsi="Times New Roman" w:cs="Times New Roman"/>
          <w:sz w:val="24"/>
          <w:szCs w:val="24"/>
        </w:rPr>
        <w:t>возрасту и признаку инвалидности</w:t>
      </w:r>
      <w:r w:rsidRPr="00A27FDB">
        <w:rPr>
          <w:rFonts w:ascii="Times New Roman" w:hAnsi="Times New Roman" w:cs="Times New Roman"/>
          <w:sz w:val="24"/>
          <w:szCs w:val="24"/>
        </w:rPr>
        <w:t>.</w:t>
      </w:r>
    </w:p>
    <w:p w:rsidR="009F00ED" w:rsidRDefault="009F00ED" w:rsidP="00AD429B">
      <w:pPr>
        <w:pStyle w:val="ab"/>
        <w:pBdr>
          <w:top w:val="nil"/>
          <w:left w:val="nil"/>
          <w:bottom w:val="nil"/>
          <w:right w:val="nil"/>
          <w:between w:val="nil"/>
          <w:bar w:val="nil"/>
        </w:pBdr>
        <w:spacing w:after="0"/>
        <w:jc w:val="both"/>
        <w:rPr>
          <w:rFonts w:ascii="Times New Roman" w:hAnsi="Times New Roman" w:cs="Times New Roman"/>
          <w:sz w:val="24"/>
          <w:szCs w:val="24"/>
        </w:rPr>
      </w:pPr>
      <w:r w:rsidRPr="009F00ED">
        <w:rPr>
          <w:rFonts w:ascii="Times New Roman" w:hAnsi="Times New Roman" w:cs="Times New Roman"/>
          <w:sz w:val="24"/>
          <w:szCs w:val="24"/>
        </w:rPr>
        <w:t>Методология</w:t>
      </w:r>
      <w:r>
        <w:rPr>
          <w:rStyle w:val="a6"/>
          <w:rFonts w:ascii="Times New Roman" w:hAnsi="Times New Roman" w:cs="Times New Roman"/>
          <w:sz w:val="24"/>
          <w:szCs w:val="24"/>
        </w:rPr>
        <w:footnoteReference w:id="6"/>
      </w:r>
      <w:r w:rsidRPr="009F00ED">
        <w:rPr>
          <w:rFonts w:ascii="Times New Roman" w:hAnsi="Times New Roman" w:cs="Times New Roman"/>
          <w:sz w:val="24"/>
          <w:szCs w:val="24"/>
        </w:rPr>
        <w:t xml:space="preserve"> метаданных </w:t>
      </w:r>
      <w:r>
        <w:rPr>
          <w:rFonts w:ascii="Times New Roman" w:hAnsi="Times New Roman" w:cs="Times New Roman"/>
          <w:sz w:val="24"/>
          <w:szCs w:val="24"/>
        </w:rPr>
        <w:t>обще</w:t>
      </w:r>
      <w:r w:rsidRPr="009F00ED">
        <w:rPr>
          <w:rFonts w:ascii="Times New Roman" w:hAnsi="Times New Roman" w:cs="Times New Roman"/>
          <w:sz w:val="24"/>
          <w:szCs w:val="24"/>
        </w:rPr>
        <w:t>доступн</w:t>
      </w:r>
      <w:r>
        <w:rPr>
          <w:rFonts w:ascii="Times New Roman" w:hAnsi="Times New Roman" w:cs="Times New Roman"/>
          <w:sz w:val="24"/>
          <w:szCs w:val="24"/>
        </w:rPr>
        <w:t>а</w:t>
      </w:r>
      <w:r w:rsidRPr="009F00ED">
        <w:rPr>
          <w:rFonts w:ascii="Times New Roman" w:hAnsi="Times New Roman" w:cs="Times New Roman"/>
          <w:sz w:val="24"/>
          <w:szCs w:val="24"/>
        </w:rPr>
        <w:t xml:space="preserve"> (ООН-</w:t>
      </w:r>
      <w:proofErr w:type="spellStart"/>
      <w:r w:rsidRPr="009F00ED">
        <w:rPr>
          <w:rFonts w:ascii="Times New Roman" w:hAnsi="Times New Roman" w:cs="Times New Roman"/>
          <w:sz w:val="24"/>
          <w:szCs w:val="24"/>
        </w:rPr>
        <w:t>Хабитат</w:t>
      </w:r>
      <w:proofErr w:type="spellEnd"/>
      <w:r w:rsidRPr="009F00ED">
        <w:rPr>
          <w:rFonts w:ascii="Times New Roman" w:hAnsi="Times New Roman" w:cs="Times New Roman"/>
          <w:sz w:val="24"/>
          <w:szCs w:val="24"/>
        </w:rPr>
        <w:t xml:space="preserve"> является агентством-</w:t>
      </w:r>
      <w:r>
        <w:rPr>
          <w:rFonts w:ascii="Times New Roman" w:hAnsi="Times New Roman" w:cs="Times New Roman"/>
          <w:sz w:val="24"/>
          <w:szCs w:val="24"/>
        </w:rPr>
        <w:t>куратором</w:t>
      </w:r>
      <w:r w:rsidRPr="009F00ED">
        <w:rPr>
          <w:rFonts w:ascii="Times New Roman" w:hAnsi="Times New Roman" w:cs="Times New Roman"/>
          <w:sz w:val="24"/>
          <w:szCs w:val="24"/>
        </w:rPr>
        <w:t xml:space="preserve">). Граница города проводится для определения городской территории, которая будет выступать в качестве области пространственного анализа, поскольку собирается перечень доступных общественных остановок в зонах обслуживания. Определение населения, обслуживаемого доступной уличной сетью, позволяет измерять расстояние в 500 м и/или 1 км пешком до ближайшей остановки («зона обслуживания»). </w:t>
      </w:r>
      <w:r>
        <w:rPr>
          <w:rFonts w:ascii="Times New Roman" w:hAnsi="Times New Roman" w:cs="Times New Roman"/>
          <w:sz w:val="24"/>
          <w:szCs w:val="24"/>
        </w:rPr>
        <w:t>Известно</w:t>
      </w:r>
      <w:r w:rsidRPr="009F00ED">
        <w:rPr>
          <w:rFonts w:ascii="Times New Roman" w:hAnsi="Times New Roman" w:cs="Times New Roman"/>
          <w:sz w:val="24"/>
          <w:szCs w:val="24"/>
        </w:rPr>
        <w:t>, что измерение пространственного доступа недостаточно и не учитывает временное измерение, связанное с доступностью общественного транспорта. В дополнение к вышесказанному отслеживаются и другие параметры отслеживания транспортной цели, связанные с плотностью улиц/количеством перекрестков, доступностью или качеством с точки зрения безопасности, времени в пути, всеобщего доступа.</w:t>
      </w:r>
    </w:p>
    <w:p w:rsidR="00407E4E" w:rsidRPr="00BD29EC" w:rsidRDefault="00407E4E" w:rsidP="0075371E">
      <w:pPr>
        <w:pBdr>
          <w:top w:val="nil"/>
          <w:left w:val="nil"/>
          <w:bottom w:val="nil"/>
          <w:right w:val="nil"/>
          <w:between w:val="nil"/>
          <w:bar w:val="nil"/>
        </w:pBdr>
        <w:spacing w:after="0"/>
        <w:jc w:val="both"/>
        <w:rPr>
          <w:rFonts w:ascii="Times New Roman" w:hAnsi="Times New Roman" w:cs="Times New Roman"/>
          <w:sz w:val="24"/>
          <w:szCs w:val="24"/>
        </w:rPr>
      </w:pPr>
    </w:p>
    <w:p w:rsidR="00AD429B" w:rsidRPr="00AD429B" w:rsidRDefault="00AD429B" w:rsidP="00CD6F18">
      <w:pPr>
        <w:pStyle w:val="ab"/>
        <w:numPr>
          <w:ilvl w:val="0"/>
          <w:numId w:val="4"/>
        </w:numPr>
        <w:pBdr>
          <w:top w:val="nil"/>
          <w:left w:val="nil"/>
          <w:bottom w:val="nil"/>
          <w:right w:val="nil"/>
          <w:between w:val="nil"/>
          <w:bar w:val="nil"/>
        </w:pBdr>
        <w:spacing w:after="0"/>
        <w:jc w:val="both"/>
        <w:rPr>
          <w:rFonts w:ascii="Times New Roman" w:hAnsi="Times New Roman" w:cs="Times New Roman"/>
          <w:b/>
          <w:sz w:val="24"/>
          <w:szCs w:val="24"/>
        </w:rPr>
      </w:pPr>
      <w:r w:rsidRPr="00AD429B">
        <w:rPr>
          <w:rFonts w:ascii="Times New Roman" w:hAnsi="Times New Roman" w:cs="Times New Roman"/>
          <w:b/>
          <w:sz w:val="24"/>
          <w:szCs w:val="24"/>
        </w:rPr>
        <w:t>Доступ к ус</w:t>
      </w:r>
      <w:r w:rsidR="00550E6F">
        <w:rPr>
          <w:rFonts w:ascii="Times New Roman" w:hAnsi="Times New Roman" w:cs="Times New Roman"/>
          <w:b/>
          <w:sz w:val="24"/>
          <w:szCs w:val="24"/>
        </w:rPr>
        <w:t>лугам по сбору основных отходов</w:t>
      </w:r>
      <w:r w:rsidR="00550E6F" w:rsidRPr="00550E6F">
        <w:rPr>
          <w:rFonts w:ascii="Times New Roman" w:hAnsi="Times New Roman" w:cs="Times New Roman"/>
          <w:sz w:val="24"/>
          <w:szCs w:val="24"/>
        </w:rPr>
        <w:t xml:space="preserve"> означает доступ населения к надежным услугам по сбору мусора, включая как формальные услуги муниципального, так и неформального сектора. Это связано и будет отражаться с помощью показателя ЦУР 11.6.1 – </w:t>
      </w:r>
      <w:r w:rsidR="00CD6F18" w:rsidRPr="00CD6F18">
        <w:rPr>
          <w:rFonts w:ascii="Times New Roman" w:hAnsi="Times New Roman" w:cs="Times New Roman"/>
          <w:i/>
          <w:sz w:val="24"/>
          <w:szCs w:val="24"/>
          <w:u w:val="single"/>
        </w:rPr>
        <w:t>Доля коммунально-бытовых твердых отходов, которые собираются и удаляются на контролируемых объектах, от общей массы коммунально-бытовых твердых отходов, в разбивке по городам</w:t>
      </w:r>
      <w:r w:rsidR="00550E6F" w:rsidRPr="00550E6F">
        <w:rPr>
          <w:rFonts w:ascii="Times New Roman" w:hAnsi="Times New Roman" w:cs="Times New Roman"/>
          <w:sz w:val="24"/>
          <w:szCs w:val="24"/>
        </w:rPr>
        <w:t>. «Услуга по сбору» может осуществляться «от двери до двери» или путем внесения в общий контейнер. «Сбор» включает сбор для переработки, а также для переработки и утилизации (включает, например, сбор вторсырья странствующими скупщиками отходов). «Надежный» означает регулярный – частота будет зависеть от местных условий и от предварительного разделения отходов. Например, в тропическом климате по соображениям общественного здравоохранения часто собираются как смешанные, так и органические отходы, а обычно не реже еженедельно; сух</w:t>
      </w:r>
      <w:r w:rsidR="00550E6F">
        <w:rPr>
          <w:rFonts w:ascii="Times New Roman" w:hAnsi="Times New Roman" w:cs="Times New Roman"/>
          <w:sz w:val="24"/>
          <w:szCs w:val="24"/>
        </w:rPr>
        <w:t>ое</w:t>
      </w:r>
      <w:r w:rsidR="00550E6F" w:rsidRPr="00550E6F">
        <w:rPr>
          <w:rFonts w:ascii="Times New Roman" w:hAnsi="Times New Roman" w:cs="Times New Roman"/>
          <w:sz w:val="24"/>
          <w:szCs w:val="24"/>
        </w:rPr>
        <w:t xml:space="preserve"> вторсырь</w:t>
      </w:r>
      <w:r w:rsidR="00550E6F">
        <w:rPr>
          <w:rFonts w:ascii="Times New Roman" w:hAnsi="Times New Roman" w:cs="Times New Roman"/>
          <w:sz w:val="24"/>
          <w:szCs w:val="24"/>
        </w:rPr>
        <w:t>е</w:t>
      </w:r>
      <w:r w:rsidR="00550E6F" w:rsidRPr="00550E6F">
        <w:rPr>
          <w:rFonts w:ascii="Times New Roman" w:hAnsi="Times New Roman" w:cs="Times New Roman"/>
          <w:sz w:val="24"/>
          <w:szCs w:val="24"/>
        </w:rPr>
        <w:t>, разделенн</w:t>
      </w:r>
      <w:r w:rsidR="00550E6F">
        <w:rPr>
          <w:rFonts w:ascii="Times New Roman" w:hAnsi="Times New Roman" w:cs="Times New Roman"/>
          <w:sz w:val="24"/>
          <w:szCs w:val="24"/>
        </w:rPr>
        <w:t>о</w:t>
      </w:r>
      <w:r w:rsidR="00550E6F" w:rsidRPr="00550E6F">
        <w:rPr>
          <w:rFonts w:ascii="Times New Roman" w:hAnsi="Times New Roman" w:cs="Times New Roman"/>
          <w:sz w:val="24"/>
          <w:szCs w:val="24"/>
        </w:rPr>
        <w:t>е по источникам, можно собирать реже</w:t>
      </w:r>
    </w:p>
    <w:p w:rsidR="00AD429B" w:rsidRDefault="00AD429B" w:rsidP="00AD429B">
      <w:pPr>
        <w:pStyle w:val="ab"/>
        <w:pBdr>
          <w:top w:val="nil"/>
          <w:left w:val="nil"/>
          <w:bottom w:val="nil"/>
          <w:right w:val="nil"/>
          <w:between w:val="nil"/>
          <w:bar w:val="nil"/>
        </w:pBdr>
        <w:spacing w:after="0"/>
        <w:jc w:val="both"/>
        <w:rPr>
          <w:rFonts w:ascii="Times New Roman" w:hAnsi="Times New Roman" w:cs="Times New Roman"/>
          <w:b/>
          <w:sz w:val="24"/>
          <w:szCs w:val="24"/>
        </w:rPr>
      </w:pPr>
    </w:p>
    <w:p w:rsidR="00AD429B" w:rsidRPr="00CD6F18" w:rsidRDefault="00AD429B" w:rsidP="00CD6F18">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0476F9">
        <w:rPr>
          <w:rFonts w:ascii="Times New Roman" w:hAnsi="Times New Roman" w:cs="Times New Roman"/>
          <w:b/>
          <w:sz w:val="24"/>
          <w:szCs w:val="24"/>
        </w:rPr>
        <w:t>Доступ к базовым услугам здравоохранения</w:t>
      </w:r>
      <w:r w:rsidRPr="000476F9">
        <w:rPr>
          <w:rFonts w:ascii="Times New Roman" w:hAnsi="Times New Roman" w:cs="Times New Roman"/>
          <w:sz w:val="24"/>
          <w:szCs w:val="24"/>
        </w:rPr>
        <w:t xml:space="preserve"> относится к доступу к услугам, которые распространяются в службах неотложной помощи и за ее пределами, стационарной и врачебной помощи, амбулаторных медицинских услугах, лабораторных и радиологических услугах и профилактических медицинских услугах. Базовые медицинские услуги также включают доступ к ограниченному лечению психических заболеваний и токсикомании в соответствии с минимальными стандартами, установленными местными и национальными </w:t>
      </w:r>
      <w:r w:rsidRPr="000476F9">
        <w:rPr>
          <w:rFonts w:ascii="Times New Roman" w:hAnsi="Times New Roman" w:cs="Times New Roman"/>
          <w:sz w:val="24"/>
          <w:szCs w:val="24"/>
        </w:rPr>
        <w:lastRenderedPageBreak/>
        <w:t>министерствами здравоохранения.</w:t>
      </w:r>
      <w:r w:rsidRPr="000476F9">
        <w:t xml:space="preserve"> </w:t>
      </w:r>
      <w:r w:rsidRPr="000476F9">
        <w:rPr>
          <w:rFonts w:ascii="Times New Roman" w:hAnsi="Times New Roman" w:cs="Times New Roman"/>
          <w:sz w:val="24"/>
          <w:szCs w:val="24"/>
        </w:rPr>
        <w:t>Это с</w:t>
      </w:r>
      <w:r w:rsidR="00CD6F18">
        <w:rPr>
          <w:rFonts w:ascii="Times New Roman" w:hAnsi="Times New Roman" w:cs="Times New Roman"/>
          <w:sz w:val="24"/>
          <w:szCs w:val="24"/>
        </w:rPr>
        <w:t>вязано с показателем 3.8.1 ЦУР –</w:t>
      </w:r>
      <w:r w:rsidRPr="000476F9">
        <w:rPr>
          <w:rFonts w:ascii="Times New Roman" w:hAnsi="Times New Roman" w:cs="Times New Roman"/>
          <w:sz w:val="24"/>
          <w:szCs w:val="24"/>
        </w:rPr>
        <w:t xml:space="preserve"> </w:t>
      </w:r>
      <w:r w:rsidR="00CD6F18">
        <w:rPr>
          <w:rFonts w:ascii="Times New Roman" w:hAnsi="Times New Roman" w:cs="Times New Roman"/>
          <w:sz w:val="24"/>
          <w:szCs w:val="24"/>
        </w:rPr>
        <w:t>«</w:t>
      </w:r>
      <w:r w:rsidR="00CD6F18" w:rsidRPr="00CD6F18">
        <w:rPr>
          <w:rFonts w:ascii="Times New Roman" w:hAnsi="Times New Roman" w:cs="Times New Roman"/>
          <w:sz w:val="24"/>
          <w:szCs w:val="24"/>
        </w:rPr>
        <w:t>Охват основными медико-санитарными</w:t>
      </w:r>
      <w:r w:rsidR="00CD6F18">
        <w:rPr>
          <w:rFonts w:ascii="Times New Roman" w:hAnsi="Times New Roman" w:cs="Times New Roman"/>
          <w:sz w:val="24"/>
          <w:szCs w:val="24"/>
        </w:rPr>
        <w:t xml:space="preserve">» </w:t>
      </w:r>
      <w:r w:rsidR="00CD6F18" w:rsidRPr="00CD6F18">
        <w:rPr>
          <w:rFonts w:ascii="Times New Roman" w:hAnsi="Times New Roman" w:cs="Times New Roman"/>
          <w:sz w:val="24"/>
          <w:szCs w:val="24"/>
        </w:rPr>
        <w:t>услугами</w:t>
      </w:r>
      <w:r w:rsidRPr="00CD6F18">
        <w:rPr>
          <w:rFonts w:ascii="Times New Roman" w:hAnsi="Times New Roman" w:cs="Times New Roman"/>
          <w:sz w:val="24"/>
          <w:szCs w:val="24"/>
        </w:rPr>
        <w:t xml:space="preserve"> и будет измеряться с его помощью.</w:t>
      </w:r>
    </w:p>
    <w:p w:rsidR="00AD429B" w:rsidRPr="00AD429B" w:rsidRDefault="00AD429B" w:rsidP="00AD429B">
      <w:pPr>
        <w:pBdr>
          <w:top w:val="nil"/>
          <w:left w:val="nil"/>
          <w:bottom w:val="nil"/>
          <w:right w:val="nil"/>
          <w:between w:val="nil"/>
          <w:bar w:val="nil"/>
        </w:pBdr>
        <w:spacing w:after="0"/>
        <w:jc w:val="both"/>
        <w:rPr>
          <w:rFonts w:ascii="Times New Roman" w:hAnsi="Times New Roman" w:cs="Times New Roman"/>
          <w:b/>
          <w:sz w:val="24"/>
          <w:szCs w:val="24"/>
        </w:rPr>
      </w:pPr>
    </w:p>
    <w:p w:rsidR="00407E4E" w:rsidRDefault="00407E4E" w:rsidP="00860981">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CD6F18">
        <w:rPr>
          <w:rFonts w:ascii="Times New Roman" w:hAnsi="Times New Roman" w:cs="Times New Roman"/>
          <w:sz w:val="24"/>
          <w:szCs w:val="24"/>
        </w:rPr>
        <w:t>Доступ</w:t>
      </w:r>
      <w:r w:rsidRPr="00BD29EC">
        <w:rPr>
          <w:rFonts w:ascii="Times New Roman" w:hAnsi="Times New Roman" w:cs="Times New Roman"/>
          <w:b/>
          <w:sz w:val="24"/>
          <w:szCs w:val="24"/>
        </w:rPr>
        <w:t xml:space="preserve"> к базовому образованию</w:t>
      </w:r>
      <w:r w:rsidR="00860981">
        <w:rPr>
          <w:rFonts w:ascii="Times New Roman" w:hAnsi="Times New Roman" w:cs="Times New Roman"/>
          <w:sz w:val="24"/>
          <w:szCs w:val="24"/>
        </w:rPr>
        <w:t xml:space="preserve"> относится к </w:t>
      </w:r>
      <w:r w:rsidR="00860981" w:rsidRPr="00860981">
        <w:rPr>
          <w:rFonts w:ascii="Times New Roman" w:hAnsi="Times New Roman" w:cs="Times New Roman"/>
          <w:sz w:val="24"/>
          <w:szCs w:val="24"/>
        </w:rPr>
        <w:t xml:space="preserve">образовательным услугам, которые предоставляют всем учащимся возможности, необходимые им для того, чтобы стать экономически продуктивными, развивать устойчивые средства к существованию, вносить вклад в мирное и </w:t>
      </w:r>
      <w:proofErr w:type="gramStart"/>
      <w:r w:rsidR="00860981" w:rsidRPr="00860981">
        <w:rPr>
          <w:rFonts w:ascii="Times New Roman" w:hAnsi="Times New Roman" w:cs="Times New Roman"/>
          <w:sz w:val="24"/>
          <w:szCs w:val="24"/>
        </w:rPr>
        <w:t>демократическое общество</w:t>
      </w:r>
      <w:proofErr w:type="gramEnd"/>
      <w:r w:rsidR="00860981" w:rsidRPr="00860981">
        <w:rPr>
          <w:rFonts w:ascii="Times New Roman" w:hAnsi="Times New Roman" w:cs="Times New Roman"/>
          <w:sz w:val="24"/>
          <w:szCs w:val="24"/>
        </w:rPr>
        <w:t xml:space="preserve"> и повышать индивидуальное благосостояние. Это связано и будет отражено в рамках ЦУР 4.1.1 – Доля детей и молодежи, приходящаяся на</w:t>
      </w:r>
      <w:r w:rsidR="00860981">
        <w:rPr>
          <w:rFonts w:ascii="Times New Roman" w:hAnsi="Times New Roman" w:cs="Times New Roman"/>
          <w:sz w:val="24"/>
          <w:szCs w:val="24"/>
        </w:rPr>
        <w:t xml:space="preserve"> </w:t>
      </w:r>
      <w:r w:rsidR="00860981" w:rsidRPr="00860981">
        <w:rPr>
          <w:rFonts w:ascii="Times New Roman" w:hAnsi="Times New Roman" w:cs="Times New Roman"/>
          <w:sz w:val="24"/>
          <w:szCs w:val="24"/>
        </w:rPr>
        <w:t>a) учащихся 2 и 3 классов; b) выпускников начальной</w:t>
      </w:r>
      <w:r w:rsidR="00860981">
        <w:rPr>
          <w:rFonts w:ascii="Times New Roman" w:hAnsi="Times New Roman" w:cs="Times New Roman"/>
          <w:sz w:val="24"/>
          <w:szCs w:val="24"/>
        </w:rPr>
        <w:t xml:space="preserve"> </w:t>
      </w:r>
      <w:r w:rsidR="00860981" w:rsidRPr="00860981">
        <w:rPr>
          <w:rFonts w:ascii="Times New Roman" w:hAnsi="Times New Roman" w:cs="Times New Roman"/>
          <w:sz w:val="24"/>
          <w:szCs w:val="24"/>
        </w:rPr>
        <w:t>школы; и c) выпускников неполной средней школы,</w:t>
      </w:r>
      <w:r w:rsidR="00860981">
        <w:rPr>
          <w:rFonts w:ascii="Times New Roman" w:hAnsi="Times New Roman" w:cs="Times New Roman"/>
          <w:sz w:val="24"/>
          <w:szCs w:val="24"/>
        </w:rPr>
        <w:t xml:space="preserve"> </w:t>
      </w:r>
      <w:r w:rsidR="00860981" w:rsidRPr="00860981">
        <w:rPr>
          <w:rFonts w:ascii="Times New Roman" w:hAnsi="Times New Roman" w:cs="Times New Roman"/>
          <w:sz w:val="24"/>
          <w:szCs w:val="24"/>
        </w:rPr>
        <w:t xml:space="preserve">которые </w:t>
      </w:r>
      <w:proofErr w:type="gramStart"/>
      <w:r w:rsidR="00860981" w:rsidRPr="00860981">
        <w:rPr>
          <w:rFonts w:ascii="Times New Roman" w:hAnsi="Times New Roman" w:cs="Times New Roman"/>
          <w:sz w:val="24"/>
          <w:szCs w:val="24"/>
        </w:rPr>
        <w:t>достигли</w:t>
      </w:r>
      <w:proofErr w:type="gramEnd"/>
      <w:r w:rsidR="00860981" w:rsidRPr="00860981">
        <w:rPr>
          <w:rFonts w:ascii="Times New Roman" w:hAnsi="Times New Roman" w:cs="Times New Roman"/>
          <w:sz w:val="24"/>
          <w:szCs w:val="24"/>
        </w:rPr>
        <w:t xml:space="preserve"> по меньшей мере минимального</w:t>
      </w:r>
      <w:r w:rsidR="00860981">
        <w:rPr>
          <w:rFonts w:ascii="Times New Roman" w:hAnsi="Times New Roman" w:cs="Times New Roman"/>
          <w:sz w:val="24"/>
          <w:szCs w:val="24"/>
        </w:rPr>
        <w:t xml:space="preserve"> </w:t>
      </w:r>
      <w:r w:rsidR="00860981" w:rsidRPr="00860981">
        <w:rPr>
          <w:rFonts w:ascii="Times New Roman" w:hAnsi="Times New Roman" w:cs="Times New Roman"/>
          <w:sz w:val="24"/>
          <w:szCs w:val="24"/>
        </w:rPr>
        <w:t xml:space="preserve">уровня владения навыками i) чтения и </w:t>
      </w:r>
      <w:proofErr w:type="spellStart"/>
      <w:r w:rsidR="00860981" w:rsidRPr="00860981">
        <w:rPr>
          <w:rFonts w:ascii="Times New Roman" w:hAnsi="Times New Roman" w:cs="Times New Roman"/>
          <w:sz w:val="24"/>
          <w:szCs w:val="24"/>
        </w:rPr>
        <w:t>ii</w:t>
      </w:r>
      <w:proofErr w:type="spellEnd"/>
      <w:r w:rsidR="00860981" w:rsidRPr="00860981">
        <w:rPr>
          <w:rFonts w:ascii="Times New Roman" w:hAnsi="Times New Roman" w:cs="Times New Roman"/>
          <w:sz w:val="24"/>
          <w:szCs w:val="24"/>
        </w:rPr>
        <w:t>)</w:t>
      </w:r>
      <w:r w:rsidR="00860981">
        <w:rPr>
          <w:rFonts w:ascii="Times New Roman" w:hAnsi="Times New Roman" w:cs="Times New Roman"/>
          <w:sz w:val="24"/>
          <w:szCs w:val="24"/>
        </w:rPr>
        <w:t xml:space="preserve"> математики, в разбивке по полу</w:t>
      </w:r>
      <w:r w:rsidR="00860981" w:rsidRPr="00860981">
        <w:rPr>
          <w:rFonts w:ascii="Times New Roman" w:hAnsi="Times New Roman" w:cs="Times New Roman"/>
          <w:sz w:val="24"/>
          <w:szCs w:val="24"/>
        </w:rPr>
        <w:t>.</w:t>
      </w:r>
    </w:p>
    <w:p w:rsidR="00873C18" w:rsidRPr="00873C18" w:rsidRDefault="00873C18" w:rsidP="00873C18">
      <w:pPr>
        <w:pBdr>
          <w:top w:val="nil"/>
          <w:left w:val="nil"/>
          <w:bottom w:val="nil"/>
          <w:right w:val="nil"/>
          <w:between w:val="nil"/>
          <w:bar w:val="nil"/>
        </w:pBdr>
        <w:spacing w:after="0"/>
        <w:jc w:val="both"/>
        <w:rPr>
          <w:rFonts w:ascii="Times New Roman" w:hAnsi="Times New Roman" w:cs="Times New Roman"/>
          <w:sz w:val="24"/>
          <w:szCs w:val="24"/>
        </w:rPr>
      </w:pPr>
    </w:p>
    <w:p w:rsidR="00407E4E" w:rsidRPr="00AB050B" w:rsidRDefault="00407E4E" w:rsidP="00AB050B">
      <w:pPr>
        <w:pStyle w:val="ab"/>
        <w:numPr>
          <w:ilvl w:val="0"/>
          <w:numId w:val="4"/>
        </w:num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b/>
          <w:sz w:val="24"/>
          <w:szCs w:val="24"/>
        </w:rPr>
        <w:t>Доступ к базовым информационным услугам</w:t>
      </w:r>
      <w:r w:rsidRPr="00BD29EC">
        <w:rPr>
          <w:rFonts w:ascii="Times New Roman" w:hAnsi="Times New Roman" w:cs="Times New Roman"/>
          <w:sz w:val="24"/>
          <w:szCs w:val="24"/>
        </w:rPr>
        <w:t xml:space="preserve"> относится к широкополосному доступу в Интернет. Широкополосная связь определяется как технологии, которые обеспечивают рекламируемые скорост</w:t>
      </w:r>
      <w:r w:rsidR="00AB050B">
        <w:rPr>
          <w:rFonts w:ascii="Times New Roman" w:hAnsi="Times New Roman" w:cs="Times New Roman"/>
          <w:sz w:val="24"/>
          <w:szCs w:val="24"/>
        </w:rPr>
        <w:t>и загрузки не менее 256 кбит/с.</w:t>
      </w:r>
      <w:r w:rsidR="00AB050B" w:rsidRPr="00AB050B">
        <w:rPr>
          <w:rFonts w:ascii="Times New Roman" w:hAnsi="Times New Roman" w:cs="Times New Roman"/>
          <w:sz w:val="24"/>
          <w:szCs w:val="24"/>
        </w:rPr>
        <w:t xml:space="preserve"> Подключение 50% стран мира, которые все еще не подключены к Интернету, в значительной степени означает обеспечение того, чтобы каждый и везде мог получить доступ к доступному Интернету. Основными типами услуг широкополосной связи являются: 1) Фиксированная (проводная) широкополосная сеть, такая как </w:t>
      </w:r>
      <w:r w:rsidR="00AB050B" w:rsidRPr="00AB050B">
        <w:rPr>
          <w:rFonts w:ascii="Times New Roman" w:hAnsi="Times New Roman" w:cs="Times New Roman"/>
          <w:sz w:val="24"/>
          <w:szCs w:val="24"/>
          <w:lang w:val="en-US"/>
        </w:rPr>
        <w:t>DSL</w:t>
      </w:r>
      <w:r w:rsidR="00AB050B" w:rsidRPr="00AB050B">
        <w:rPr>
          <w:rFonts w:ascii="Times New Roman" w:hAnsi="Times New Roman" w:cs="Times New Roman"/>
          <w:sz w:val="24"/>
          <w:szCs w:val="24"/>
        </w:rPr>
        <w:t xml:space="preserve">, кабельный модем, высокоскоростные выделенные линии, оптоволокно до дома/здания, линии электропередачи и другая фиксированная (проводная) широкополосная связь; 2) Наземная фиксированная (беспроводная) широкополосная сеть, такая как </w:t>
      </w:r>
      <w:r w:rsidR="00AB050B" w:rsidRPr="00AB050B">
        <w:rPr>
          <w:rFonts w:ascii="Times New Roman" w:hAnsi="Times New Roman" w:cs="Times New Roman"/>
          <w:sz w:val="24"/>
          <w:szCs w:val="24"/>
          <w:lang w:val="en-US"/>
        </w:rPr>
        <w:t>WiMAX</w:t>
      </w:r>
      <w:r w:rsidR="00AB050B" w:rsidRPr="00AB050B">
        <w:rPr>
          <w:rFonts w:ascii="Times New Roman" w:hAnsi="Times New Roman" w:cs="Times New Roman"/>
          <w:sz w:val="24"/>
          <w:szCs w:val="24"/>
        </w:rPr>
        <w:t xml:space="preserve">, фиксированная </w:t>
      </w:r>
      <w:r w:rsidR="00AB050B" w:rsidRPr="00AB050B">
        <w:rPr>
          <w:rFonts w:ascii="Times New Roman" w:hAnsi="Times New Roman" w:cs="Times New Roman"/>
          <w:sz w:val="24"/>
          <w:szCs w:val="24"/>
          <w:lang w:val="en-US"/>
        </w:rPr>
        <w:t>CDMA</w:t>
      </w:r>
      <w:r w:rsidR="00AB050B" w:rsidRPr="00AB050B">
        <w:rPr>
          <w:rFonts w:ascii="Times New Roman" w:hAnsi="Times New Roman" w:cs="Times New Roman"/>
          <w:sz w:val="24"/>
          <w:szCs w:val="24"/>
        </w:rPr>
        <w:t>; 3) Спутниковая широкополосная сеть (через спутниковую связь); 4) Мобильная широкополосная сеть (минимум 3</w:t>
      </w:r>
      <w:r w:rsidR="00AB050B" w:rsidRPr="00AB050B">
        <w:rPr>
          <w:rFonts w:ascii="Times New Roman" w:hAnsi="Times New Roman" w:cs="Times New Roman"/>
          <w:sz w:val="24"/>
          <w:szCs w:val="24"/>
          <w:lang w:val="en-US"/>
        </w:rPr>
        <w:t>G</w:t>
      </w:r>
      <w:r w:rsidR="00AB050B" w:rsidRPr="00AB050B">
        <w:rPr>
          <w:rFonts w:ascii="Times New Roman" w:hAnsi="Times New Roman" w:cs="Times New Roman"/>
          <w:sz w:val="24"/>
          <w:szCs w:val="24"/>
        </w:rPr>
        <w:t xml:space="preserve">, например </w:t>
      </w:r>
      <w:r w:rsidR="00AB050B" w:rsidRPr="00AB050B">
        <w:rPr>
          <w:rFonts w:ascii="Times New Roman" w:hAnsi="Times New Roman" w:cs="Times New Roman"/>
          <w:sz w:val="24"/>
          <w:szCs w:val="24"/>
          <w:lang w:val="en-US"/>
        </w:rPr>
        <w:t>UMTS</w:t>
      </w:r>
      <w:r w:rsidR="00AB050B" w:rsidRPr="00AB050B">
        <w:rPr>
          <w:rFonts w:ascii="Times New Roman" w:hAnsi="Times New Roman" w:cs="Times New Roman"/>
          <w:sz w:val="24"/>
          <w:szCs w:val="24"/>
        </w:rPr>
        <w:t>) через телефонную трубку и 5) Мобильная широкополосная сеть (минимум 3</w:t>
      </w:r>
      <w:r w:rsidR="00AB050B" w:rsidRPr="00AB050B">
        <w:rPr>
          <w:rFonts w:ascii="Times New Roman" w:hAnsi="Times New Roman" w:cs="Times New Roman"/>
          <w:sz w:val="24"/>
          <w:szCs w:val="24"/>
          <w:lang w:val="en-US"/>
        </w:rPr>
        <w:t>G</w:t>
      </w:r>
      <w:r w:rsidR="00AB050B" w:rsidRPr="00AB050B">
        <w:rPr>
          <w:rFonts w:ascii="Times New Roman" w:hAnsi="Times New Roman" w:cs="Times New Roman"/>
          <w:sz w:val="24"/>
          <w:szCs w:val="24"/>
        </w:rPr>
        <w:t xml:space="preserve">, например </w:t>
      </w:r>
      <w:r w:rsidR="00AB050B" w:rsidRPr="00AB050B">
        <w:rPr>
          <w:rFonts w:ascii="Times New Roman" w:hAnsi="Times New Roman" w:cs="Times New Roman"/>
          <w:sz w:val="24"/>
          <w:szCs w:val="24"/>
          <w:lang w:val="en-US"/>
        </w:rPr>
        <w:t>UMTS</w:t>
      </w:r>
      <w:r w:rsidR="00AB050B" w:rsidRPr="00AB050B">
        <w:rPr>
          <w:rFonts w:ascii="Times New Roman" w:hAnsi="Times New Roman" w:cs="Times New Roman"/>
          <w:sz w:val="24"/>
          <w:szCs w:val="24"/>
        </w:rPr>
        <w:t xml:space="preserve">) через карту (например, встроенную </w:t>
      </w:r>
      <w:r w:rsidR="00AB050B" w:rsidRPr="00AB050B">
        <w:rPr>
          <w:rFonts w:ascii="Times New Roman" w:hAnsi="Times New Roman" w:cs="Times New Roman"/>
          <w:sz w:val="24"/>
          <w:szCs w:val="24"/>
          <w:lang w:val="en-US"/>
        </w:rPr>
        <w:t>SIM</w:t>
      </w:r>
      <w:r w:rsidR="00AB050B" w:rsidRPr="00AB050B">
        <w:rPr>
          <w:rFonts w:ascii="Times New Roman" w:hAnsi="Times New Roman" w:cs="Times New Roman"/>
          <w:sz w:val="24"/>
          <w:szCs w:val="24"/>
        </w:rPr>
        <w:t xml:space="preserve">-карту в компьютер) или </w:t>
      </w:r>
      <w:r w:rsidR="00AB050B" w:rsidRPr="00AB050B">
        <w:rPr>
          <w:rFonts w:ascii="Times New Roman" w:hAnsi="Times New Roman" w:cs="Times New Roman"/>
          <w:sz w:val="24"/>
          <w:szCs w:val="24"/>
          <w:lang w:val="en-US"/>
        </w:rPr>
        <w:t>USB</w:t>
      </w:r>
      <w:r w:rsidR="00AB050B" w:rsidRPr="00AB050B">
        <w:rPr>
          <w:rFonts w:ascii="Times New Roman" w:hAnsi="Times New Roman" w:cs="Times New Roman"/>
          <w:sz w:val="24"/>
          <w:szCs w:val="24"/>
        </w:rPr>
        <w:t>-модем. Это связано и будет отражено в рамках ЦУР 9.</w:t>
      </w:r>
      <w:r w:rsidR="00AB050B" w:rsidRPr="00AB050B">
        <w:rPr>
          <w:rFonts w:ascii="Times New Roman" w:hAnsi="Times New Roman" w:cs="Times New Roman"/>
          <w:sz w:val="24"/>
          <w:szCs w:val="24"/>
          <w:lang w:val="en-US"/>
        </w:rPr>
        <w:t>c</w:t>
      </w:r>
      <w:r w:rsidR="00AB050B" w:rsidRPr="00AB050B">
        <w:rPr>
          <w:rFonts w:ascii="Times New Roman" w:hAnsi="Times New Roman" w:cs="Times New Roman"/>
          <w:sz w:val="24"/>
          <w:szCs w:val="24"/>
        </w:rPr>
        <w:t>.1 – Доля населения, охваченного мобильными сетями, в разбивке по технологиям.</w:t>
      </w:r>
    </w:p>
    <w:p w:rsidR="00873C18" w:rsidRPr="00AB050B" w:rsidRDefault="00873C18" w:rsidP="00873C18">
      <w:pPr>
        <w:pBdr>
          <w:top w:val="nil"/>
          <w:left w:val="nil"/>
          <w:bottom w:val="nil"/>
          <w:right w:val="nil"/>
          <w:between w:val="nil"/>
          <w:bar w:val="nil"/>
        </w:pBdr>
        <w:spacing w:after="0"/>
        <w:jc w:val="both"/>
        <w:rPr>
          <w:rFonts w:ascii="Times New Roman" w:hAnsi="Times New Roman" w:cs="Times New Roman"/>
          <w:sz w:val="24"/>
          <w:szCs w:val="24"/>
        </w:rPr>
      </w:pPr>
    </w:p>
    <w:p w:rsidR="00407E4E" w:rsidRPr="00BD29EC" w:rsidRDefault="00407E4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Единица измерения</w:t>
      </w:r>
    </w:p>
    <w:p w:rsidR="00407E4E" w:rsidRPr="00BD29EC" w:rsidRDefault="00E135A4" w:rsidP="0075371E">
      <w:pPr>
        <w:pBdr>
          <w:top w:val="nil"/>
          <w:left w:val="nil"/>
          <w:bottom w:val="nil"/>
          <w:right w:val="nil"/>
          <w:between w:val="nil"/>
          <w:bar w:val="nil"/>
        </w:pBd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en-GB"/>
        </w:rPr>
        <w:t>Доля населения</w:t>
      </w:r>
      <w:r w:rsidR="00407E4E" w:rsidRPr="00BD29EC">
        <w:rPr>
          <w:rFonts w:ascii="Times New Roman" w:eastAsia="Times New Roman" w:hAnsi="Times New Roman" w:cs="Times New Roman"/>
          <w:sz w:val="24"/>
          <w:szCs w:val="24"/>
          <w:lang w:eastAsia="en-GB"/>
        </w:rPr>
        <w:t>.</w:t>
      </w:r>
    </w:p>
    <w:p w:rsidR="00407E4E" w:rsidRPr="00BD29EC" w:rsidRDefault="00407E4E" w:rsidP="0075371E">
      <w:pPr>
        <w:pBdr>
          <w:top w:val="nil"/>
          <w:left w:val="nil"/>
          <w:bottom w:val="nil"/>
          <w:right w:val="nil"/>
          <w:between w:val="nil"/>
          <w:bar w:val="nil"/>
        </w:pBdr>
        <w:spacing w:after="0"/>
        <w:jc w:val="both"/>
        <w:rPr>
          <w:rFonts w:ascii="Times New Roman" w:hAnsi="Times New Roman" w:cs="Times New Roman"/>
          <w:sz w:val="24"/>
          <w:szCs w:val="24"/>
        </w:rPr>
      </w:pP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2.</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Классификации</w:t>
      </w:r>
    </w:p>
    <w:p w:rsidR="000A229E" w:rsidRPr="00BD29EC" w:rsidRDefault="00E135A4" w:rsidP="0075371E">
      <w:pPr>
        <w:pStyle w:val="MText"/>
        <w:jc w:val="both"/>
        <w:rPr>
          <w:rFonts w:ascii="Times New Roman" w:hAnsi="Times New Roman"/>
          <w:color w:val="auto"/>
          <w:sz w:val="24"/>
          <w:szCs w:val="24"/>
          <w:lang w:val="ru-RU"/>
        </w:rPr>
      </w:pPr>
      <w:r w:rsidRPr="00E135A4">
        <w:rPr>
          <w:rFonts w:ascii="Times New Roman" w:hAnsi="Times New Roman"/>
          <w:color w:val="auto"/>
          <w:sz w:val="24"/>
          <w:szCs w:val="24"/>
          <w:lang w:val="ru-RU"/>
        </w:rPr>
        <w:t>См. справочные метаданные для получения подробной информации о каждом из составляющих показателей, используемых для составления отчета по этому показателю.</w:t>
      </w:r>
    </w:p>
    <w:p w:rsidR="000A229E" w:rsidRPr="00BD29EC" w:rsidRDefault="000A229E" w:rsidP="0075371E">
      <w:pPr>
        <w:pStyle w:val="MText"/>
        <w:jc w:val="both"/>
        <w:rPr>
          <w:rFonts w:ascii="Times New Roman" w:hAnsi="Times New Roman"/>
          <w:color w:val="auto"/>
          <w:sz w:val="24"/>
          <w:szCs w:val="24"/>
          <w:lang w:val="ru-RU"/>
        </w:rPr>
      </w:pPr>
    </w:p>
    <w:p w:rsidR="000A229E" w:rsidRPr="00BD29EC" w:rsidRDefault="000A229E"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3. Тип источника данных и метод сбора данных</w:t>
      </w: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Источники данных</w:t>
      </w:r>
    </w:p>
    <w:p w:rsidR="000A229E" w:rsidRDefault="000A229E" w:rsidP="00436099">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 xml:space="preserve">Основным источником данных для этого показателя остаются </w:t>
      </w:r>
      <w:r w:rsidR="00436099">
        <w:rPr>
          <w:rFonts w:ascii="Times New Roman" w:hAnsi="Times New Roman"/>
          <w:color w:val="auto"/>
          <w:sz w:val="24"/>
          <w:szCs w:val="24"/>
          <w:lang w:val="ru-RU"/>
        </w:rPr>
        <w:t>обследования домашних хозяйств (</w:t>
      </w:r>
      <w:r w:rsidRPr="00BD29EC">
        <w:rPr>
          <w:rFonts w:ascii="Times New Roman" w:hAnsi="Times New Roman"/>
          <w:color w:val="auto"/>
          <w:sz w:val="24"/>
          <w:szCs w:val="24"/>
          <w:lang w:val="ru-RU"/>
        </w:rPr>
        <w:t xml:space="preserve">включая </w:t>
      </w:r>
      <w:r w:rsidR="00436099" w:rsidRPr="00436099">
        <w:rPr>
          <w:rFonts w:ascii="Times New Roman" w:hAnsi="Times New Roman"/>
          <w:color w:val="auto"/>
          <w:sz w:val="24"/>
          <w:szCs w:val="24"/>
          <w:lang w:val="ru-RU"/>
        </w:rPr>
        <w:t>Медик</w:t>
      </w:r>
      <w:r w:rsidR="00436099">
        <w:rPr>
          <w:rFonts w:ascii="Times New Roman" w:hAnsi="Times New Roman"/>
          <w:color w:val="auto"/>
          <w:sz w:val="24"/>
          <w:szCs w:val="24"/>
          <w:lang w:val="ru-RU"/>
        </w:rPr>
        <w:t xml:space="preserve">о-демографическое исследование – </w:t>
      </w:r>
      <w:r w:rsidR="00436099" w:rsidRPr="00436099">
        <w:rPr>
          <w:rFonts w:ascii="Times New Roman" w:hAnsi="Times New Roman"/>
          <w:color w:val="auto"/>
          <w:sz w:val="24"/>
          <w:szCs w:val="24"/>
          <w:lang w:val="ru-RU"/>
        </w:rPr>
        <w:t>МДИ</w:t>
      </w:r>
      <w:r w:rsidR="00436099">
        <w:rPr>
          <w:rFonts w:ascii="Times New Roman" w:hAnsi="Times New Roman"/>
          <w:color w:val="auto"/>
          <w:sz w:val="24"/>
          <w:szCs w:val="24"/>
          <w:lang w:val="ru-RU"/>
        </w:rPr>
        <w:t>/</w:t>
      </w:r>
      <w:r w:rsidRPr="00BD29EC">
        <w:rPr>
          <w:rFonts w:ascii="Times New Roman" w:hAnsi="Times New Roman"/>
          <w:color w:val="auto"/>
          <w:sz w:val="24"/>
          <w:szCs w:val="24"/>
          <w:lang w:val="en-US"/>
        </w:rPr>
        <w:t>DHS</w:t>
      </w:r>
      <w:r w:rsidRPr="00BD29EC">
        <w:rPr>
          <w:rFonts w:ascii="Times New Roman" w:hAnsi="Times New Roman"/>
          <w:color w:val="auto"/>
          <w:sz w:val="24"/>
          <w:szCs w:val="24"/>
          <w:lang w:val="ru-RU"/>
        </w:rPr>
        <w:t xml:space="preserve">, </w:t>
      </w:r>
      <w:r w:rsidR="00436099">
        <w:rPr>
          <w:rFonts w:ascii="Times New Roman" w:hAnsi="Times New Roman"/>
          <w:color w:val="auto"/>
          <w:sz w:val="24"/>
          <w:szCs w:val="24"/>
          <w:lang w:val="ru-RU"/>
        </w:rPr>
        <w:t xml:space="preserve">мульти-индикаторное </w:t>
      </w:r>
      <w:r w:rsidR="00436099" w:rsidRPr="00436099">
        <w:rPr>
          <w:rFonts w:ascii="Times New Roman" w:hAnsi="Times New Roman"/>
          <w:color w:val="auto"/>
          <w:sz w:val="24"/>
          <w:szCs w:val="24"/>
          <w:lang w:val="ru-RU"/>
        </w:rPr>
        <w:t xml:space="preserve">кластерное обследование </w:t>
      </w:r>
      <w:r w:rsidR="00436099">
        <w:rPr>
          <w:rFonts w:ascii="Times New Roman" w:hAnsi="Times New Roman"/>
          <w:color w:val="auto"/>
          <w:sz w:val="24"/>
          <w:szCs w:val="24"/>
          <w:lang w:val="ru-RU"/>
        </w:rPr>
        <w:t xml:space="preserve">– </w:t>
      </w:r>
      <w:r w:rsidRPr="00BD29EC">
        <w:rPr>
          <w:rFonts w:ascii="Times New Roman" w:hAnsi="Times New Roman"/>
          <w:color w:val="auto"/>
          <w:sz w:val="24"/>
          <w:szCs w:val="24"/>
          <w:lang w:val="en-US"/>
        </w:rPr>
        <w:t>MICS</w:t>
      </w:r>
      <w:r w:rsidRPr="00BD29EC">
        <w:rPr>
          <w:rFonts w:ascii="Times New Roman" w:hAnsi="Times New Roman"/>
          <w:color w:val="auto"/>
          <w:sz w:val="24"/>
          <w:szCs w:val="24"/>
          <w:lang w:val="ru-RU"/>
        </w:rPr>
        <w:t xml:space="preserve">, </w:t>
      </w:r>
      <w:r w:rsidR="00436099" w:rsidRPr="00436099">
        <w:rPr>
          <w:rFonts w:ascii="Times New Roman" w:hAnsi="Times New Roman"/>
          <w:color w:val="auto"/>
          <w:sz w:val="24"/>
          <w:szCs w:val="24"/>
          <w:lang w:val="ru-RU"/>
        </w:rPr>
        <w:t xml:space="preserve">Исследование по измерению уровня </w:t>
      </w:r>
      <w:r w:rsidR="00436099" w:rsidRPr="00436099">
        <w:rPr>
          <w:rFonts w:ascii="Times New Roman" w:hAnsi="Times New Roman"/>
          <w:color w:val="auto"/>
          <w:sz w:val="24"/>
          <w:szCs w:val="24"/>
          <w:lang w:val="ru-RU"/>
        </w:rPr>
        <w:lastRenderedPageBreak/>
        <w:t>жизни</w:t>
      </w:r>
      <w:r w:rsidR="00436099">
        <w:rPr>
          <w:rFonts w:ascii="Times New Roman" w:hAnsi="Times New Roman"/>
          <w:color w:val="auto"/>
          <w:sz w:val="24"/>
          <w:szCs w:val="24"/>
          <w:lang w:val="ru-RU"/>
        </w:rPr>
        <w:t xml:space="preserve"> – </w:t>
      </w:r>
      <w:r w:rsidRPr="00BD29EC">
        <w:rPr>
          <w:rFonts w:ascii="Times New Roman" w:hAnsi="Times New Roman"/>
          <w:color w:val="auto"/>
          <w:sz w:val="24"/>
          <w:szCs w:val="24"/>
          <w:lang w:val="en-US"/>
        </w:rPr>
        <w:t>LSMS</w:t>
      </w:r>
      <w:r w:rsidR="00436099">
        <w:rPr>
          <w:rFonts w:ascii="Times New Roman" w:hAnsi="Times New Roman"/>
          <w:color w:val="auto"/>
          <w:sz w:val="24"/>
          <w:szCs w:val="24"/>
          <w:lang w:val="ru-RU"/>
        </w:rPr>
        <w:t>)</w:t>
      </w:r>
      <w:r w:rsidRPr="00BD29EC">
        <w:rPr>
          <w:rFonts w:ascii="Times New Roman" w:hAnsi="Times New Roman"/>
          <w:color w:val="auto"/>
          <w:sz w:val="24"/>
          <w:szCs w:val="24"/>
          <w:lang w:val="ru-RU"/>
        </w:rPr>
        <w:t xml:space="preserve">, </w:t>
      </w:r>
      <w:r w:rsidR="00436099" w:rsidRPr="00436099">
        <w:rPr>
          <w:rFonts w:ascii="Times New Roman" w:hAnsi="Times New Roman"/>
          <w:color w:val="auto"/>
          <w:sz w:val="24"/>
          <w:szCs w:val="24"/>
          <w:lang w:val="ru-RU"/>
        </w:rPr>
        <w:t>Можно также использовать другие наборы данных, например, подборки международных или региональных инициатив (например, Евростат), исследования, проведенные исследовательскими институтами, или технические рекомендации, полученные в ходе страновых консультаций.</w:t>
      </w:r>
    </w:p>
    <w:p w:rsidR="00436099" w:rsidRPr="00BD29EC" w:rsidRDefault="00436099" w:rsidP="00436099">
      <w:pPr>
        <w:pStyle w:val="MText"/>
        <w:jc w:val="both"/>
        <w:rPr>
          <w:rFonts w:ascii="Times New Roman" w:hAnsi="Times New Roman"/>
          <w:color w:val="auto"/>
          <w:sz w:val="24"/>
          <w:szCs w:val="24"/>
          <w:lang w:val="ru-RU"/>
        </w:rPr>
      </w:pP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Метод сбора данных</w:t>
      </w:r>
    </w:p>
    <w:p w:rsidR="000A229E" w:rsidRDefault="00436099" w:rsidP="0075371E">
      <w:pPr>
        <w:pStyle w:val="MText"/>
        <w:jc w:val="both"/>
        <w:rPr>
          <w:rFonts w:ascii="Times New Roman" w:hAnsi="Times New Roman"/>
          <w:color w:val="auto"/>
          <w:sz w:val="24"/>
          <w:szCs w:val="24"/>
          <w:lang w:val="ru-RU"/>
        </w:rPr>
      </w:pPr>
      <w:r w:rsidRPr="00436099">
        <w:rPr>
          <w:rFonts w:ascii="Times New Roman" w:hAnsi="Times New Roman"/>
          <w:color w:val="auto"/>
          <w:sz w:val="24"/>
          <w:szCs w:val="24"/>
          <w:lang w:val="ru-RU"/>
        </w:rPr>
        <w:t xml:space="preserve">Национальные данные по каждому из составляющих показателей собираются соответствующими </w:t>
      </w:r>
      <w:r>
        <w:rPr>
          <w:rFonts w:ascii="Times New Roman" w:hAnsi="Times New Roman"/>
          <w:color w:val="auto"/>
          <w:sz w:val="24"/>
          <w:szCs w:val="24"/>
          <w:lang w:val="ru-RU"/>
        </w:rPr>
        <w:t>агентствами-кураторами</w:t>
      </w:r>
      <w:r w:rsidRPr="00436099">
        <w:rPr>
          <w:rFonts w:ascii="Times New Roman" w:hAnsi="Times New Roman"/>
          <w:color w:val="auto"/>
          <w:sz w:val="24"/>
          <w:szCs w:val="24"/>
          <w:lang w:val="ru-RU"/>
        </w:rPr>
        <w:t>. См. справочные метаданные для получения информации о методах сбора данных по каждому из составляющих показателей.</w:t>
      </w:r>
    </w:p>
    <w:p w:rsidR="00436099" w:rsidRPr="00BD29EC" w:rsidRDefault="00436099" w:rsidP="0075371E">
      <w:pPr>
        <w:pStyle w:val="MText"/>
        <w:jc w:val="both"/>
        <w:rPr>
          <w:rFonts w:ascii="Times New Roman" w:hAnsi="Times New Roman"/>
          <w:color w:val="auto"/>
          <w:sz w:val="24"/>
          <w:szCs w:val="24"/>
          <w:lang w:val="ru-RU"/>
        </w:rPr>
      </w:pP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сбора данных</w:t>
      </w:r>
    </w:p>
    <w:p w:rsidR="000A229E" w:rsidRDefault="00436099" w:rsidP="0075371E">
      <w:pPr>
        <w:pStyle w:val="MText"/>
        <w:jc w:val="both"/>
        <w:rPr>
          <w:rFonts w:ascii="Times New Roman" w:hAnsi="Times New Roman"/>
          <w:color w:val="auto"/>
          <w:sz w:val="24"/>
          <w:szCs w:val="24"/>
          <w:lang w:val="ru-RU"/>
        </w:rPr>
      </w:pPr>
      <w:r w:rsidRPr="00436099">
        <w:rPr>
          <w:rFonts w:ascii="Times New Roman" w:hAnsi="Times New Roman"/>
          <w:color w:val="auto"/>
          <w:sz w:val="24"/>
          <w:szCs w:val="24"/>
          <w:lang w:val="ru-RU"/>
        </w:rPr>
        <w:t>Данные по составляющим показателям собираются с интервалом от 2 до 5 лет. См. справочные метаданные для получения информации о календаре сбора данных для каждой составляющей меры.</w:t>
      </w:r>
    </w:p>
    <w:p w:rsidR="00436099" w:rsidRPr="00BD29EC" w:rsidRDefault="00436099" w:rsidP="0075371E">
      <w:pPr>
        <w:pStyle w:val="MText"/>
        <w:jc w:val="both"/>
        <w:rPr>
          <w:rFonts w:ascii="Times New Roman" w:hAnsi="Times New Roman"/>
          <w:color w:val="auto"/>
          <w:sz w:val="24"/>
          <w:szCs w:val="24"/>
          <w:lang w:val="ru-RU"/>
        </w:rPr>
      </w:pP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Календарь выпуска данных</w:t>
      </w:r>
    </w:p>
    <w:p w:rsidR="000A229E" w:rsidRDefault="000A229E"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 xml:space="preserve">Каждые </w:t>
      </w:r>
      <w:r w:rsidR="00436099">
        <w:rPr>
          <w:rFonts w:ascii="Times New Roman" w:hAnsi="Times New Roman"/>
          <w:color w:val="auto"/>
          <w:sz w:val="24"/>
          <w:szCs w:val="24"/>
          <w:lang w:val="ru-RU"/>
        </w:rPr>
        <w:t>2</w:t>
      </w:r>
      <w:r w:rsidRPr="00BD29EC">
        <w:rPr>
          <w:rFonts w:ascii="Times New Roman" w:hAnsi="Times New Roman"/>
          <w:color w:val="auto"/>
          <w:sz w:val="24"/>
          <w:szCs w:val="24"/>
          <w:lang w:val="ru-RU"/>
        </w:rPr>
        <w:t>-5 лет.</w:t>
      </w:r>
    </w:p>
    <w:p w:rsidR="00944273" w:rsidRPr="00BD29EC" w:rsidRDefault="00944273" w:rsidP="0075371E">
      <w:pPr>
        <w:pStyle w:val="MHeader2"/>
        <w:jc w:val="both"/>
        <w:rPr>
          <w:rFonts w:ascii="Times New Roman" w:hAnsi="Times New Roman"/>
          <w:color w:val="auto"/>
          <w:sz w:val="24"/>
          <w:szCs w:val="24"/>
          <w:lang w:val="ru-RU"/>
        </w:rPr>
      </w:pPr>
    </w:p>
    <w:p w:rsidR="00A542D5" w:rsidRDefault="00A542D5" w:rsidP="00A542D5">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Поставщики данных</w:t>
      </w:r>
    </w:p>
    <w:p w:rsidR="009C54E7" w:rsidRPr="009C54E7" w:rsidRDefault="009C54E7" w:rsidP="009C54E7">
      <w:pPr>
        <w:pBdr>
          <w:top w:val="nil"/>
          <w:left w:val="nil"/>
          <w:bottom w:val="nil"/>
          <w:right w:val="nil"/>
          <w:between w:val="nil"/>
          <w:bar w:val="nil"/>
        </w:pBdr>
        <w:spacing w:after="0"/>
        <w:jc w:val="both"/>
        <w:rPr>
          <w:rFonts w:ascii="Times New Roman" w:hAnsi="Times New Roman"/>
          <w:sz w:val="24"/>
          <w:szCs w:val="24"/>
        </w:rPr>
      </w:pPr>
      <w:r w:rsidRPr="009C54E7">
        <w:rPr>
          <w:rFonts w:ascii="Times New Roman" w:hAnsi="Times New Roman"/>
          <w:sz w:val="24"/>
          <w:szCs w:val="24"/>
        </w:rPr>
        <w:t>Основным источником данных для формирования показателей являются национальные статистические управления; министерства водных ресурсов, здравоохранения, образования и окружающей среды; регуляторы поставщиков услуг питьевой воды.</w:t>
      </w:r>
    </w:p>
    <w:p w:rsidR="009C54E7" w:rsidRDefault="009C54E7" w:rsidP="009C54E7">
      <w:pPr>
        <w:pBdr>
          <w:top w:val="nil"/>
          <w:left w:val="nil"/>
          <w:bottom w:val="nil"/>
          <w:right w:val="nil"/>
          <w:between w:val="nil"/>
          <w:bar w:val="nil"/>
        </w:pBdr>
        <w:spacing w:after="0"/>
        <w:jc w:val="both"/>
        <w:rPr>
          <w:rFonts w:ascii="Times New Roman" w:hAnsi="Times New Roman"/>
          <w:sz w:val="24"/>
          <w:szCs w:val="24"/>
        </w:rPr>
      </w:pPr>
      <w:r w:rsidRPr="009C54E7">
        <w:rPr>
          <w:rFonts w:ascii="Times New Roman" w:hAnsi="Times New Roman"/>
          <w:sz w:val="24"/>
          <w:szCs w:val="24"/>
        </w:rPr>
        <w:t>ООН-</w:t>
      </w:r>
      <w:proofErr w:type="spellStart"/>
      <w:r w:rsidRPr="009C54E7">
        <w:rPr>
          <w:rFonts w:ascii="Times New Roman" w:hAnsi="Times New Roman"/>
          <w:sz w:val="24"/>
          <w:szCs w:val="24"/>
        </w:rPr>
        <w:t>Хабитат</w:t>
      </w:r>
      <w:proofErr w:type="spellEnd"/>
      <w:r w:rsidRPr="009C54E7">
        <w:rPr>
          <w:rFonts w:ascii="Times New Roman" w:hAnsi="Times New Roman"/>
          <w:sz w:val="24"/>
          <w:szCs w:val="24"/>
        </w:rPr>
        <w:t xml:space="preserve"> и различные вспомогательные агентства, такие как Совместная </w:t>
      </w:r>
      <w:proofErr w:type="gramStart"/>
      <w:r w:rsidRPr="009C54E7">
        <w:rPr>
          <w:rFonts w:ascii="Times New Roman" w:hAnsi="Times New Roman"/>
          <w:sz w:val="24"/>
          <w:szCs w:val="24"/>
        </w:rPr>
        <w:t>программа</w:t>
      </w:r>
      <w:proofErr w:type="gramEnd"/>
      <w:r w:rsidRPr="009C54E7">
        <w:rPr>
          <w:rFonts w:ascii="Times New Roman" w:hAnsi="Times New Roman"/>
          <w:sz w:val="24"/>
          <w:szCs w:val="24"/>
        </w:rPr>
        <w:t xml:space="preserve"> ВОЗ/ЮНИСЕФ по мониторингу водоснабжения, санитарии и гигиены (СПМ), ЮНЕП, Всемирный банк, </w:t>
      </w:r>
      <w:proofErr w:type="spellStart"/>
      <w:r w:rsidRPr="009C54E7">
        <w:rPr>
          <w:rFonts w:ascii="Times New Roman" w:hAnsi="Times New Roman"/>
          <w:sz w:val="24"/>
          <w:szCs w:val="24"/>
        </w:rPr>
        <w:t>АфБР</w:t>
      </w:r>
      <w:proofErr w:type="spellEnd"/>
      <w:r w:rsidRPr="009C54E7">
        <w:rPr>
          <w:rFonts w:ascii="Times New Roman" w:hAnsi="Times New Roman"/>
          <w:sz w:val="24"/>
          <w:szCs w:val="24"/>
        </w:rPr>
        <w:t>, ИБР, ЕБРР и АБР, а также д</w:t>
      </w:r>
      <w:r>
        <w:rPr>
          <w:rFonts w:ascii="Times New Roman" w:hAnsi="Times New Roman"/>
          <w:sz w:val="24"/>
          <w:szCs w:val="24"/>
        </w:rPr>
        <w:t>вусторонние доноры (JICA, GIZ</w:t>
      </w:r>
      <w:r>
        <w:rPr>
          <w:rFonts w:ascii="Times New Roman" w:hAnsi="Times New Roman"/>
          <w:sz w:val="24"/>
          <w:szCs w:val="24"/>
        </w:rPr>
        <w:br/>
        <w:t xml:space="preserve">и </w:t>
      </w:r>
      <w:r w:rsidR="009F00ED">
        <w:rPr>
          <w:rFonts w:ascii="Times New Roman" w:hAnsi="Times New Roman"/>
          <w:sz w:val="24"/>
          <w:szCs w:val="24"/>
        </w:rPr>
        <w:t>т.</w:t>
      </w:r>
      <w:r w:rsidRPr="009C54E7">
        <w:rPr>
          <w:rFonts w:ascii="Times New Roman" w:hAnsi="Times New Roman"/>
          <w:sz w:val="24"/>
          <w:szCs w:val="24"/>
        </w:rPr>
        <w:t>д.), предоставляют оценки показателей.</w:t>
      </w:r>
    </w:p>
    <w:p w:rsidR="00A542D5" w:rsidRPr="00AB050B" w:rsidRDefault="00A542D5" w:rsidP="00944273">
      <w:pPr>
        <w:pBdr>
          <w:top w:val="nil"/>
          <w:left w:val="nil"/>
          <w:bottom w:val="nil"/>
          <w:right w:val="nil"/>
          <w:between w:val="nil"/>
          <w:bar w:val="nil"/>
        </w:pBdr>
        <w:spacing w:after="0"/>
        <w:jc w:val="both"/>
        <w:rPr>
          <w:rFonts w:ascii="Times New Roman" w:hAnsi="Times New Roman" w:cs="Times New Roman"/>
          <w:sz w:val="24"/>
          <w:szCs w:val="24"/>
        </w:rPr>
      </w:pPr>
    </w:p>
    <w:p w:rsidR="009C54E7" w:rsidRPr="00BD29EC" w:rsidRDefault="009C54E7" w:rsidP="009C54E7">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Составители данных</w:t>
      </w:r>
    </w:p>
    <w:p w:rsidR="009C54E7" w:rsidRPr="00BD29EC" w:rsidRDefault="002F21AC" w:rsidP="009C54E7">
      <w:pPr>
        <w:pStyle w:val="MText"/>
        <w:jc w:val="both"/>
        <w:rPr>
          <w:rFonts w:ascii="Times New Roman" w:hAnsi="Times New Roman"/>
          <w:color w:val="auto"/>
          <w:sz w:val="24"/>
          <w:szCs w:val="24"/>
          <w:lang w:val="ru-RU"/>
        </w:rPr>
      </w:pPr>
      <w:r w:rsidRPr="002F21AC">
        <w:rPr>
          <w:rFonts w:ascii="Times New Roman" w:hAnsi="Times New Roman"/>
          <w:color w:val="auto"/>
          <w:sz w:val="24"/>
          <w:szCs w:val="24"/>
          <w:lang w:val="ru-RU"/>
        </w:rPr>
        <w:t>Сбор данных и отчетность на национальном уровне осуществляют национальные статистические управления и соответствующие министерства при поддержке ответственных учреждений. Глобальную и региональную отчетность возглавляет ООН-</w:t>
      </w:r>
      <w:proofErr w:type="spellStart"/>
      <w:r w:rsidRPr="002F21AC">
        <w:rPr>
          <w:rFonts w:ascii="Times New Roman" w:hAnsi="Times New Roman"/>
          <w:color w:val="auto"/>
          <w:sz w:val="24"/>
          <w:szCs w:val="24"/>
          <w:lang w:val="ru-RU"/>
        </w:rPr>
        <w:t>Хабитат</w:t>
      </w:r>
      <w:proofErr w:type="spellEnd"/>
      <w:r w:rsidRPr="002F21AC">
        <w:rPr>
          <w:rFonts w:ascii="Times New Roman" w:hAnsi="Times New Roman"/>
          <w:color w:val="auto"/>
          <w:sz w:val="24"/>
          <w:szCs w:val="24"/>
          <w:lang w:val="ru-RU"/>
        </w:rPr>
        <w:t>. Сбор данных поддерживается совместными усилиями нескольких международных организаций (ООН-</w:t>
      </w:r>
      <w:proofErr w:type="spellStart"/>
      <w:r w:rsidRPr="002F21AC">
        <w:rPr>
          <w:rFonts w:ascii="Times New Roman" w:hAnsi="Times New Roman"/>
          <w:color w:val="auto"/>
          <w:sz w:val="24"/>
          <w:szCs w:val="24"/>
          <w:lang w:val="ru-RU"/>
        </w:rPr>
        <w:t>Хабитат</w:t>
      </w:r>
      <w:proofErr w:type="spellEnd"/>
      <w:r w:rsidRPr="002F21AC">
        <w:rPr>
          <w:rFonts w:ascii="Times New Roman" w:hAnsi="Times New Roman"/>
          <w:color w:val="auto"/>
          <w:sz w:val="24"/>
          <w:szCs w:val="24"/>
          <w:lang w:val="ru-RU"/>
        </w:rPr>
        <w:t xml:space="preserve">, Совместная программа ВОЗ/ЮНИСЕФ по мониторингу водоснабжения, санитарии и гигиены (СПМ), ЮНЕП, Всемирный банк, </w:t>
      </w:r>
      <w:proofErr w:type="spellStart"/>
      <w:r w:rsidRPr="002F21AC">
        <w:rPr>
          <w:rFonts w:ascii="Times New Roman" w:hAnsi="Times New Roman"/>
          <w:color w:val="auto"/>
          <w:sz w:val="24"/>
          <w:szCs w:val="24"/>
          <w:lang w:val="ru-RU"/>
        </w:rPr>
        <w:t>АфБР</w:t>
      </w:r>
      <w:proofErr w:type="spellEnd"/>
      <w:r w:rsidRPr="002F21AC">
        <w:rPr>
          <w:rFonts w:ascii="Times New Roman" w:hAnsi="Times New Roman"/>
          <w:color w:val="auto"/>
          <w:sz w:val="24"/>
          <w:szCs w:val="24"/>
          <w:lang w:val="ru-RU"/>
        </w:rPr>
        <w:t>, ИБР, ЕБРР и АБР) и двусторонние доноры (JICA, GIZ и др.).</w:t>
      </w:r>
    </w:p>
    <w:p w:rsidR="009C54E7" w:rsidRPr="00BD29EC" w:rsidRDefault="009C54E7" w:rsidP="0075371E">
      <w:pPr>
        <w:pStyle w:val="MHeader2"/>
        <w:jc w:val="both"/>
        <w:rPr>
          <w:rFonts w:ascii="Times New Roman" w:hAnsi="Times New Roman"/>
          <w:color w:val="auto"/>
          <w:sz w:val="24"/>
          <w:szCs w:val="24"/>
          <w:lang w:val="ru-RU"/>
        </w:rPr>
      </w:pPr>
    </w:p>
    <w:p w:rsidR="000A229E" w:rsidRPr="00BD29EC" w:rsidRDefault="000A229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3.</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Институциональный мандат</w:t>
      </w:r>
    </w:p>
    <w:p w:rsidR="000A229E" w:rsidRPr="00BD29EC" w:rsidRDefault="002F21AC" w:rsidP="0075371E">
      <w:pPr>
        <w:pStyle w:val="MText"/>
        <w:jc w:val="both"/>
        <w:rPr>
          <w:rFonts w:ascii="Times New Roman" w:hAnsi="Times New Roman"/>
          <w:color w:val="auto"/>
          <w:sz w:val="24"/>
          <w:szCs w:val="24"/>
          <w:lang w:val="ru-RU"/>
        </w:rPr>
      </w:pPr>
      <w:r w:rsidRPr="002F21AC">
        <w:rPr>
          <w:rFonts w:ascii="Times New Roman" w:hAnsi="Times New Roman"/>
          <w:color w:val="auto"/>
          <w:sz w:val="24"/>
          <w:szCs w:val="24"/>
          <w:lang w:val="ru-RU"/>
        </w:rPr>
        <w:t>Это описано в справочных метаданных для каждого из составляющих показателей, используемых для составления отчета по этому показателю.</w:t>
      </w:r>
    </w:p>
    <w:p w:rsidR="00980F79" w:rsidRDefault="00980F79" w:rsidP="0075371E">
      <w:pPr>
        <w:pBdr>
          <w:top w:val="nil"/>
          <w:left w:val="nil"/>
          <w:bottom w:val="nil"/>
          <w:right w:val="nil"/>
          <w:between w:val="nil"/>
          <w:bar w:val="nil"/>
        </w:pBdr>
        <w:spacing w:after="0"/>
        <w:jc w:val="both"/>
        <w:rPr>
          <w:rFonts w:ascii="Times New Roman" w:hAnsi="Times New Roman" w:cs="Times New Roman"/>
          <w:b/>
          <w:sz w:val="24"/>
          <w:szCs w:val="24"/>
        </w:rPr>
      </w:pPr>
    </w:p>
    <w:p w:rsidR="0055757C" w:rsidRDefault="0055757C" w:rsidP="0075371E">
      <w:pPr>
        <w:pBdr>
          <w:top w:val="nil"/>
          <w:left w:val="nil"/>
          <w:bottom w:val="nil"/>
          <w:right w:val="nil"/>
          <w:between w:val="nil"/>
          <w:bar w:val="nil"/>
        </w:pBdr>
        <w:spacing w:after="0"/>
        <w:jc w:val="both"/>
        <w:rPr>
          <w:rFonts w:ascii="Times New Roman" w:hAnsi="Times New Roman" w:cs="Times New Roman"/>
          <w:b/>
          <w:sz w:val="24"/>
          <w:szCs w:val="24"/>
        </w:rPr>
      </w:pPr>
    </w:p>
    <w:p w:rsidR="0055757C" w:rsidRDefault="0055757C" w:rsidP="0075371E">
      <w:pPr>
        <w:pBdr>
          <w:top w:val="nil"/>
          <w:left w:val="nil"/>
          <w:bottom w:val="nil"/>
          <w:right w:val="nil"/>
          <w:between w:val="nil"/>
          <w:bar w:val="nil"/>
        </w:pBdr>
        <w:spacing w:after="0"/>
        <w:jc w:val="both"/>
        <w:rPr>
          <w:rFonts w:ascii="Times New Roman" w:hAnsi="Times New Roman" w:cs="Times New Roman"/>
          <w:b/>
          <w:sz w:val="24"/>
          <w:szCs w:val="24"/>
        </w:rPr>
      </w:pPr>
    </w:p>
    <w:p w:rsidR="0055757C" w:rsidRPr="00BD29EC" w:rsidRDefault="0055757C" w:rsidP="0075371E">
      <w:pPr>
        <w:pBdr>
          <w:top w:val="nil"/>
          <w:left w:val="nil"/>
          <w:bottom w:val="nil"/>
          <w:right w:val="nil"/>
          <w:between w:val="nil"/>
          <w:bar w:val="nil"/>
        </w:pBdr>
        <w:spacing w:after="0"/>
        <w:jc w:val="both"/>
        <w:rPr>
          <w:rFonts w:ascii="Times New Roman" w:hAnsi="Times New Roman" w:cs="Times New Roman"/>
          <w:b/>
          <w:sz w:val="24"/>
          <w:szCs w:val="24"/>
        </w:rPr>
      </w:pPr>
    </w:p>
    <w:p w:rsidR="002E15F9" w:rsidRPr="00BD29EC" w:rsidRDefault="002E15F9" w:rsidP="0075371E">
      <w:pPr>
        <w:pStyle w:val="MHeader"/>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4. Иные методологические соображения</w:t>
      </w: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a</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Обоснование</w:t>
      </w:r>
    </w:p>
    <w:p w:rsidR="002E15F9" w:rsidRDefault="002E15F9"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Бедность имеет много аспектов. Это не только отсутствие материального благополучия, но и отсутствие возможностей жить </w:t>
      </w:r>
      <w:r w:rsidR="00AC1A97">
        <w:rPr>
          <w:rFonts w:ascii="Times New Roman" w:hAnsi="Times New Roman" w:cs="Times New Roman"/>
          <w:sz w:val="24"/>
          <w:szCs w:val="24"/>
        </w:rPr>
        <w:t>нормальной</w:t>
      </w:r>
      <w:r w:rsidRPr="00BD29EC">
        <w:rPr>
          <w:rFonts w:ascii="Times New Roman" w:hAnsi="Times New Roman" w:cs="Times New Roman"/>
          <w:sz w:val="24"/>
          <w:szCs w:val="24"/>
        </w:rPr>
        <w:t xml:space="preserve"> жизнью. Международная черта бедности была обновлена в 2015 году до 1,90 долларов США в день с использованием паритета покупательной способности в 2011 году (ВБ 2015). Жизнь под крайней чертой бедности часто охватывает лишения безопасной питьевой воды, надлежащую санитарию, доступ к современной энергии, устойчивую мобильность к экономическим ресурсам, информационные технологии, здравоохранение, образование и т.д. Бедность также является проявлением голода и недоедания, ограниченным доступом к образованию и других основных услуг, социальной дискриминации и отчуждения, а также отсутствия участия в процессе принятия решений. Другими словами, нищета является многоплановой и охватывает многие аспекты жизни, начиная от доступа к средствам к существованию и заканчивая доступа к способам выживания.</w:t>
      </w:r>
    </w:p>
    <w:p w:rsidR="0055757C" w:rsidRPr="00BD29EC" w:rsidRDefault="0055757C" w:rsidP="0075371E">
      <w:pPr>
        <w:pBdr>
          <w:top w:val="nil"/>
          <w:left w:val="nil"/>
          <w:bottom w:val="nil"/>
          <w:right w:val="nil"/>
          <w:between w:val="nil"/>
          <w:bar w:val="nil"/>
        </w:pBdr>
        <w:spacing w:after="0"/>
        <w:jc w:val="both"/>
        <w:rPr>
          <w:rFonts w:ascii="Times New Roman" w:hAnsi="Times New Roman" w:cs="Times New Roman"/>
          <w:sz w:val="24"/>
          <w:szCs w:val="24"/>
        </w:rPr>
      </w:pPr>
    </w:p>
    <w:p w:rsidR="002E15F9" w:rsidRPr="00BD29EC" w:rsidRDefault="002E15F9"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Среди различных аспектов бедности этот показатель фокусируется на «доступе к базовым услугам». Предоставление доступа к основным услугам, таким как безопасная питьевая вода, средства санитарии, устойчивая энергетика и мобильность, жилье, образование, здравоохранение и т.д., помогает улучшить качество жизни бедных. Отсутствие предоставления базовых услуг и отсутствие расширения возможностей и участия местных органов власти в предоставлении базовых услуг подрывают экономический рост и качество жизни в любом сообществе. Адекватные базовые системы предоставления услуг способствуют социально-экономическим улучшениям и способствуют достижению экономического роста, социальной интеграции, сокращения бедности и равенства. Более конкретно, улучшение базовых услуг может способствовать повышению благосостояния и производительности сообществ, созданию рабочих мест, экономии времени и усилий людей в области транспортировки воды, поддержке продовольственной безопасности, более эффективному использованию энергии, производству основных товаров, улучшению здоровья (путем медицинского уход, чистая вода или сбор твердых отходов) или повысить уровень образования.</w:t>
      </w:r>
    </w:p>
    <w:p w:rsidR="002E15F9" w:rsidRPr="00BD29EC" w:rsidRDefault="002E15F9" w:rsidP="0075371E">
      <w:pPr>
        <w:pBdr>
          <w:top w:val="nil"/>
          <w:left w:val="nil"/>
          <w:bottom w:val="nil"/>
          <w:right w:val="nil"/>
          <w:between w:val="nil"/>
          <w:bar w:val="nil"/>
        </w:pBdr>
        <w:spacing w:after="0"/>
        <w:jc w:val="both"/>
        <w:rPr>
          <w:rFonts w:ascii="Times New Roman" w:hAnsi="Times New Roman" w:cs="Times New Roman"/>
          <w:sz w:val="24"/>
          <w:szCs w:val="24"/>
        </w:rPr>
      </w:pPr>
    </w:p>
    <w:p w:rsidR="002E15F9" w:rsidRPr="00BD29EC" w:rsidRDefault="002E15F9"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В плане реализации Кито для Новой Городской Программы, принятой на конференции </w:t>
      </w:r>
      <w:proofErr w:type="spellStart"/>
      <w:r w:rsidRPr="00BD29EC">
        <w:rPr>
          <w:rFonts w:ascii="Times New Roman" w:hAnsi="Times New Roman" w:cs="Times New Roman"/>
          <w:sz w:val="24"/>
          <w:szCs w:val="24"/>
        </w:rPr>
        <w:t>Хабитат</w:t>
      </w:r>
      <w:proofErr w:type="spellEnd"/>
      <w:r w:rsidRPr="00BD29EC">
        <w:rPr>
          <w:rFonts w:ascii="Times New Roman" w:hAnsi="Times New Roman" w:cs="Times New Roman"/>
          <w:sz w:val="24"/>
          <w:szCs w:val="24"/>
        </w:rPr>
        <w:t xml:space="preserve"> III, государства-члены обязуются «поощрять справедливый доступ к устойчивой базовой физической и социальной инфраструктуре для всех без дискриминации, включая доступные земельные участки с обслуживанием, жилье, современные и возобновляемые источники энергии, безопасная питьевая вода и санитария, безопасное, питательное и достаточное питание, удаление отходов, устойчивая мобильность, здравоохранение и планирование семьи, образование, культура и информационно-коммуникационные технологии». Они далее обязуются «обеспечить, чтобы эти службы отвечали правам и потребностям женщин, детей и молодежи, пожилых людей и инвалидов, мигрантов, коренных народов и местных общин, в зависимости от случая, и потребностей других лиц в уязвимых ситуациях».</w:t>
      </w:r>
    </w:p>
    <w:p w:rsidR="002E15F9" w:rsidRPr="00BD29EC" w:rsidRDefault="002E15F9" w:rsidP="0075371E">
      <w:pPr>
        <w:pBdr>
          <w:top w:val="nil"/>
          <w:left w:val="nil"/>
          <w:bottom w:val="nil"/>
          <w:right w:val="nil"/>
          <w:between w:val="nil"/>
          <w:bar w:val="nil"/>
        </w:pBdr>
        <w:spacing w:after="0"/>
        <w:jc w:val="both"/>
        <w:rPr>
          <w:rFonts w:ascii="Times New Roman" w:hAnsi="Times New Roman" w:cs="Times New Roman"/>
          <w:sz w:val="24"/>
          <w:szCs w:val="24"/>
        </w:rPr>
      </w:pPr>
    </w:p>
    <w:p w:rsidR="002E15F9" w:rsidRPr="00BD29EC" w:rsidRDefault="002E15F9"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Базовая услуга должна быть направлена на подход, ориентированный на спрос, который подходит для местных потребностей, и, следовательно, способен реагировать на концепцию «Доступ для всех» </w:t>
      </w:r>
      <w:r w:rsidR="0055757C">
        <w:rPr>
          <w:rFonts w:ascii="Times New Roman" w:hAnsi="Times New Roman" w:cs="Times New Roman"/>
          <w:sz w:val="24"/>
          <w:szCs w:val="24"/>
        </w:rPr>
        <w:t>–</w:t>
      </w:r>
      <w:r w:rsidRPr="00BD29EC">
        <w:rPr>
          <w:rFonts w:ascii="Times New Roman" w:hAnsi="Times New Roman" w:cs="Times New Roman"/>
          <w:sz w:val="24"/>
          <w:szCs w:val="24"/>
        </w:rPr>
        <w:t xml:space="preserve"> как указано в НГП. Базовые услуги имеют основополагающее значение для повышения уровня жизни. Правительства несут ответственность за их предоставление. Этот показатель будет измерять уровни доступности базовых услуг и направлять усилия правительств на предоставление справедливых базовых услуг для всех, чтобы искоренить нищету.</w:t>
      </w:r>
    </w:p>
    <w:p w:rsidR="002E15F9" w:rsidRPr="00BD29EC" w:rsidRDefault="002E15F9" w:rsidP="0075371E">
      <w:pPr>
        <w:pStyle w:val="MText"/>
        <w:jc w:val="both"/>
        <w:rPr>
          <w:rFonts w:ascii="Times New Roman" w:hAnsi="Times New Roman"/>
          <w:color w:val="auto"/>
          <w:sz w:val="24"/>
          <w:szCs w:val="24"/>
          <w:lang w:val="ru-RU"/>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b</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Комментарии и ограничения</w:t>
      </w:r>
    </w:p>
    <w:p w:rsidR="00CA1CB1" w:rsidRPr="00BD29EC" w:rsidRDefault="00CA1CB1"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Различные местные характеристики того, что представляет собой базовое обслуживание во всем мире некоторыми заинтересованными органами и заинтересованными сторонами, вынудили команду работать над модулями и глобальными руководствами по этому показателю. Это основано на определениях, доступных для многих других показателей ЦУР. Например, элементы базовых услуг измеряются по показателям 3.7.1 (здоровье), 4.1.1 (образование), 6.1.1 (вода), 6.2.1 (санитария), 7.1.1 (энергия), 11.2.1 (общественный транспорт) и т. д.</w:t>
      </w:r>
    </w:p>
    <w:p w:rsidR="00CA1CB1" w:rsidRPr="00BD29EC" w:rsidRDefault="00CA1CB1" w:rsidP="0075371E">
      <w:pPr>
        <w:pBdr>
          <w:top w:val="nil"/>
          <w:left w:val="nil"/>
          <w:bottom w:val="nil"/>
          <w:right w:val="nil"/>
          <w:between w:val="nil"/>
          <w:bar w:val="nil"/>
        </w:pBdr>
        <w:spacing w:after="0"/>
        <w:jc w:val="both"/>
        <w:rPr>
          <w:rFonts w:ascii="Times New Roman" w:hAnsi="Times New Roman" w:cs="Times New Roman"/>
          <w:sz w:val="24"/>
          <w:szCs w:val="24"/>
        </w:rPr>
      </w:pPr>
    </w:p>
    <w:p w:rsidR="002E15F9" w:rsidRDefault="00CA1CB1" w:rsidP="0075371E">
      <w:pPr>
        <w:pBdr>
          <w:top w:val="nil"/>
          <w:left w:val="nil"/>
          <w:bottom w:val="nil"/>
          <w:right w:val="nil"/>
          <w:between w:val="nil"/>
          <w:bar w:val="nil"/>
        </w:pBdr>
        <w:spacing w:after="0"/>
        <w:jc w:val="both"/>
        <w:rPr>
          <w:rFonts w:ascii="Times New Roman" w:hAnsi="Times New Roman" w:cs="Times New Roman"/>
          <w:sz w:val="24"/>
          <w:szCs w:val="24"/>
        </w:rPr>
      </w:pPr>
      <w:r w:rsidRPr="00BD29EC">
        <w:rPr>
          <w:rFonts w:ascii="Times New Roman" w:hAnsi="Times New Roman" w:cs="Times New Roman"/>
          <w:sz w:val="24"/>
          <w:szCs w:val="24"/>
        </w:rPr>
        <w:t xml:space="preserve">Наконец, многие страны по-прежнему имеют ограниченные возможности для управления данными, сбора данных и мониторинга и продолжают бороться с ограниченными данными о крупных или густонаселенных географических районах. Это означает, что </w:t>
      </w:r>
      <w:proofErr w:type="spellStart"/>
      <w:r w:rsidRPr="00BD29EC">
        <w:rPr>
          <w:rFonts w:ascii="Times New Roman" w:hAnsi="Times New Roman" w:cs="Times New Roman"/>
          <w:sz w:val="24"/>
          <w:szCs w:val="24"/>
        </w:rPr>
        <w:t>взаимодополняемость</w:t>
      </w:r>
      <w:proofErr w:type="spellEnd"/>
      <w:r w:rsidRPr="00BD29EC">
        <w:rPr>
          <w:rFonts w:ascii="Times New Roman" w:hAnsi="Times New Roman" w:cs="Times New Roman"/>
          <w:sz w:val="24"/>
          <w:szCs w:val="24"/>
        </w:rPr>
        <w:t xml:space="preserve"> в представлении данных за несколькими исключениями </w:t>
      </w:r>
      <w:proofErr w:type="gramStart"/>
      <w:r w:rsidRPr="00BD29EC">
        <w:rPr>
          <w:rFonts w:ascii="Times New Roman" w:hAnsi="Times New Roman" w:cs="Times New Roman"/>
          <w:sz w:val="24"/>
          <w:szCs w:val="24"/>
        </w:rPr>
        <w:t>необходима</w:t>
      </w:r>
      <w:proofErr w:type="gramEnd"/>
      <w:r w:rsidRPr="00BD29EC">
        <w:rPr>
          <w:rFonts w:ascii="Times New Roman" w:hAnsi="Times New Roman" w:cs="Times New Roman"/>
          <w:sz w:val="24"/>
          <w:szCs w:val="24"/>
        </w:rPr>
        <w:t xml:space="preserve"> для обеспечения того, чтобы как национальные, так и глобальные показатели достигали согласованности в конечных сообщенных данных для доступа к базовым услугам.</w:t>
      </w:r>
    </w:p>
    <w:p w:rsidR="0055757C" w:rsidRDefault="0055757C" w:rsidP="0075371E">
      <w:pPr>
        <w:pBdr>
          <w:top w:val="nil"/>
          <w:left w:val="nil"/>
          <w:bottom w:val="nil"/>
          <w:right w:val="nil"/>
          <w:between w:val="nil"/>
          <w:bar w:val="nil"/>
        </w:pBdr>
        <w:spacing w:after="0"/>
        <w:jc w:val="both"/>
        <w:rPr>
          <w:rFonts w:ascii="Times New Roman" w:hAnsi="Times New Roman" w:cs="Times New Roman"/>
          <w:sz w:val="24"/>
          <w:szCs w:val="24"/>
        </w:rPr>
      </w:pPr>
    </w:p>
    <w:p w:rsidR="0055757C" w:rsidRDefault="0055757C" w:rsidP="0075371E">
      <w:pPr>
        <w:pBdr>
          <w:top w:val="nil"/>
          <w:left w:val="nil"/>
          <w:bottom w:val="nil"/>
          <w:right w:val="nil"/>
          <w:between w:val="nil"/>
          <w:bar w:val="nil"/>
        </w:pBdr>
        <w:spacing w:after="0"/>
        <w:jc w:val="both"/>
        <w:rPr>
          <w:rFonts w:ascii="Times New Roman" w:hAnsi="Times New Roman" w:cs="Times New Roman"/>
          <w:sz w:val="24"/>
          <w:szCs w:val="24"/>
        </w:rPr>
      </w:pPr>
      <w:r w:rsidRPr="0055757C">
        <w:rPr>
          <w:rFonts w:ascii="Times New Roman" w:hAnsi="Times New Roman" w:cs="Times New Roman"/>
          <w:sz w:val="24"/>
          <w:szCs w:val="24"/>
        </w:rPr>
        <w:t>Более подробную информацию см. в исходных справочных метаданных для каждого показателя.</w:t>
      </w:r>
    </w:p>
    <w:p w:rsidR="0055757C" w:rsidRPr="00BD29EC" w:rsidRDefault="0055757C" w:rsidP="0075371E">
      <w:pPr>
        <w:pBdr>
          <w:top w:val="nil"/>
          <w:left w:val="nil"/>
          <w:bottom w:val="nil"/>
          <w:right w:val="nil"/>
          <w:between w:val="nil"/>
          <w:bar w:val="nil"/>
        </w:pBdr>
        <w:spacing w:after="0"/>
        <w:jc w:val="both"/>
        <w:rPr>
          <w:rFonts w:ascii="Times New Roman" w:hAnsi="Times New Roman" w:cs="Times New Roman"/>
          <w:sz w:val="24"/>
          <w:szCs w:val="24"/>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c</w:t>
      </w:r>
      <w:r w:rsidRPr="00BD29EC">
        <w:rPr>
          <w:rFonts w:ascii="Times New Roman" w:hAnsi="Times New Roman"/>
          <w:color w:val="auto"/>
          <w:sz w:val="24"/>
          <w:szCs w:val="24"/>
          <w:lang w:val="ru-RU"/>
        </w:rPr>
        <w:t xml:space="preserve">. </w:t>
      </w:r>
      <w:r w:rsidR="00CA1CB1" w:rsidRPr="00A71EC6">
        <w:rPr>
          <w:rFonts w:ascii="Times New Roman" w:hAnsi="Times New Roman"/>
          <w:b/>
          <w:color w:val="auto"/>
          <w:sz w:val="24"/>
          <w:szCs w:val="24"/>
          <w:lang w:val="ru-RU"/>
        </w:rPr>
        <w:t>Метод расчета</w:t>
      </w:r>
      <w:r w:rsidR="00CA1CB1" w:rsidRPr="00BD29EC">
        <w:rPr>
          <w:rFonts w:ascii="Times New Roman" w:hAnsi="Times New Roman"/>
          <w:color w:val="auto"/>
          <w:sz w:val="24"/>
          <w:szCs w:val="24"/>
          <w:lang w:val="ru-RU"/>
        </w:rPr>
        <w:t xml:space="preserve"> </w:t>
      </w:r>
    </w:p>
    <w:p w:rsidR="00CA1CB1" w:rsidRDefault="00CA1CB1"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Данный показатель представляет собой комбинацию различных компонентов базовых услуг, которые сами по себе уже существуют как отдельные показатели ЦУР. В результате группа экспертов пришла к единогласному решению, что данные показатели должны быть представлены в виде информационной панели. Их метаданные предоставляют конкретные методики расчета этих показателей.</w:t>
      </w:r>
    </w:p>
    <w:p w:rsidR="008E410E" w:rsidRPr="00BD29EC" w:rsidRDefault="008E410E" w:rsidP="0075371E">
      <w:pPr>
        <w:pStyle w:val="MText"/>
        <w:jc w:val="both"/>
        <w:rPr>
          <w:rFonts w:ascii="Times New Roman" w:hAnsi="Times New Roman"/>
          <w:color w:val="auto"/>
          <w:sz w:val="24"/>
          <w:szCs w:val="24"/>
          <w:lang w:val="ru-RU"/>
        </w:rPr>
      </w:pPr>
    </w:p>
    <w:p w:rsidR="00CA1CB1" w:rsidRPr="00BD29EC" w:rsidRDefault="00CA1CB1" w:rsidP="0075371E">
      <w:pPr>
        <w:pStyle w:val="MText"/>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Представление данных</w:t>
      </w:r>
    </w:p>
    <w:p w:rsidR="00CA1CB1" w:rsidRDefault="00CA1CB1"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 xml:space="preserve">Отдельные </w:t>
      </w:r>
      <w:r w:rsidR="00F84FF1" w:rsidRPr="00BD29EC">
        <w:rPr>
          <w:rFonts w:ascii="Times New Roman" w:hAnsi="Times New Roman"/>
          <w:color w:val="auto"/>
          <w:sz w:val="24"/>
          <w:szCs w:val="24"/>
          <w:lang w:val="ru-RU"/>
        </w:rPr>
        <w:t>показатели</w:t>
      </w:r>
      <w:r w:rsidRPr="00BD29EC">
        <w:rPr>
          <w:rFonts w:ascii="Times New Roman" w:hAnsi="Times New Roman"/>
          <w:color w:val="auto"/>
          <w:sz w:val="24"/>
          <w:szCs w:val="24"/>
          <w:lang w:val="ru-RU"/>
        </w:rPr>
        <w:t xml:space="preserve"> доступа к базовым услугам будут рассчитываться отдельно от различных </w:t>
      </w:r>
      <w:proofErr w:type="gramStart"/>
      <w:r w:rsidRPr="00BD29EC">
        <w:rPr>
          <w:rFonts w:ascii="Times New Roman" w:hAnsi="Times New Roman"/>
          <w:color w:val="auto"/>
          <w:sz w:val="24"/>
          <w:szCs w:val="24"/>
          <w:lang w:val="ru-RU"/>
        </w:rPr>
        <w:t>источников</w:t>
      </w:r>
      <w:proofErr w:type="gramEnd"/>
      <w:r w:rsidRPr="00BD29EC">
        <w:rPr>
          <w:rFonts w:ascii="Times New Roman" w:hAnsi="Times New Roman"/>
          <w:color w:val="auto"/>
          <w:sz w:val="24"/>
          <w:szCs w:val="24"/>
          <w:lang w:val="ru-RU"/>
        </w:rPr>
        <w:t xml:space="preserve"> данных на протяжении многих лет. Однако панель мониторинга будет настроена для отображения самых последних точек данных, но с возможностью визуализировать данные за более ранние годы с помощью доступа к детализации.</w:t>
      </w:r>
    </w:p>
    <w:p w:rsidR="008E410E" w:rsidRPr="00BD29EC" w:rsidRDefault="008E410E" w:rsidP="0075371E">
      <w:pPr>
        <w:pStyle w:val="MText"/>
        <w:jc w:val="both"/>
        <w:rPr>
          <w:rFonts w:ascii="Times New Roman" w:hAnsi="Times New Roman"/>
          <w:color w:val="auto"/>
          <w:sz w:val="24"/>
          <w:szCs w:val="24"/>
          <w:lang w:val="ru-RU"/>
        </w:rPr>
      </w:pPr>
    </w:p>
    <w:p w:rsidR="002E15F9" w:rsidRDefault="00CA1CB1"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lastRenderedPageBreak/>
        <w:t xml:space="preserve">Данные будут представлены или визуализированы в виде информационной панели, но с возможностью их отображения с помощью различных инструментов визуализации, таких как паутина достижения доступа к различным базовым услугам в стране посредством построения различных компонентов показателей. </w:t>
      </w:r>
      <w:r w:rsidR="00F84FF1" w:rsidRPr="00BD29EC">
        <w:rPr>
          <w:rFonts w:ascii="Times New Roman" w:hAnsi="Times New Roman"/>
          <w:color w:val="auto"/>
          <w:sz w:val="24"/>
          <w:szCs w:val="24"/>
          <w:lang w:val="ru-RU"/>
        </w:rPr>
        <w:t>Таким образом, лица, определяющие политику, могут быть проинформированы о наиболее необходимых областях вмешательства.</w:t>
      </w:r>
    </w:p>
    <w:p w:rsidR="008E410E" w:rsidRPr="00BD29EC" w:rsidRDefault="008E410E" w:rsidP="0075371E">
      <w:pPr>
        <w:pStyle w:val="MText"/>
        <w:jc w:val="both"/>
        <w:rPr>
          <w:rFonts w:ascii="Times New Roman" w:hAnsi="Times New Roman"/>
          <w:color w:val="auto"/>
          <w:sz w:val="24"/>
          <w:szCs w:val="24"/>
          <w:lang w:val="ru-RU"/>
        </w:rPr>
      </w:pPr>
    </w:p>
    <w:p w:rsidR="002E15F9" w:rsidRPr="00BD29EC" w:rsidRDefault="002E15F9" w:rsidP="00A71EC6">
      <w:pPr>
        <w:pStyle w:val="MHeader2"/>
        <w:pBdr>
          <w:bottom w:val="single" w:sz="12" w:space="3" w:color="DDDDDD"/>
        </w:pBdr>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d</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Валидация</w:t>
      </w:r>
    </w:p>
    <w:p w:rsidR="002E15F9" w:rsidRDefault="008E410E" w:rsidP="0075371E">
      <w:pPr>
        <w:pStyle w:val="MText"/>
        <w:jc w:val="both"/>
        <w:rPr>
          <w:rFonts w:ascii="Times New Roman" w:hAnsi="Times New Roman"/>
          <w:color w:val="auto"/>
          <w:sz w:val="24"/>
          <w:szCs w:val="24"/>
          <w:lang w:val="ru-RU"/>
        </w:rPr>
      </w:pPr>
      <w:r w:rsidRPr="008E410E">
        <w:rPr>
          <w:rFonts w:ascii="Times New Roman" w:hAnsi="Times New Roman"/>
          <w:color w:val="auto"/>
          <w:sz w:val="24"/>
          <w:szCs w:val="24"/>
          <w:lang w:val="ru-RU"/>
        </w:rPr>
        <w:t xml:space="preserve">Что касается различных мер, с национальными органами власти проводятся консультации по оценкам, полученным из национальных </w:t>
      </w:r>
      <w:proofErr w:type="gramStart"/>
      <w:r w:rsidRPr="008E410E">
        <w:rPr>
          <w:rFonts w:ascii="Times New Roman" w:hAnsi="Times New Roman"/>
          <w:color w:val="auto"/>
          <w:sz w:val="24"/>
          <w:szCs w:val="24"/>
          <w:lang w:val="ru-RU"/>
        </w:rPr>
        <w:t>источников</w:t>
      </w:r>
      <w:proofErr w:type="gramEnd"/>
      <w:r w:rsidRPr="008E410E">
        <w:rPr>
          <w:rFonts w:ascii="Times New Roman" w:hAnsi="Times New Roman"/>
          <w:color w:val="auto"/>
          <w:sz w:val="24"/>
          <w:szCs w:val="24"/>
          <w:lang w:val="ru-RU"/>
        </w:rPr>
        <w:t xml:space="preserve"> данных, в рамках процесса консультаций со страна</w:t>
      </w:r>
      <w:r w:rsidR="00AB5B07">
        <w:rPr>
          <w:rFonts w:ascii="Times New Roman" w:hAnsi="Times New Roman"/>
          <w:color w:val="auto"/>
          <w:sz w:val="24"/>
          <w:szCs w:val="24"/>
          <w:lang w:val="ru-RU"/>
        </w:rPr>
        <w:t>ми, проводимого при содействии агентств-кураторов</w:t>
      </w:r>
      <w:r w:rsidRPr="008E410E">
        <w:rPr>
          <w:rFonts w:ascii="Times New Roman" w:hAnsi="Times New Roman"/>
          <w:color w:val="auto"/>
          <w:sz w:val="24"/>
          <w:szCs w:val="24"/>
          <w:lang w:val="ru-RU"/>
        </w:rPr>
        <w:t>. Более подробную информацию см. в исходных справочных метаданных для каждого показателя.</w:t>
      </w:r>
    </w:p>
    <w:p w:rsidR="008E410E" w:rsidRPr="00BD29EC" w:rsidRDefault="008E410E" w:rsidP="0075371E">
      <w:pPr>
        <w:pStyle w:val="MText"/>
        <w:jc w:val="both"/>
        <w:rPr>
          <w:rFonts w:ascii="Times New Roman" w:hAnsi="Times New Roman"/>
          <w:color w:val="auto"/>
          <w:sz w:val="24"/>
          <w:szCs w:val="24"/>
          <w:lang w:val="ru-RU"/>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e</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Корректировки</w:t>
      </w:r>
    </w:p>
    <w:p w:rsidR="002E15F9" w:rsidRDefault="00F92D6F"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Не применимо</w:t>
      </w:r>
      <w:r w:rsidR="00694160" w:rsidRPr="00BD29EC">
        <w:rPr>
          <w:rFonts w:ascii="Times New Roman" w:hAnsi="Times New Roman"/>
          <w:color w:val="auto"/>
          <w:sz w:val="24"/>
          <w:szCs w:val="24"/>
          <w:lang w:val="ru-RU"/>
        </w:rPr>
        <w:t>.</w:t>
      </w:r>
    </w:p>
    <w:p w:rsidR="008E410E" w:rsidRPr="00BD29EC" w:rsidRDefault="008E410E" w:rsidP="0075371E">
      <w:pPr>
        <w:pStyle w:val="MText"/>
        <w:jc w:val="both"/>
        <w:rPr>
          <w:rFonts w:ascii="Times New Roman" w:hAnsi="Times New Roman"/>
          <w:color w:val="auto"/>
          <w:sz w:val="24"/>
          <w:szCs w:val="24"/>
          <w:lang w:val="ru-RU"/>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f</w:t>
      </w:r>
      <w:r w:rsidRPr="00BD29EC">
        <w:rPr>
          <w:rFonts w:ascii="Times New Roman" w:hAnsi="Times New Roman"/>
          <w:color w:val="auto"/>
          <w:sz w:val="24"/>
          <w:szCs w:val="24"/>
          <w:lang w:val="ru-RU"/>
        </w:rPr>
        <w:t xml:space="preserve">. </w:t>
      </w:r>
      <w:r w:rsidR="00694160" w:rsidRPr="00A71EC6">
        <w:rPr>
          <w:rFonts w:ascii="Times New Roman" w:hAnsi="Times New Roman"/>
          <w:b/>
          <w:color w:val="auto"/>
          <w:sz w:val="24"/>
          <w:szCs w:val="24"/>
          <w:lang w:val="ru-RU"/>
        </w:rPr>
        <w:t>Обработка отсутствующих значений (</w:t>
      </w:r>
      <w:proofErr w:type="spellStart"/>
      <w:r w:rsidR="00694160" w:rsidRPr="00A71EC6">
        <w:rPr>
          <w:rFonts w:ascii="Times New Roman" w:hAnsi="Times New Roman"/>
          <w:b/>
          <w:color w:val="auto"/>
          <w:sz w:val="24"/>
          <w:szCs w:val="24"/>
        </w:rPr>
        <w:t>i</w:t>
      </w:r>
      <w:proofErr w:type="spellEnd"/>
      <w:r w:rsidR="00694160" w:rsidRPr="00A71EC6">
        <w:rPr>
          <w:rFonts w:ascii="Times New Roman" w:hAnsi="Times New Roman"/>
          <w:b/>
          <w:color w:val="auto"/>
          <w:sz w:val="24"/>
          <w:szCs w:val="24"/>
          <w:lang w:val="ru-RU"/>
        </w:rPr>
        <w:t>) на уровне страны и (</w:t>
      </w:r>
      <w:r w:rsidR="00694160" w:rsidRPr="00A71EC6">
        <w:rPr>
          <w:rFonts w:ascii="Times New Roman" w:hAnsi="Times New Roman"/>
          <w:b/>
          <w:color w:val="auto"/>
          <w:sz w:val="24"/>
          <w:szCs w:val="24"/>
        </w:rPr>
        <w:t>ii</w:t>
      </w:r>
      <w:r w:rsidR="00694160" w:rsidRPr="00A71EC6">
        <w:rPr>
          <w:rFonts w:ascii="Times New Roman" w:hAnsi="Times New Roman"/>
          <w:b/>
          <w:color w:val="auto"/>
          <w:sz w:val="24"/>
          <w:szCs w:val="24"/>
          <w:lang w:val="ru-RU"/>
        </w:rPr>
        <w:t>) на региональном уровне</w:t>
      </w:r>
    </w:p>
    <w:p w:rsidR="002E15F9" w:rsidRPr="00D5214D" w:rsidRDefault="00D5214D" w:rsidP="00D5214D">
      <w:pPr>
        <w:pStyle w:val="MText"/>
        <w:numPr>
          <w:ilvl w:val="0"/>
          <w:numId w:val="5"/>
        </w:numPr>
        <w:ind w:left="993"/>
        <w:jc w:val="both"/>
        <w:rPr>
          <w:rFonts w:ascii="Times New Roman" w:hAnsi="Times New Roman"/>
          <w:b/>
          <w:color w:val="auto"/>
          <w:sz w:val="24"/>
          <w:szCs w:val="24"/>
          <w:lang w:val="ru-RU"/>
        </w:rPr>
      </w:pPr>
      <w:r w:rsidRPr="00D5214D">
        <w:rPr>
          <w:rFonts w:ascii="Times New Roman" w:hAnsi="Times New Roman"/>
          <w:b/>
          <w:color w:val="auto"/>
          <w:sz w:val="24"/>
          <w:szCs w:val="24"/>
          <w:lang w:val="ru-RU"/>
        </w:rPr>
        <w:t>На страновом уровне:</w:t>
      </w:r>
    </w:p>
    <w:p w:rsidR="00694160" w:rsidRPr="00BD29EC" w:rsidRDefault="00694160"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Обработка отсутствующих значений представлена ​​в соответствующих метаданных для каждого отдельного показателя.</w:t>
      </w:r>
    </w:p>
    <w:p w:rsidR="002E15F9" w:rsidRPr="00D5214D" w:rsidRDefault="00694160" w:rsidP="00D5214D">
      <w:pPr>
        <w:pStyle w:val="MText"/>
        <w:numPr>
          <w:ilvl w:val="0"/>
          <w:numId w:val="5"/>
        </w:numPr>
        <w:ind w:left="993"/>
        <w:jc w:val="both"/>
        <w:rPr>
          <w:rFonts w:ascii="Times New Roman" w:hAnsi="Times New Roman"/>
          <w:b/>
          <w:color w:val="auto"/>
          <w:sz w:val="24"/>
          <w:szCs w:val="24"/>
          <w:lang w:val="ru-RU"/>
        </w:rPr>
      </w:pPr>
      <w:r w:rsidRPr="00D5214D">
        <w:rPr>
          <w:rFonts w:ascii="Times New Roman" w:hAnsi="Times New Roman"/>
          <w:b/>
          <w:color w:val="auto"/>
          <w:sz w:val="24"/>
          <w:szCs w:val="24"/>
          <w:lang w:val="ru-RU"/>
        </w:rPr>
        <w:t>На региональном и глобальном уровнях</w:t>
      </w:r>
      <w:r w:rsidR="00D5214D">
        <w:rPr>
          <w:rFonts w:ascii="Times New Roman" w:hAnsi="Times New Roman"/>
          <w:b/>
          <w:color w:val="auto"/>
          <w:sz w:val="24"/>
          <w:szCs w:val="24"/>
          <w:lang w:val="ru-RU"/>
        </w:rPr>
        <w:t>:</w:t>
      </w:r>
    </w:p>
    <w:p w:rsidR="002E15F9" w:rsidRPr="00BD29EC" w:rsidRDefault="00694160"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Обработка пропущенных значений представлена ​​в соответствующих метаданных для каждого отдельного показателя.</w:t>
      </w:r>
    </w:p>
    <w:p w:rsidR="00694160" w:rsidRPr="00BD29EC" w:rsidRDefault="00694160" w:rsidP="0075371E">
      <w:pPr>
        <w:pStyle w:val="MHeader2"/>
        <w:jc w:val="both"/>
        <w:rPr>
          <w:rFonts w:ascii="Times New Roman" w:hAnsi="Times New Roman"/>
          <w:color w:val="auto"/>
          <w:sz w:val="24"/>
          <w:szCs w:val="24"/>
          <w:lang w:val="ru-RU"/>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g</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Региональное агрегирование</w:t>
      </w:r>
      <w:r w:rsidR="00E27922" w:rsidRPr="00BD29EC">
        <w:rPr>
          <w:rFonts w:ascii="Times New Roman" w:hAnsi="Times New Roman"/>
          <w:color w:val="auto"/>
          <w:sz w:val="24"/>
          <w:szCs w:val="24"/>
          <w:lang w:val="ru-RU"/>
        </w:rPr>
        <w:t xml:space="preserve"> </w:t>
      </w:r>
    </w:p>
    <w:p w:rsidR="00E27922" w:rsidRPr="00BD29EC" w:rsidRDefault="00D5214D"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М</w:t>
      </w:r>
      <w:r w:rsidRPr="00D5214D">
        <w:rPr>
          <w:rFonts w:ascii="Times New Roman" w:hAnsi="Times New Roman"/>
          <w:color w:val="auto"/>
          <w:sz w:val="24"/>
          <w:szCs w:val="24"/>
          <w:lang w:val="ru-RU"/>
        </w:rPr>
        <w:t>етоды агрегирования для каждого показателя представлены в соответствующих метаданных для каждого отдельного показателя.</w:t>
      </w:r>
    </w:p>
    <w:p w:rsidR="002E15F9" w:rsidRPr="00BD29EC" w:rsidRDefault="002E15F9" w:rsidP="0075371E">
      <w:pPr>
        <w:pStyle w:val="MText"/>
        <w:jc w:val="both"/>
        <w:rPr>
          <w:rFonts w:ascii="Times New Roman" w:hAnsi="Times New Roman"/>
          <w:color w:val="auto"/>
          <w:sz w:val="24"/>
          <w:szCs w:val="24"/>
          <w:lang w:val="ru-RU"/>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h</w:t>
      </w:r>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Доступные странам методы для сбора данных на национальном уровне</w:t>
      </w:r>
    </w:p>
    <w:p w:rsidR="002E15F9" w:rsidRDefault="00D76D10"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Агентства-кураторы</w:t>
      </w:r>
      <w:r w:rsidRPr="00D76D10">
        <w:rPr>
          <w:rFonts w:ascii="Times New Roman" w:hAnsi="Times New Roman"/>
          <w:color w:val="auto"/>
          <w:sz w:val="24"/>
          <w:szCs w:val="24"/>
          <w:lang w:val="ru-RU"/>
        </w:rPr>
        <w:t xml:space="preserve"> предоставили национальным органам власти техническое руководство по сбору и анализу данных, необходимых для отчетности по каждому показателю. Ожидается, что страны представят эти данные в разработанных ими информационных панелях. Примеры простых в использовании инструментов для представления данных в виде информационной панели будут предоставлены странам через национальные статистические системы/управления.</w:t>
      </w:r>
    </w:p>
    <w:p w:rsidR="00933545" w:rsidRPr="00BD29EC" w:rsidRDefault="00933545" w:rsidP="0075371E">
      <w:pPr>
        <w:pStyle w:val="MText"/>
        <w:jc w:val="both"/>
        <w:rPr>
          <w:rFonts w:ascii="Times New Roman" w:hAnsi="Times New Roman"/>
          <w:color w:val="auto"/>
          <w:sz w:val="24"/>
          <w:szCs w:val="24"/>
          <w:lang w:val="ru-RU"/>
        </w:rPr>
      </w:pPr>
    </w:p>
    <w:p w:rsidR="002E15F9" w:rsidRPr="00BD29EC" w:rsidRDefault="002E15F9"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proofErr w:type="spellStart"/>
      <w:r w:rsidRPr="00BD29EC">
        <w:rPr>
          <w:rFonts w:ascii="Times New Roman" w:hAnsi="Times New Roman"/>
          <w:color w:val="auto"/>
          <w:sz w:val="24"/>
          <w:szCs w:val="24"/>
        </w:rPr>
        <w:t>i</w:t>
      </w:r>
      <w:proofErr w:type="spellEnd"/>
      <w:r w:rsidRPr="00BD29EC">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Управление качеством</w:t>
      </w:r>
    </w:p>
    <w:p w:rsidR="002E15F9" w:rsidRDefault="00D76D10"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У</w:t>
      </w:r>
      <w:r w:rsidR="00E27922" w:rsidRPr="00BD29EC">
        <w:rPr>
          <w:rFonts w:ascii="Times New Roman" w:hAnsi="Times New Roman"/>
          <w:color w:val="auto"/>
          <w:sz w:val="24"/>
          <w:szCs w:val="24"/>
          <w:lang w:val="ru-RU"/>
        </w:rPr>
        <w:t>правление качеством исходных данных осуществляется агентствами</w:t>
      </w:r>
      <w:r w:rsidR="00933545">
        <w:rPr>
          <w:rFonts w:ascii="Times New Roman" w:hAnsi="Times New Roman"/>
          <w:color w:val="auto"/>
          <w:sz w:val="24"/>
          <w:szCs w:val="24"/>
          <w:lang w:val="ru-RU"/>
        </w:rPr>
        <w:t>-кураторами</w:t>
      </w:r>
      <w:r w:rsidR="00E27922" w:rsidRPr="00BD29EC">
        <w:rPr>
          <w:rFonts w:ascii="Times New Roman" w:hAnsi="Times New Roman"/>
          <w:color w:val="auto"/>
          <w:sz w:val="24"/>
          <w:szCs w:val="24"/>
          <w:lang w:val="ru-RU"/>
        </w:rPr>
        <w:t xml:space="preserve"> по каждому показателю, представленному </w:t>
      </w:r>
      <w:r>
        <w:rPr>
          <w:rFonts w:ascii="Times New Roman" w:hAnsi="Times New Roman"/>
          <w:color w:val="auto"/>
          <w:sz w:val="24"/>
          <w:szCs w:val="24"/>
          <w:lang w:val="ru-RU"/>
        </w:rPr>
        <w:t xml:space="preserve">в дэшборде показателя </w:t>
      </w:r>
      <w:r w:rsidR="00E27922" w:rsidRPr="00BD29EC">
        <w:rPr>
          <w:rFonts w:ascii="Times New Roman" w:hAnsi="Times New Roman"/>
          <w:color w:val="auto"/>
          <w:sz w:val="24"/>
          <w:szCs w:val="24"/>
          <w:lang w:val="ru-RU"/>
        </w:rPr>
        <w:t>1.4.1.</w:t>
      </w:r>
    </w:p>
    <w:p w:rsidR="00933545" w:rsidRPr="00BD29EC" w:rsidRDefault="00933545" w:rsidP="0075371E">
      <w:pPr>
        <w:pStyle w:val="MText"/>
        <w:jc w:val="both"/>
        <w:rPr>
          <w:rFonts w:ascii="Times New Roman" w:hAnsi="Times New Roman"/>
          <w:color w:val="auto"/>
          <w:sz w:val="24"/>
          <w:szCs w:val="24"/>
          <w:lang w:val="ru-RU"/>
        </w:rPr>
      </w:pPr>
    </w:p>
    <w:p w:rsidR="002E15F9" w:rsidRPr="00040034" w:rsidRDefault="002E15F9" w:rsidP="0075371E">
      <w:pPr>
        <w:pStyle w:val="MHeader2"/>
        <w:jc w:val="both"/>
        <w:rPr>
          <w:rFonts w:ascii="Times New Roman" w:hAnsi="Times New Roman"/>
          <w:color w:val="auto"/>
          <w:sz w:val="24"/>
          <w:szCs w:val="24"/>
          <w:lang w:val="ru-RU"/>
        </w:rPr>
      </w:pPr>
      <w:r w:rsidRPr="00040034">
        <w:rPr>
          <w:rFonts w:ascii="Times New Roman" w:hAnsi="Times New Roman"/>
          <w:color w:val="auto"/>
          <w:sz w:val="24"/>
          <w:szCs w:val="24"/>
          <w:lang w:val="ru-RU"/>
        </w:rPr>
        <w:lastRenderedPageBreak/>
        <w:t>4.</w:t>
      </w:r>
      <w:r w:rsidRPr="00BD29EC">
        <w:rPr>
          <w:rFonts w:ascii="Times New Roman" w:hAnsi="Times New Roman"/>
          <w:color w:val="auto"/>
          <w:sz w:val="24"/>
          <w:szCs w:val="24"/>
        </w:rPr>
        <w:t>j</w:t>
      </w:r>
      <w:r w:rsidR="00E27922" w:rsidRPr="00040034">
        <w:rPr>
          <w:rFonts w:ascii="Times New Roman" w:hAnsi="Times New Roman"/>
          <w:color w:val="auto"/>
          <w:sz w:val="24"/>
          <w:szCs w:val="24"/>
          <w:lang w:val="ru-RU"/>
        </w:rPr>
        <w:t>.</w:t>
      </w:r>
      <w:r w:rsidRPr="00040034">
        <w:rPr>
          <w:rFonts w:ascii="Times New Roman" w:hAnsi="Times New Roman"/>
          <w:color w:val="auto"/>
          <w:sz w:val="24"/>
          <w:szCs w:val="24"/>
          <w:lang w:val="ru-RU"/>
        </w:rPr>
        <w:t xml:space="preserve"> </w:t>
      </w:r>
      <w:r w:rsidR="00E27922" w:rsidRPr="00A71EC6">
        <w:rPr>
          <w:rFonts w:ascii="Times New Roman" w:hAnsi="Times New Roman"/>
          <w:b/>
          <w:color w:val="auto"/>
          <w:sz w:val="24"/>
          <w:szCs w:val="24"/>
          <w:lang w:val="ru-RU"/>
        </w:rPr>
        <w:t>Обеспечение качества</w:t>
      </w:r>
    </w:p>
    <w:p w:rsidR="002E15F9" w:rsidRDefault="00D76D10"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У</w:t>
      </w:r>
      <w:r w:rsidR="0075371E" w:rsidRPr="00BD29EC">
        <w:rPr>
          <w:rFonts w:ascii="Times New Roman" w:hAnsi="Times New Roman"/>
          <w:color w:val="auto"/>
          <w:sz w:val="24"/>
          <w:szCs w:val="24"/>
          <w:lang w:val="ru-RU"/>
        </w:rPr>
        <w:t xml:space="preserve">правление качеством исходных данных осуществляется </w:t>
      </w:r>
      <w:r>
        <w:rPr>
          <w:rFonts w:ascii="Times New Roman" w:hAnsi="Times New Roman"/>
          <w:color w:val="auto"/>
          <w:sz w:val="24"/>
          <w:szCs w:val="24"/>
          <w:lang w:val="ru-RU"/>
        </w:rPr>
        <w:t>агентствами-кураторами</w:t>
      </w:r>
      <w:r w:rsidR="0075371E" w:rsidRPr="00BD29EC">
        <w:rPr>
          <w:rFonts w:ascii="Times New Roman" w:hAnsi="Times New Roman"/>
          <w:color w:val="auto"/>
          <w:sz w:val="24"/>
          <w:szCs w:val="24"/>
          <w:lang w:val="ru-RU"/>
        </w:rPr>
        <w:t xml:space="preserve"> по каждому показателю, представленному </w:t>
      </w:r>
      <w:r>
        <w:rPr>
          <w:rFonts w:ascii="Times New Roman" w:hAnsi="Times New Roman"/>
          <w:color w:val="auto"/>
          <w:sz w:val="24"/>
          <w:szCs w:val="24"/>
          <w:lang w:val="ru-RU"/>
        </w:rPr>
        <w:t>в дэшборде показателя</w:t>
      </w:r>
      <w:r w:rsidR="0075371E" w:rsidRPr="00BD29EC">
        <w:rPr>
          <w:rFonts w:ascii="Times New Roman" w:hAnsi="Times New Roman"/>
          <w:color w:val="auto"/>
          <w:sz w:val="24"/>
          <w:szCs w:val="24"/>
          <w:lang w:val="ru-RU"/>
        </w:rPr>
        <w:t xml:space="preserve"> 1.4.1.</w:t>
      </w:r>
    </w:p>
    <w:p w:rsidR="00D76D10" w:rsidRPr="00BD29EC" w:rsidRDefault="00D76D10" w:rsidP="0075371E">
      <w:pPr>
        <w:pStyle w:val="MText"/>
        <w:jc w:val="both"/>
        <w:rPr>
          <w:rFonts w:ascii="Times New Roman" w:hAnsi="Times New Roman"/>
          <w:color w:val="auto"/>
          <w:sz w:val="24"/>
          <w:szCs w:val="24"/>
          <w:lang w:val="ru-RU"/>
        </w:rPr>
      </w:pPr>
    </w:p>
    <w:p w:rsidR="002E15F9" w:rsidRPr="00BD29EC" w:rsidRDefault="0075371E" w:rsidP="0075371E">
      <w:pPr>
        <w:pStyle w:val="MHeader2"/>
        <w:jc w:val="both"/>
        <w:rPr>
          <w:rFonts w:ascii="Times New Roman" w:hAnsi="Times New Roman"/>
          <w:color w:val="auto"/>
          <w:sz w:val="24"/>
          <w:szCs w:val="24"/>
          <w:lang w:val="ru-RU"/>
        </w:rPr>
      </w:pPr>
      <w:r w:rsidRPr="00BD29EC">
        <w:rPr>
          <w:rFonts w:ascii="Times New Roman" w:hAnsi="Times New Roman"/>
          <w:color w:val="auto"/>
          <w:sz w:val="24"/>
          <w:szCs w:val="24"/>
          <w:lang w:val="ru-RU"/>
        </w:rPr>
        <w:t>4.</w:t>
      </w:r>
      <w:r w:rsidRPr="00BD29EC">
        <w:rPr>
          <w:rFonts w:ascii="Times New Roman" w:hAnsi="Times New Roman"/>
          <w:color w:val="auto"/>
          <w:sz w:val="24"/>
          <w:szCs w:val="24"/>
        </w:rPr>
        <w:t>k</w:t>
      </w:r>
      <w:r w:rsidRPr="00BD29EC">
        <w:rPr>
          <w:rFonts w:ascii="Times New Roman" w:hAnsi="Times New Roman"/>
          <w:color w:val="auto"/>
          <w:sz w:val="24"/>
          <w:szCs w:val="24"/>
          <w:lang w:val="ru-RU"/>
        </w:rPr>
        <w:t xml:space="preserve">. </w:t>
      </w:r>
      <w:r w:rsidRPr="00A71EC6">
        <w:rPr>
          <w:rFonts w:ascii="Times New Roman" w:hAnsi="Times New Roman"/>
          <w:b/>
          <w:color w:val="auto"/>
          <w:sz w:val="24"/>
          <w:szCs w:val="24"/>
          <w:lang w:val="ru-RU"/>
        </w:rPr>
        <w:t>Оценка качества</w:t>
      </w:r>
      <w:r w:rsidRPr="00BD29EC">
        <w:rPr>
          <w:rFonts w:ascii="Times New Roman" w:hAnsi="Times New Roman"/>
          <w:color w:val="auto"/>
          <w:sz w:val="24"/>
          <w:szCs w:val="24"/>
          <w:lang w:val="ru-RU"/>
        </w:rPr>
        <w:t xml:space="preserve"> </w:t>
      </w:r>
    </w:p>
    <w:p w:rsidR="00694160" w:rsidRPr="00BD29EC" w:rsidRDefault="009F00ED" w:rsidP="0075371E">
      <w:pPr>
        <w:pStyle w:val="MText"/>
        <w:jc w:val="both"/>
        <w:rPr>
          <w:rFonts w:ascii="Times New Roman" w:hAnsi="Times New Roman"/>
          <w:color w:val="auto"/>
          <w:sz w:val="24"/>
          <w:szCs w:val="24"/>
          <w:lang w:val="ru-RU"/>
        </w:rPr>
      </w:pPr>
      <w:r>
        <w:rPr>
          <w:rFonts w:ascii="Times New Roman" w:hAnsi="Times New Roman"/>
          <w:color w:val="auto"/>
          <w:sz w:val="24"/>
          <w:szCs w:val="24"/>
          <w:lang w:val="ru-RU"/>
        </w:rPr>
        <w:t xml:space="preserve">См. раздел </w:t>
      </w:r>
      <w:r w:rsidRPr="009F00ED">
        <w:rPr>
          <w:rFonts w:ascii="Times New Roman" w:hAnsi="Times New Roman"/>
          <w:color w:val="auto"/>
          <w:sz w:val="24"/>
          <w:szCs w:val="24"/>
          <w:lang w:val="ru-RU"/>
        </w:rPr>
        <w:t>4.j. Обеспечение качества</w:t>
      </w:r>
      <w:r>
        <w:rPr>
          <w:rFonts w:ascii="Times New Roman" w:hAnsi="Times New Roman"/>
          <w:color w:val="auto"/>
          <w:sz w:val="24"/>
          <w:szCs w:val="24"/>
          <w:lang w:val="ru-RU"/>
        </w:rPr>
        <w:t>.</w:t>
      </w:r>
      <w:bookmarkStart w:id="5" w:name="_GoBack"/>
      <w:bookmarkEnd w:id="5"/>
    </w:p>
    <w:p w:rsidR="002E15F9" w:rsidRPr="00BD29EC" w:rsidRDefault="002E15F9" w:rsidP="0075371E">
      <w:pPr>
        <w:pStyle w:val="MText"/>
        <w:jc w:val="both"/>
        <w:rPr>
          <w:rFonts w:ascii="Times New Roman" w:hAnsi="Times New Roman"/>
          <w:color w:val="auto"/>
          <w:sz w:val="24"/>
          <w:szCs w:val="24"/>
          <w:lang w:val="ru-RU"/>
        </w:rPr>
      </w:pPr>
    </w:p>
    <w:p w:rsidR="002E15F9" w:rsidRPr="00BD29EC" w:rsidRDefault="002E15F9" w:rsidP="0075371E">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5. </w:t>
      </w:r>
      <w:r w:rsidR="0075371E" w:rsidRPr="00BD29EC">
        <w:rPr>
          <w:rFonts w:ascii="Times New Roman" w:hAnsi="Times New Roman"/>
          <w:b/>
          <w:color w:val="auto"/>
          <w:sz w:val="24"/>
          <w:szCs w:val="24"/>
          <w:lang w:val="ru-RU"/>
        </w:rPr>
        <w:t>Доступность и дезагрег</w:t>
      </w:r>
      <w:r w:rsidR="00F22B30">
        <w:rPr>
          <w:rFonts w:ascii="Times New Roman" w:hAnsi="Times New Roman"/>
          <w:b/>
          <w:color w:val="auto"/>
          <w:sz w:val="24"/>
          <w:szCs w:val="24"/>
          <w:lang w:val="ru-RU"/>
        </w:rPr>
        <w:t xml:space="preserve">ация </w:t>
      </w:r>
      <w:r w:rsidR="0075371E" w:rsidRPr="00BD29EC">
        <w:rPr>
          <w:rFonts w:ascii="Times New Roman" w:hAnsi="Times New Roman"/>
          <w:b/>
          <w:color w:val="auto"/>
          <w:sz w:val="24"/>
          <w:szCs w:val="24"/>
          <w:lang w:val="ru-RU"/>
        </w:rPr>
        <w:t>данных</w:t>
      </w:r>
    </w:p>
    <w:p w:rsidR="0075371E" w:rsidRPr="00F22B30" w:rsidRDefault="0075371E" w:rsidP="0075371E">
      <w:pPr>
        <w:pStyle w:val="MText"/>
        <w:jc w:val="both"/>
        <w:rPr>
          <w:rFonts w:ascii="Times New Roman" w:hAnsi="Times New Roman"/>
          <w:b/>
          <w:color w:val="auto"/>
          <w:sz w:val="24"/>
          <w:szCs w:val="24"/>
          <w:lang w:val="ru-RU"/>
        </w:rPr>
      </w:pPr>
      <w:r w:rsidRPr="00F22B30">
        <w:rPr>
          <w:rFonts w:ascii="Times New Roman" w:hAnsi="Times New Roman"/>
          <w:b/>
          <w:color w:val="auto"/>
          <w:sz w:val="24"/>
          <w:szCs w:val="24"/>
          <w:lang w:val="ru-RU"/>
        </w:rPr>
        <w:t>Доступность данных:</w:t>
      </w:r>
    </w:p>
    <w:p w:rsidR="0075371E" w:rsidRPr="00BD29EC" w:rsidRDefault="0075371E"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 xml:space="preserve">Данные по большому набору </w:t>
      </w:r>
      <w:r w:rsidR="00F22B30">
        <w:rPr>
          <w:rFonts w:ascii="Times New Roman" w:hAnsi="Times New Roman"/>
          <w:color w:val="auto"/>
          <w:sz w:val="24"/>
          <w:szCs w:val="24"/>
          <w:lang w:val="ru-RU"/>
        </w:rPr>
        <w:t>под</w:t>
      </w:r>
      <w:r w:rsidRPr="00BD29EC">
        <w:rPr>
          <w:rFonts w:ascii="Times New Roman" w:hAnsi="Times New Roman"/>
          <w:color w:val="auto"/>
          <w:sz w:val="24"/>
          <w:szCs w:val="24"/>
          <w:lang w:val="ru-RU"/>
        </w:rPr>
        <w:t>показателей, таких как водоснабжение и санитария, энергия, информация, легко доступны и уже включены в различные рамки международных обследований домашних хозяйств. Завершено уточнение определений различных типов основных услуг и включение недавно разработанных элементов обследования в существующее обследование домашних хозяйств. Сбор данных показал, что уже более 1</w:t>
      </w:r>
      <w:r w:rsidR="009D69C5">
        <w:rPr>
          <w:rFonts w:ascii="Times New Roman" w:hAnsi="Times New Roman"/>
          <w:color w:val="auto"/>
          <w:sz w:val="24"/>
          <w:szCs w:val="24"/>
          <w:lang w:val="ru-RU"/>
        </w:rPr>
        <w:t>43</w:t>
      </w:r>
      <w:r w:rsidRPr="00BD29EC">
        <w:rPr>
          <w:rFonts w:ascii="Times New Roman" w:hAnsi="Times New Roman"/>
          <w:color w:val="auto"/>
          <w:sz w:val="24"/>
          <w:szCs w:val="24"/>
          <w:lang w:val="ru-RU"/>
        </w:rPr>
        <w:t xml:space="preserve"> стран имеют данные на национальном уровне.</w:t>
      </w:r>
    </w:p>
    <w:p w:rsidR="0075371E" w:rsidRPr="00BD29EC" w:rsidRDefault="0075371E" w:rsidP="0075371E">
      <w:pPr>
        <w:pStyle w:val="MText"/>
        <w:jc w:val="both"/>
        <w:rPr>
          <w:rFonts w:ascii="Times New Roman" w:hAnsi="Times New Roman"/>
          <w:color w:val="auto"/>
          <w:sz w:val="24"/>
          <w:szCs w:val="24"/>
          <w:lang w:val="ru-RU"/>
        </w:rPr>
      </w:pPr>
    </w:p>
    <w:p w:rsidR="0075371E" w:rsidRPr="00F22B30" w:rsidRDefault="0075371E" w:rsidP="0075371E">
      <w:pPr>
        <w:pStyle w:val="MText"/>
        <w:jc w:val="both"/>
        <w:rPr>
          <w:rFonts w:ascii="Times New Roman" w:hAnsi="Times New Roman"/>
          <w:b/>
          <w:color w:val="auto"/>
          <w:sz w:val="24"/>
          <w:szCs w:val="24"/>
          <w:lang w:val="ru-RU"/>
        </w:rPr>
      </w:pPr>
      <w:r w:rsidRPr="00F22B30">
        <w:rPr>
          <w:rFonts w:ascii="Times New Roman" w:hAnsi="Times New Roman"/>
          <w:b/>
          <w:color w:val="auto"/>
          <w:sz w:val="24"/>
          <w:szCs w:val="24"/>
          <w:lang w:val="ru-RU"/>
        </w:rPr>
        <w:t>Временные ряды:</w:t>
      </w:r>
    </w:p>
    <w:p w:rsidR="0075371E" w:rsidRPr="00BD29EC" w:rsidRDefault="0075371E" w:rsidP="0075371E">
      <w:pPr>
        <w:pStyle w:val="MText"/>
        <w:jc w:val="both"/>
        <w:rPr>
          <w:rFonts w:ascii="Times New Roman" w:hAnsi="Times New Roman"/>
          <w:color w:val="auto"/>
          <w:sz w:val="24"/>
          <w:szCs w:val="24"/>
          <w:lang w:val="ru-RU"/>
        </w:rPr>
      </w:pPr>
      <w:r w:rsidRPr="00BD29EC">
        <w:rPr>
          <w:rFonts w:ascii="Times New Roman" w:hAnsi="Times New Roman"/>
          <w:color w:val="auto"/>
          <w:sz w:val="24"/>
          <w:szCs w:val="24"/>
          <w:lang w:val="ru-RU"/>
        </w:rPr>
        <w:t xml:space="preserve">Данные временных рядов будут производиться за периоды с 1990 г. по настоящее время. Это будет доступно на основе разнообразия источников данных для каждого </w:t>
      </w:r>
      <w:r w:rsidR="00A33FBB">
        <w:rPr>
          <w:rFonts w:ascii="Times New Roman" w:hAnsi="Times New Roman"/>
          <w:color w:val="auto"/>
          <w:sz w:val="24"/>
          <w:szCs w:val="24"/>
          <w:lang w:val="ru-RU"/>
        </w:rPr>
        <w:t>показателя</w:t>
      </w:r>
      <w:r w:rsidRPr="00BD29EC">
        <w:rPr>
          <w:rFonts w:ascii="Times New Roman" w:hAnsi="Times New Roman"/>
          <w:color w:val="auto"/>
          <w:sz w:val="24"/>
          <w:szCs w:val="24"/>
          <w:lang w:val="ru-RU"/>
        </w:rPr>
        <w:t>.</w:t>
      </w:r>
    </w:p>
    <w:p w:rsidR="0075371E" w:rsidRPr="00BD29EC" w:rsidRDefault="0075371E" w:rsidP="0075371E">
      <w:pPr>
        <w:pStyle w:val="MText"/>
        <w:jc w:val="both"/>
        <w:rPr>
          <w:rFonts w:ascii="Times New Roman" w:hAnsi="Times New Roman"/>
          <w:color w:val="auto"/>
          <w:sz w:val="24"/>
          <w:szCs w:val="24"/>
          <w:lang w:val="ru-RU"/>
        </w:rPr>
      </w:pPr>
    </w:p>
    <w:p w:rsidR="0075371E" w:rsidRPr="00F22B30" w:rsidRDefault="00F22B30" w:rsidP="0075371E">
      <w:pPr>
        <w:pStyle w:val="MText"/>
        <w:jc w:val="both"/>
        <w:rPr>
          <w:rFonts w:ascii="Times New Roman" w:hAnsi="Times New Roman"/>
          <w:b/>
          <w:color w:val="auto"/>
          <w:sz w:val="24"/>
          <w:szCs w:val="24"/>
          <w:lang w:val="ru-RU"/>
        </w:rPr>
      </w:pPr>
      <w:r w:rsidRPr="00F22B30">
        <w:rPr>
          <w:rFonts w:ascii="Times New Roman" w:hAnsi="Times New Roman"/>
          <w:b/>
          <w:color w:val="auto"/>
          <w:sz w:val="24"/>
          <w:szCs w:val="24"/>
          <w:lang w:val="ru-RU"/>
        </w:rPr>
        <w:t>Дезагрегация</w:t>
      </w:r>
      <w:r w:rsidR="0075371E" w:rsidRPr="00F22B30">
        <w:rPr>
          <w:rFonts w:ascii="Times New Roman" w:hAnsi="Times New Roman"/>
          <w:b/>
          <w:color w:val="auto"/>
          <w:sz w:val="24"/>
          <w:szCs w:val="24"/>
          <w:lang w:val="ru-RU"/>
        </w:rPr>
        <w:t>:</w:t>
      </w:r>
    </w:p>
    <w:p w:rsidR="002E15F9" w:rsidRDefault="00A33FBB" w:rsidP="0075371E">
      <w:pPr>
        <w:pStyle w:val="MText"/>
        <w:jc w:val="both"/>
        <w:rPr>
          <w:rFonts w:ascii="Times New Roman" w:hAnsi="Times New Roman"/>
          <w:color w:val="auto"/>
          <w:sz w:val="24"/>
          <w:szCs w:val="24"/>
          <w:lang w:val="ru-RU"/>
        </w:rPr>
      </w:pPr>
      <w:r w:rsidRPr="00A33FBB">
        <w:rPr>
          <w:rFonts w:ascii="Times New Roman" w:hAnsi="Times New Roman"/>
          <w:color w:val="auto"/>
          <w:sz w:val="24"/>
          <w:szCs w:val="24"/>
          <w:lang w:val="ru-RU"/>
        </w:rPr>
        <w:t>Дезагрег</w:t>
      </w:r>
      <w:r>
        <w:rPr>
          <w:rFonts w:ascii="Times New Roman" w:hAnsi="Times New Roman"/>
          <w:color w:val="auto"/>
          <w:sz w:val="24"/>
          <w:szCs w:val="24"/>
          <w:lang w:val="ru-RU"/>
        </w:rPr>
        <w:t>ация</w:t>
      </w:r>
      <w:r w:rsidRPr="00A33FBB">
        <w:rPr>
          <w:rFonts w:ascii="Times New Roman" w:hAnsi="Times New Roman"/>
          <w:color w:val="auto"/>
          <w:sz w:val="24"/>
          <w:szCs w:val="24"/>
          <w:lang w:val="ru-RU"/>
        </w:rPr>
        <w:t xml:space="preserve"> по географическому местоположению (город/сел</w:t>
      </w:r>
      <w:r>
        <w:rPr>
          <w:rFonts w:ascii="Times New Roman" w:hAnsi="Times New Roman"/>
          <w:color w:val="auto"/>
          <w:sz w:val="24"/>
          <w:szCs w:val="24"/>
          <w:lang w:val="ru-RU"/>
        </w:rPr>
        <w:t>о, субнациональные регионы и т.</w:t>
      </w:r>
      <w:r w:rsidRPr="00A33FBB">
        <w:rPr>
          <w:rFonts w:ascii="Times New Roman" w:hAnsi="Times New Roman"/>
          <w:color w:val="auto"/>
          <w:sz w:val="24"/>
          <w:szCs w:val="24"/>
          <w:lang w:val="ru-RU"/>
        </w:rPr>
        <w:t>д.) и по социально-</w:t>
      </w:r>
      <w:r>
        <w:rPr>
          <w:rFonts w:ascii="Times New Roman" w:hAnsi="Times New Roman"/>
          <w:color w:val="auto"/>
          <w:sz w:val="24"/>
          <w:szCs w:val="24"/>
          <w:lang w:val="ru-RU"/>
        </w:rPr>
        <w:t>экономическим характеристикам (достаток</w:t>
      </w:r>
      <w:r w:rsidRPr="00A33FBB">
        <w:rPr>
          <w:rFonts w:ascii="Times New Roman" w:hAnsi="Times New Roman"/>
          <w:color w:val="auto"/>
          <w:sz w:val="24"/>
          <w:szCs w:val="24"/>
          <w:lang w:val="ru-RU"/>
        </w:rPr>
        <w:t>, образование,</w:t>
      </w:r>
      <w:r>
        <w:rPr>
          <w:rFonts w:ascii="Times New Roman" w:hAnsi="Times New Roman"/>
          <w:color w:val="auto"/>
          <w:sz w:val="24"/>
          <w:szCs w:val="24"/>
          <w:lang w:val="ru-RU"/>
        </w:rPr>
        <w:t xml:space="preserve"> этническая принадлежность и т.</w:t>
      </w:r>
      <w:r w:rsidRPr="00A33FBB">
        <w:rPr>
          <w:rFonts w:ascii="Times New Roman" w:hAnsi="Times New Roman"/>
          <w:color w:val="auto"/>
          <w:sz w:val="24"/>
          <w:szCs w:val="24"/>
          <w:lang w:val="ru-RU"/>
        </w:rPr>
        <w:t>д.) возможно по растущему числу показателей и стран (более подробную информацию см. в мет</w:t>
      </w:r>
      <w:r>
        <w:rPr>
          <w:rFonts w:ascii="Times New Roman" w:hAnsi="Times New Roman"/>
          <w:color w:val="auto"/>
          <w:sz w:val="24"/>
          <w:szCs w:val="24"/>
          <w:lang w:val="ru-RU"/>
        </w:rPr>
        <w:t>аданных по каждому показателю</w:t>
      </w:r>
      <w:r w:rsidRPr="00A33FBB">
        <w:rPr>
          <w:rFonts w:ascii="Times New Roman" w:hAnsi="Times New Roman"/>
          <w:color w:val="auto"/>
          <w:sz w:val="24"/>
          <w:szCs w:val="24"/>
          <w:lang w:val="ru-RU"/>
        </w:rPr>
        <w:t>). Однако информационная п</w:t>
      </w:r>
      <w:r>
        <w:rPr>
          <w:rFonts w:ascii="Times New Roman" w:hAnsi="Times New Roman"/>
          <w:color w:val="auto"/>
          <w:sz w:val="24"/>
          <w:szCs w:val="24"/>
          <w:lang w:val="ru-RU"/>
        </w:rPr>
        <w:t>анель не предоставляет дезагрегацию</w:t>
      </w:r>
      <w:r w:rsidRPr="00A33FBB">
        <w:rPr>
          <w:rFonts w:ascii="Times New Roman" w:hAnsi="Times New Roman"/>
          <w:color w:val="auto"/>
          <w:sz w:val="24"/>
          <w:szCs w:val="24"/>
          <w:lang w:val="ru-RU"/>
        </w:rPr>
        <w:t xml:space="preserve"> данны</w:t>
      </w:r>
      <w:r>
        <w:rPr>
          <w:rFonts w:ascii="Times New Roman" w:hAnsi="Times New Roman"/>
          <w:color w:val="auto"/>
          <w:sz w:val="24"/>
          <w:szCs w:val="24"/>
          <w:lang w:val="ru-RU"/>
        </w:rPr>
        <w:t>х</w:t>
      </w:r>
      <w:r w:rsidRPr="00A33FBB">
        <w:rPr>
          <w:rFonts w:ascii="Times New Roman" w:hAnsi="Times New Roman"/>
          <w:color w:val="auto"/>
          <w:sz w:val="24"/>
          <w:szCs w:val="24"/>
          <w:lang w:val="ru-RU"/>
        </w:rPr>
        <w:t xml:space="preserve"> по каждому отдельному показателю.</w:t>
      </w:r>
    </w:p>
    <w:p w:rsidR="00F22B30" w:rsidRPr="00BD29EC" w:rsidRDefault="00F22B30" w:rsidP="0075371E">
      <w:pPr>
        <w:pStyle w:val="MText"/>
        <w:jc w:val="both"/>
        <w:rPr>
          <w:rFonts w:ascii="Times New Roman" w:hAnsi="Times New Roman"/>
          <w:color w:val="auto"/>
          <w:sz w:val="24"/>
          <w:szCs w:val="24"/>
          <w:lang w:val="ru-RU"/>
        </w:rPr>
      </w:pPr>
    </w:p>
    <w:p w:rsidR="002E15F9" w:rsidRPr="00BD29EC" w:rsidRDefault="002E15F9" w:rsidP="0075371E">
      <w:pPr>
        <w:pStyle w:val="MHeader"/>
        <w:spacing w:after="100"/>
        <w:jc w:val="both"/>
        <w:rPr>
          <w:rFonts w:ascii="Times New Roman" w:hAnsi="Times New Roman"/>
          <w:b/>
          <w:color w:val="auto"/>
          <w:sz w:val="24"/>
          <w:szCs w:val="24"/>
          <w:lang w:val="ru-RU"/>
        </w:rPr>
      </w:pPr>
      <w:r w:rsidRPr="00BD29EC">
        <w:rPr>
          <w:rFonts w:ascii="Times New Roman" w:hAnsi="Times New Roman"/>
          <w:b/>
          <w:color w:val="auto"/>
          <w:sz w:val="24"/>
          <w:szCs w:val="24"/>
          <w:lang w:val="ru-RU"/>
        </w:rPr>
        <w:t xml:space="preserve">6. </w:t>
      </w:r>
      <w:r w:rsidR="0075371E" w:rsidRPr="00BD29EC">
        <w:rPr>
          <w:rFonts w:ascii="Times New Roman" w:hAnsi="Times New Roman"/>
          <w:b/>
          <w:color w:val="auto"/>
          <w:sz w:val="24"/>
          <w:szCs w:val="24"/>
          <w:lang w:val="ru-RU"/>
        </w:rPr>
        <w:t>Сопоставимость / отклонение от международных стандартов</w:t>
      </w:r>
    </w:p>
    <w:p w:rsidR="002E15F9" w:rsidRDefault="001B2240" w:rsidP="0075371E">
      <w:pPr>
        <w:pStyle w:val="MText"/>
        <w:jc w:val="both"/>
        <w:rPr>
          <w:rFonts w:ascii="Times New Roman" w:hAnsi="Times New Roman"/>
          <w:color w:val="auto"/>
          <w:sz w:val="24"/>
          <w:szCs w:val="24"/>
          <w:lang w:val="ru-RU"/>
        </w:rPr>
      </w:pPr>
      <w:r w:rsidRPr="001B2240">
        <w:rPr>
          <w:rFonts w:ascii="Times New Roman" w:hAnsi="Times New Roman"/>
          <w:color w:val="auto"/>
          <w:sz w:val="24"/>
          <w:szCs w:val="24"/>
          <w:lang w:val="ru-RU"/>
        </w:rPr>
        <w:t>Более подробную информацию см. в метаданных по каждому показателю.</w:t>
      </w:r>
    </w:p>
    <w:p w:rsidR="001B2240" w:rsidRDefault="001B2240" w:rsidP="0075371E">
      <w:pPr>
        <w:pStyle w:val="MText"/>
        <w:jc w:val="both"/>
        <w:rPr>
          <w:rFonts w:ascii="Times New Roman" w:hAnsi="Times New Roman"/>
          <w:color w:val="auto"/>
          <w:sz w:val="24"/>
          <w:szCs w:val="24"/>
          <w:lang w:val="ru-RU"/>
        </w:rPr>
      </w:pPr>
    </w:p>
    <w:p w:rsidR="00040034" w:rsidRPr="00040034" w:rsidRDefault="00040034" w:rsidP="00040034">
      <w:pPr>
        <w:pBdr>
          <w:bottom w:val="single" w:sz="12" w:space="4" w:color="DDDDDD"/>
        </w:pBdr>
        <w:shd w:val="clear" w:color="auto" w:fill="FFFFFF"/>
        <w:spacing w:after="100"/>
        <w:jc w:val="both"/>
        <w:outlineLvl w:val="2"/>
        <w:rPr>
          <w:rFonts w:ascii="Times New Roman" w:eastAsia="Times New Roman" w:hAnsi="Times New Roman" w:cs="Times New Roman"/>
          <w:b/>
          <w:sz w:val="24"/>
          <w:szCs w:val="24"/>
          <w:lang w:val="en-US" w:eastAsia="en-GB"/>
        </w:rPr>
      </w:pPr>
      <w:r w:rsidRPr="00040034">
        <w:rPr>
          <w:rFonts w:ascii="Times New Roman" w:eastAsia="Times New Roman" w:hAnsi="Times New Roman" w:cs="Times New Roman"/>
          <w:b/>
          <w:sz w:val="24"/>
          <w:szCs w:val="24"/>
          <w:lang w:val="en-US" w:eastAsia="en-GB"/>
        </w:rPr>
        <w:t xml:space="preserve">7. </w:t>
      </w:r>
      <w:r>
        <w:rPr>
          <w:rFonts w:ascii="Times New Roman" w:eastAsia="Times New Roman" w:hAnsi="Times New Roman" w:cs="Times New Roman"/>
          <w:b/>
          <w:sz w:val="24"/>
          <w:szCs w:val="24"/>
          <w:lang w:eastAsia="en-GB"/>
        </w:rPr>
        <w:t>Ссылки</w:t>
      </w:r>
      <w:r w:rsidRPr="00040034">
        <w:rPr>
          <w:rFonts w:ascii="Times New Roman" w:eastAsia="Times New Roman" w:hAnsi="Times New Roman" w:cs="Times New Roman"/>
          <w:b/>
          <w:sz w:val="24"/>
          <w:szCs w:val="24"/>
          <w:lang w:val="en-US" w:eastAsia="en-GB"/>
        </w:rPr>
        <w:t xml:space="preserve"> </w:t>
      </w:r>
      <w:r>
        <w:rPr>
          <w:rFonts w:ascii="Times New Roman" w:eastAsia="Times New Roman" w:hAnsi="Times New Roman" w:cs="Times New Roman"/>
          <w:b/>
          <w:sz w:val="24"/>
          <w:szCs w:val="24"/>
          <w:lang w:eastAsia="en-GB"/>
        </w:rPr>
        <w:t>и</w:t>
      </w:r>
      <w:r w:rsidRPr="00040034">
        <w:rPr>
          <w:rFonts w:ascii="Times New Roman" w:eastAsia="Times New Roman" w:hAnsi="Times New Roman" w:cs="Times New Roman"/>
          <w:b/>
          <w:sz w:val="24"/>
          <w:szCs w:val="24"/>
          <w:lang w:val="en-US" w:eastAsia="en-GB"/>
        </w:rPr>
        <w:t xml:space="preserve"> </w:t>
      </w:r>
      <w:r>
        <w:rPr>
          <w:rFonts w:ascii="Times New Roman" w:eastAsia="Times New Roman" w:hAnsi="Times New Roman" w:cs="Times New Roman"/>
          <w:b/>
          <w:sz w:val="24"/>
          <w:szCs w:val="24"/>
          <w:lang w:eastAsia="en-GB"/>
        </w:rPr>
        <w:t>документы</w:t>
      </w:r>
    </w:p>
    <w:p w:rsidR="002C3D9A" w:rsidRPr="002C3D9A" w:rsidRDefault="00040034" w:rsidP="002C3D9A">
      <w:pPr>
        <w:pStyle w:val="MText"/>
        <w:numPr>
          <w:ilvl w:val="0"/>
          <w:numId w:val="8"/>
        </w:numPr>
        <w:jc w:val="both"/>
        <w:rPr>
          <w:rFonts w:ascii="Times New Roman" w:hAnsi="Times New Roman"/>
          <w:color w:val="000000" w:themeColor="text1"/>
          <w:sz w:val="24"/>
          <w:szCs w:val="24"/>
        </w:rPr>
      </w:pPr>
      <w:r w:rsidRPr="002C3D9A">
        <w:rPr>
          <w:rFonts w:ascii="Times New Roman" w:hAnsi="Times New Roman"/>
          <w:color w:val="000000" w:themeColor="text1"/>
          <w:sz w:val="24"/>
          <w:szCs w:val="24"/>
          <w:lang w:val="en-US"/>
        </w:rPr>
        <w:t xml:space="preserve"> </w:t>
      </w:r>
      <w:r w:rsidR="002C3D9A" w:rsidRPr="002C3D9A">
        <w:rPr>
          <w:rFonts w:ascii="Times New Roman" w:hAnsi="Times New Roman"/>
          <w:color w:val="000000" w:themeColor="text1"/>
          <w:sz w:val="24"/>
          <w:szCs w:val="24"/>
        </w:rPr>
        <w:t xml:space="preserve">World Bank, 2015 The International Poverty Line, </w:t>
      </w:r>
      <w:hyperlink r:id="rId9" w:history="1">
        <w:r w:rsidR="002C3D9A" w:rsidRPr="006C3A25">
          <w:rPr>
            <w:rStyle w:val="ac"/>
            <w:rFonts w:ascii="Times New Roman" w:hAnsi="Times New Roman"/>
            <w:sz w:val="24"/>
            <w:szCs w:val="24"/>
          </w:rPr>
          <w:t>http://www.worldbank.org/en/programs/icp/brief/poverty-line</w:t>
        </w:r>
      </w:hyperlink>
    </w:p>
    <w:p w:rsidR="002C3D9A" w:rsidRPr="002C3D9A" w:rsidRDefault="002C3D9A" w:rsidP="002C3D9A">
      <w:pPr>
        <w:pStyle w:val="MText"/>
        <w:jc w:val="both"/>
        <w:rPr>
          <w:rFonts w:ascii="Times New Roman" w:hAnsi="Times New Roman"/>
          <w:color w:val="000000" w:themeColor="text1"/>
          <w:sz w:val="24"/>
          <w:szCs w:val="24"/>
        </w:rPr>
      </w:pPr>
    </w:p>
    <w:p w:rsidR="002C3D9A" w:rsidRPr="002C3D9A" w:rsidRDefault="002C3D9A" w:rsidP="002C3D9A">
      <w:pPr>
        <w:pStyle w:val="MText"/>
        <w:numPr>
          <w:ilvl w:val="0"/>
          <w:numId w:val="8"/>
        </w:numPr>
        <w:jc w:val="both"/>
        <w:rPr>
          <w:rFonts w:ascii="Times New Roman" w:hAnsi="Times New Roman"/>
          <w:color w:val="000000" w:themeColor="text1"/>
          <w:sz w:val="24"/>
          <w:szCs w:val="24"/>
        </w:rPr>
      </w:pPr>
      <w:r w:rsidRPr="002C3D9A">
        <w:rPr>
          <w:rFonts w:ascii="Times New Roman" w:hAnsi="Times New Roman"/>
          <w:color w:val="000000" w:themeColor="text1"/>
          <w:sz w:val="24"/>
          <w:szCs w:val="24"/>
        </w:rPr>
        <w:t xml:space="preserve">WHO/UNICEF Joint Monitoring Programme for Water Supply, Sanitation and Hygiene (JMP) </w:t>
      </w:r>
    </w:p>
    <w:p w:rsidR="002C3D9A" w:rsidRPr="002C3D9A" w:rsidRDefault="002C3D9A" w:rsidP="002C3D9A">
      <w:pPr>
        <w:pStyle w:val="MText"/>
        <w:jc w:val="both"/>
        <w:rPr>
          <w:rFonts w:ascii="Times New Roman" w:hAnsi="Times New Roman"/>
          <w:color w:val="000000" w:themeColor="text1"/>
          <w:sz w:val="24"/>
          <w:szCs w:val="24"/>
        </w:rPr>
      </w:pPr>
      <w:r w:rsidRPr="002C3D9A">
        <w:rPr>
          <w:rFonts w:ascii="Times New Roman" w:hAnsi="Times New Roman"/>
          <w:color w:val="000000" w:themeColor="text1"/>
          <w:sz w:val="24"/>
          <w:szCs w:val="24"/>
        </w:rPr>
        <w:t>JMP Website: https://www.washdata.org/</w:t>
      </w:r>
    </w:p>
    <w:p w:rsidR="002C3D9A" w:rsidRPr="002C3D9A" w:rsidRDefault="002C3D9A" w:rsidP="002C3D9A">
      <w:pPr>
        <w:pStyle w:val="MText"/>
        <w:ind w:left="1701"/>
        <w:jc w:val="both"/>
        <w:rPr>
          <w:rFonts w:ascii="Times New Roman" w:hAnsi="Times New Roman"/>
          <w:color w:val="000000" w:themeColor="text1"/>
          <w:sz w:val="24"/>
          <w:szCs w:val="24"/>
          <w:lang w:val="en-US"/>
        </w:rPr>
      </w:pPr>
      <w:r w:rsidRPr="002C3D9A">
        <w:rPr>
          <w:rFonts w:ascii="Times New Roman" w:hAnsi="Times New Roman"/>
          <w:color w:val="000000" w:themeColor="text1"/>
          <w:sz w:val="24"/>
          <w:szCs w:val="24"/>
        </w:rPr>
        <w:t xml:space="preserve">JMP Data: </w:t>
      </w:r>
      <w:hyperlink r:id="rId10" w:history="1">
        <w:r w:rsidRPr="006C3A25">
          <w:rPr>
            <w:rStyle w:val="ac"/>
            <w:rFonts w:ascii="Times New Roman" w:hAnsi="Times New Roman"/>
            <w:sz w:val="24"/>
            <w:szCs w:val="24"/>
          </w:rPr>
          <w:t>https://washdata.org/data</w:t>
        </w:r>
      </w:hyperlink>
    </w:p>
    <w:p w:rsidR="002C3D9A" w:rsidRPr="002C3D9A" w:rsidRDefault="002C3D9A" w:rsidP="002C3D9A">
      <w:pPr>
        <w:pStyle w:val="MText"/>
        <w:ind w:left="1701"/>
        <w:jc w:val="both"/>
        <w:rPr>
          <w:rFonts w:ascii="Times New Roman" w:hAnsi="Times New Roman"/>
          <w:color w:val="000000" w:themeColor="text1"/>
          <w:sz w:val="24"/>
          <w:szCs w:val="24"/>
          <w:lang w:val="en-US"/>
        </w:rPr>
      </w:pPr>
      <w:r w:rsidRPr="002C3D9A">
        <w:rPr>
          <w:rFonts w:ascii="Times New Roman" w:hAnsi="Times New Roman"/>
          <w:color w:val="000000" w:themeColor="text1"/>
          <w:sz w:val="24"/>
          <w:szCs w:val="24"/>
        </w:rPr>
        <w:t xml:space="preserve">JMP Reports: </w:t>
      </w:r>
      <w:hyperlink r:id="rId11" w:history="1">
        <w:r w:rsidRPr="006C3A25">
          <w:rPr>
            <w:rStyle w:val="ac"/>
            <w:rFonts w:ascii="Times New Roman" w:hAnsi="Times New Roman"/>
            <w:sz w:val="24"/>
            <w:szCs w:val="24"/>
          </w:rPr>
          <w:t>https://washdata.org/reports</w:t>
        </w:r>
      </w:hyperlink>
    </w:p>
    <w:p w:rsidR="002C3D9A" w:rsidRPr="002C3D9A" w:rsidRDefault="002C3D9A" w:rsidP="002C3D9A">
      <w:pPr>
        <w:pStyle w:val="MText"/>
        <w:ind w:left="1701"/>
        <w:jc w:val="both"/>
        <w:rPr>
          <w:rFonts w:ascii="Times New Roman" w:hAnsi="Times New Roman"/>
          <w:color w:val="000000" w:themeColor="text1"/>
          <w:sz w:val="24"/>
          <w:szCs w:val="24"/>
          <w:lang w:val="en-US"/>
        </w:rPr>
      </w:pPr>
      <w:r w:rsidRPr="002C3D9A">
        <w:rPr>
          <w:rFonts w:ascii="Times New Roman" w:hAnsi="Times New Roman"/>
          <w:color w:val="000000" w:themeColor="text1"/>
          <w:sz w:val="24"/>
          <w:szCs w:val="24"/>
        </w:rPr>
        <w:t xml:space="preserve">JMP Methods: </w:t>
      </w:r>
      <w:hyperlink r:id="rId12" w:history="1">
        <w:r w:rsidRPr="006C3A25">
          <w:rPr>
            <w:rStyle w:val="ac"/>
            <w:rFonts w:ascii="Times New Roman" w:hAnsi="Times New Roman"/>
            <w:sz w:val="24"/>
            <w:szCs w:val="24"/>
          </w:rPr>
          <w:t>https://washdata.org/monitoring/methods</w:t>
        </w:r>
      </w:hyperlink>
    </w:p>
    <w:p w:rsidR="002C3D9A" w:rsidRPr="002C3D9A" w:rsidRDefault="002C3D9A" w:rsidP="002C3D9A">
      <w:pPr>
        <w:pStyle w:val="MText"/>
        <w:ind w:left="1701"/>
        <w:jc w:val="both"/>
        <w:rPr>
          <w:rFonts w:ascii="Times New Roman" w:hAnsi="Times New Roman"/>
          <w:color w:val="000000" w:themeColor="text1"/>
          <w:sz w:val="24"/>
          <w:szCs w:val="24"/>
        </w:rPr>
      </w:pPr>
      <w:bookmarkStart w:id="6" w:name="_Hlk66785534"/>
      <w:r w:rsidRPr="002C3D9A">
        <w:rPr>
          <w:rFonts w:ascii="Times New Roman" w:hAnsi="Times New Roman"/>
          <w:color w:val="000000" w:themeColor="text1"/>
          <w:sz w:val="24"/>
          <w:szCs w:val="24"/>
        </w:rPr>
        <w:lastRenderedPageBreak/>
        <w:t>JMP Methodology: 2017 update and SDG baselines</w:t>
      </w:r>
    </w:p>
    <w:bookmarkStart w:id="7" w:name="_Hlk89943975"/>
    <w:bookmarkEnd w:id="6"/>
    <w:p w:rsidR="002C3D9A" w:rsidRPr="002C3D9A" w:rsidRDefault="002C3D9A" w:rsidP="002C3D9A">
      <w:pPr>
        <w:pStyle w:val="MText"/>
        <w:ind w:left="1701"/>
        <w:jc w:val="both"/>
        <w:rPr>
          <w:rFonts w:ascii="Times New Roman" w:hAnsi="Times New Roman"/>
          <w:color w:val="000000" w:themeColor="text1"/>
          <w:sz w:val="24"/>
          <w:szCs w:val="24"/>
        </w:rPr>
      </w:pP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HYPERLINK "</w:instrText>
      </w:r>
      <w:r w:rsidRPr="002C3D9A">
        <w:rPr>
          <w:rFonts w:ascii="Times New Roman" w:hAnsi="Times New Roman"/>
          <w:color w:val="000000" w:themeColor="text1"/>
          <w:sz w:val="24"/>
          <w:szCs w:val="24"/>
        </w:rPr>
        <w:instrText>https://washdata.org/report/jmp-methodology-2017-update</w:instrText>
      </w:r>
      <w:r>
        <w:rPr>
          <w:rFonts w:ascii="Times New Roman" w:hAnsi="Times New Roman"/>
          <w:color w:val="000000" w:themeColor="text1"/>
          <w:sz w:val="24"/>
          <w:szCs w:val="24"/>
        </w:rPr>
        <w:instrText xml:space="preserve">" </w:instrText>
      </w:r>
      <w:r>
        <w:rPr>
          <w:rFonts w:ascii="Times New Roman" w:hAnsi="Times New Roman"/>
          <w:color w:val="000000" w:themeColor="text1"/>
          <w:sz w:val="24"/>
          <w:szCs w:val="24"/>
        </w:rPr>
        <w:fldChar w:fldCharType="separate"/>
      </w:r>
      <w:r w:rsidRPr="006C3A25">
        <w:rPr>
          <w:rStyle w:val="ac"/>
          <w:rFonts w:ascii="Times New Roman" w:hAnsi="Times New Roman"/>
          <w:sz w:val="24"/>
          <w:szCs w:val="24"/>
        </w:rPr>
        <w:t>https://washdata.org/report/jmp-methodology-2017-update</w:t>
      </w:r>
      <w:r>
        <w:rPr>
          <w:rFonts w:ascii="Times New Roman" w:hAnsi="Times New Roman"/>
          <w:color w:val="000000" w:themeColor="text1"/>
          <w:sz w:val="24"/>
          <w:szCs w:val="24"/>
        </w:rPr>
        <w:fldChar w:fldCharType="end"/>
      </w:r>
    </w:p>
    <w:bookmarkEnd w:id="7"/>
    <w:p w:rsidR="002C3D9A" w:rsidRPr="002C3D9A" w:rsidRDefault="002C3D9A" w:rsidP="002C3D9A">
      <w:pPr>
        <w:pStyle w:val="MText"/>
        <w:ind w:left="1701"/>
        <w:jc w:val="both"/>
        <w:rPr>
          <w:rFonts w:ascii="Times New Roman" w:hAnsi="Times New Roman"/>
          <w:color w:val="000000" w:themeColor="text1"/>
          <w:sz w:val="24"/>
          <w:szCs w:val="24"/>
          <w:lang w:val="en-US"/>
        </w:rPr>
      </w:pPr>
      <w:r w:rsidRPr="002C3D9A">
        <w:rPr>
          <w:rFonts w:ascii="Times New Roman" w:hAnsi="Times New Roman"/>
          <w:color w:val="000000" w:themeColor="text1"/>
          <w:sz w:val="24"/>
          <w:szCs w:val="24"/>
        </w:rPr>
        <w:t>JMP Core questions on water, sanitation and hygiene for household surveys</w:t>
      </w:r>
      <w:r w:rsidRPr="002C3D9A">
        <w:rPr>
          <w:rFonts w:ascii="Times New Roman" w:hAnsi="Times New Roman"/>
          <w:color w:val="000000" w:themeColor="text1"/>
          <w:sz w:val="24"/>
          <w:szCs w:val="24"/>
          <w:lang w:val="en-US"/>
        </w:rPr>
        <w:t xml:space="preserve">: </w:t>
      </w:r>
      <w:bookmarkStart w:id="8" w:name="_Hlk89944011"/>
      <w:r>
        <w:rPr>
          <w:rFonts w:ascii="Times New Roman" w:hAnsi="Times New Roman"/>
          <w:color w:val="000000" w:themeColor="text1"/>
          <w:sz w:val="24"/>
          <w:szCs w:val="24"/>
          <w:lang w:val="en-US"/>
        </w:rPr>
        <w:fldChar w:fldCharType="begin"/>
      </w:r>
      <w:r>
        <w:rPr>
          <w:rFonts w:ascii="Times New Roman" w:hAnsi="Times New Roman"/>
          <w:color w:val="000000" w:themeColor="text1"/>
          <w:sz w:val="24"/>
          <w:szCs w:val="24"/>
          <w:lang w:val="en-US"/>
        </w:rPr>
        <w:instrText xml:space="preserve"> HYPERLINK "</w:instrText>
      </w:r>
      <w:r w:rsidRPr="002C3D9A">
        <w:rPr>
          <w:rFonts w:ascii="Times New Roman" w:hAnsi="Times New Roman"/>
          <w:color w:val="000000" w:themeColor="text1"/>
          <w:sz w:val="24"/>
          <w:szCs w:val="24"/>
          <w:lang w:val="en-US"/>
        </w:rPr>
        <w:instrText>https://washdata.org/report/jmp-2018-core-questions-household-surveys</w:instrText>
      </w:r>
      <w:r>
        <w:rPr>
          <w:rFonts w:ascii="Times New Roman" w:hAnsi="Times New Roman"/>
          <w:color w:val="000000" w:themeColor="text1"/>
          <w:sz w:val="24"/>
          <w:szCs w:val="24"/>
          <w:lang w:val="en-US"/>
        </w:rPr>
        <w:instrText xml:space="preserve">" </w:instrText>
      </w:r>
      <w:r>
        <w:rPr>
          <w:rFonts w:ascii="Times New Roman" w:hAnsi="Times New Roman"/>
          <w:color w:val="000000" w:themeColor="text1"/>
          <w:sz w:val="24"/>
          <w:szCs w:val="24"/>
          <w:lang w:val="en-US"/>
        </w:rPr>
        <w:fldChar w:fldCharType="separate"/>
      </w:r>
      <w:r w:rsidRPr="006C3A25">
        <w:rPr>
          <w:rStyle w:val="ac"/>
          <w:rFonts w:ascii="Times New Roman" w:hAnsi="Times New Roman"/>
          <w:sz w:val="24"/>
          <w:szCs w:val="24"/>
          <w:lang w:val="en-US"/>
        </w:rPr>
        <w:t>https://washdata.org/report/jmp-2018-core-questions-household-surveys</w:t>
      </w:r>
      <w:bookmarkEnd w:id="8"/>
      <w:r>
        <w:rPr>
          <w:rFonts w:ascii="Times New Roman" w:hAnsi="Times New Roman"/>
          <w:color w:val="000000" w:themeColor="text1"/>
          <w:sz w:val="24"/>
          <w:szCs w:val="24"/>
          <w:lang w:val="en-US"/>
        </w:rPr>
        <w:fldChar w:fldCharType="end"/>
      </w:r>
    </w:p>
    <w:p w:rsidR="002C3D9A" w:rsidRPr="002C3D9A" w:rsidRDefault="002C3D9A" w:rsidP="002C3D9A">
      <w:pPr>
        <w:pStyle w:val="MText"/>
        <w:jc w:val="both"/>
        <w:rPr>
          <w:rFonts w:ascii="Times New Roman" w:hAnsi="Times New Roman"/>
          <w:color w:val="000000" w:themeColor="text1"/>
          <w:sz w:val="24"/>
          <w:szCs w:val="24"/>
          <w:lang w:val="en-US"/>
        </w:rPr>
      </w:pPr>
    </w:p>
    <w:p w:rsidR="002C3D9A" w:rsidRPr="002C3D9A" w:rsidRDefault="002C3D9A" w:rsidP="002C3D9A">
      <w:pPr>
        <w:pStyle w:val="MText"/>
        <w:numPr>
          <w:ilvl w:val="0"/>
          <w:numId w:val="8"/>
        </w:numPr>
        <w:jc w:val="both"/>
        <w:rPr>
          <w:rFonts w:ascii="Times New Roman" w:hAnsi="Times New Roman"/>
          <w:color w:val="000000" w:themeColor="text1"/>
          <w:sz w:val="24"/>
          <w:szCs w:val="24"/>
        </w:rPr>
      </w:pPr>
      <w:r w:rsidRPr="002C3D9A">
        <w:rPr>
          <w:rFonts w:ascii="Times New Roman" w:hAnsi="Times New Roman"/>
          <w:color w:val="000000" w:themeColor="text1"/>
          <w:sz w:val="24"/>
          <w:szCs w:val="24"/>
        </w:rPr>
        <w:t xml:space="preserve">UNDP 2016 Technical Notes Calculating the Human Development Indices, </w:t>
      </w:r>
      <w:hyperlink r:id="rId13" w:history="1">
        <w:r w:rsidRPr="006C3A25">
          <w:rPr>
            <w:rStyle w:val="ac"/>
            <w:rFonts w:ascii="Times New Roman" w:hAnsi="Times New Roman"/>
            <w:sz w:val="24"/>
            <w:szCs w:val="24"/>
          </w:rPr>
          <w:t>https://hdr.undp.org/sites/default/files/2021-22_HDR/hdr2021-22_technical_notes.pdf</w:t>
        </w:r>
      </w:hyperlink>
    </w:p>
    <w:p w:rsidR="002C3D9A" w:rsidRPr="002C3D9A" w:rsidRDefault="002C3D9A" w:rsidP="002C3D9A">
      <w:pPr>
        <w:pStyle w:val="MText"/>
        <w:jc w:val="both"/>
        <w:rPr>
          <w:rFonts w:ascii="Times New Roman" w:hAnsi="Times New Roman"/>
          <w:color w:val="000000" w:themeColor="text1"/>
          <w:sz w:val="24"/>
          <w:szCs w:val="24"/>
        </w:rPr>
      </w:pPr>
    </w:p>
    <w:p w:rsidR="002C3D9A" w:rsidRPr="002C3D9A" w:rsidRDefault="002C3D9A" w:rsidP="002C3D9A">
      <w:pPr>
        <w:pStyle w:val="MText"/>
        <w:numPr>
          <w:ilvl w:val="0"/>
          <w:numId w:val="8"/>
        </w:numPr>
        <w:jc w:val="both"/>
        <w:rPr>
          <w:rFonts w:ascii="Times New Roman" w:hAnsi="Times New Roman"/>
          <w:color w:val="000000" w:themeColor="text1"/>
          <w:sz w:val="24"/>
          <w:szCs w:val="24"/>
        </w:rPr>
      </w:pPr>
      <w:r w:rsidRPr="002C3D9A">
        <w:rPr>
          <w:rFonts w:ascii="Times New Roman" w:hAnsi="Times New Roman"/>
          <w:color w:val="000000" w:themeColor="text1"/>
          <w:sz w:val="24"/>
          <w:szCs w:val="24"/>
        </w:rPr>
        <w:t xml:space="preserve">The World Bank Group, ESMAP, 2015 Beyond Connections Energy Access Redefined </w:t>
      </w:r>
      <w:hyperlink r:id="rId14" w:history="1">
        <w:r w:rsidRPr="006C3A25">
          <w:rPr>
            <w:rStyle w:val="ac"/>
            <w:rFonts w:ascii="Times New Roman" w:hAnsi="Times New Roman"/>
            <w:sz w:val="24"/>
            <w:szCs w:val="24"/>
          </w:rPr>
          <w:t>http://www.worldbank.org/en/topic/energy/publication/energy-access-redefined</w:t>
        </w:r>
      </w:hyperlink>
    </w:p>
    <w:p w:rsidR="002C3D9A" w:rsidRPr="002C3D9A" w:rsidRDefault="002C3D9A" w:rsidP="002C3D9A">
      <w:pPr>
        <w:pStyle w:val="MText"/>
        <w:jc w:val="both"/>
        <w:rPr>
          <w:rFonts w:ascii="Times New Roman" w:hAnsi="Times New Roman"/>
          <w:color w:val="000000" w:themeColor="text1"/>
          <w:sz w:val="24"/>
          <w:szCs w:val="24"/>
        </w:rPr>
      </w:pPr>
    </w:p>
    <w:p w:rsidR="002C3D9A" w:rsidRPr="002C3D9A" w:rsidRDefault="002C3D9A" w:rsidP="002C3D9A">
      <w:pPr>
        <w:pStyle w:val="MText"/>
        <w:numPr>
          <w:ilvl w:val="0"/>
          <w:numId w:val="8"/>
        </w:numPr>
        <w:jc w:val="both"/>
        <w:rPr>
          <w:rFonts w:ascii="Times New Roman" w:hAnsi="Times New Roman"/>
          <w:color w:val="000000" w:themeColor="text1"/>
          <w:sz w:val="24"/>
          <w:szCs w:val="24"/>
        </w:rPr>
      </w:pPr>
      <w:r w:rsidRPr="002C3D9A">
        <w:rPr>
          <w:rFonts w:ascii="Times New Roman" w:hAnsi="Times New Roman"/>
          <w:color w:val="000000" w:themeColor="text1"/>
          <w:sz w:val="24"/>
          <w:szCs w:val="24"/>
        </w:rPr>
        <w:t xml:space="preserve">ITU, 2015 ICT Indicators for the SDG Monitoring Framework , </w:t>
      </w:r>
      <w:hyperlink r:id="rId15" w:history="1">
        <w:r w:rsidRPr="006C3A25">
          <w:rPr>
            <w:rStyle w:val="ac"/>
            <w:rFonts w:ascii="Times New Roman" w:hAnsi="Times New Roman"/>
            <w:sz w:val="24"/>
            <w:szCs w:val="24"/>
          </w:rPr>
          <w:t>http://www.itu.int/en/ITU-D/Statistics/Documents/intlcoop/sdgs/ITU-ICT-technical-information-sheets-for-the-SDG-indicators.pdf</w:t>
        </w:r>
      </w:hyperlink>
    </w:p>
    <w:p w:rsidR="002C3D9A" w:rsidRPr="002C3D9A" w:rsidRDefault="002C3D9A" w:rsidP="002C3D9A">
      <w:pPr>
        <w:pStyle w:val="MText"/>
        <w:jc w:val="both"/>
        <w:rPr>
          <w:rFonts w:ascii="Times New Roman" w:hAnsi="Times New Roman"/>
          <w:color w:val="000000" w:themeColor="text1"/>
          <w:sz w:val="24"/>
          <w:szCs w:val="24"/>
        </w:rPr>
      </w:pPr>
    </w:p>
    <w:p w:rsidR="002C3D9A" w:rsidRPr="002C3D9A" w:rsidRDefault="002C3D9A" w:rsidP="002C3D9A">
      <w:pPr>
        <w:pStyle w:val="MText"/>
        <w:numPr>
          <w:ilvl w:val="0"/>
          <w:numId w:val="8"/>
        </w:numPr>
        <w:jc w:val="both"/>
        <w:rPr>
          <w:rFonts w:ascii="Times New Roman" w:hAnsi="Times New Roman"/>
          <w:color w:val="000000" w:themeColor="text1"/>
          <w:sz w:val="24"/>
          <w:szCs w:val="24"/>
        </w:rPr>
      </w:pPr>
      <w:r w:rsidRPr="002C3D9A">
        <w:rPr>
          <w:rFonts w:ascii="Times New Roman" w:hAnsi="Times New Roman"/>
          <w:color w:val="000000" w:themeColor="text1"/>
          <w:sz w:val="24"/>
          <w:szCs w:val="24"/>
        </w:rPr>
        <w:t xml:space="preserve">Wilson et al - </w:t>
      </w:r>
      <w:proofErr w:type="spellStart"/>
      <w:r w:rsidRPr="002C3D9A">
        <w:rPr>
          <w:rFonts w:ascii="Times New Roman" w:hAnsi="Times New Roman"/>
          <w:color w:val="000000" w:themeColor="text1"/>
          <w:sz w:val="24"/>
          <w:szCs w:val="24"/>
        </w:rPr>
        <w:t>Wasteaware</w:t>
      </w:r>
      <w:proofErr w:type="spellEnd"/>
      <w:r w:rsidRPr="002C3D9A">
        <w:rPr>
          <w:rFonts w:ascii="Times New Roman" w:hAnsi="Times New Roman"/>
          <w:color w:val="000000" w:themeColor="text1"/>
          <w:sz w:val="24"/>
          <w:szCs w:val="24"/>
        </w:rPr>
        <w:t xml:space="preserve"> ISWM indicators - doi10.101</w:t>
      </w:r>
      <w:r>
        <w:rPr>
          <w:rFonts w:ascii="Times New Roman" w:hAnsi="Times New Roman"/>
          <w:color w:val="000000" w:themeColor="text1"/>
          <w:sz w:val="24"/>
          <w:szCs w:val="24"/>
        </w:rPr>
        <w:t>6j.wasman.2014.10.006 – January</w:t>
      </w:r>
      <w:r w:rsidRPr="002C3D9A">
        <w:rPr>
          <w:rFonts w:ascii="Times New Roman" w:hAnsi="Times New Roman"/>
          <w:color w:val="000000" w:themeColor="text1"/>
          <w:sz w:val="24"/>
          <w:szCs w:val="24"/>
          <w:lang w:val="en-US"/>
        </w:rPr>
        <w:t> </w:t>
      </w:r>
      <w:r w:rsidRPr="002C3D9A">
        <w:rPr>
          <w:rFonts w:ascii="Times New Roman" w:hAnsi="Times New Roman"/>
          <w:color w:val="000000" w:themeColor="text1"/>
          <w:sz w:val="24"/>
          <w:szCs w:val="24"/>
        </w:rPr>
        <w:t xml:space="preserve">2015, </w:t>
      </w:r>
      <w:hyperlink r:id="rId16" w:history="1">
        <w:r w:rsidRPr="006C3A25">
          <w:rPr>
            <w:rStyle w:val="ac"/>
            <w:rFonts w:ascii="Times New Roman" w:hAnsi="Times New Roman"/>
            <w:sz w:val="24"/>
            <w:szCs w:val="24"/>
          </w:rPr>
          <w:t>https://eprints.whiterose.ac.uk/85319/9/Wilson_et_al_Supplementary_information_Wasteaware_ISWM_Benchmark_Indicators_User_Manual_FINAL.pdf</w:t>
        </w:r>
      </w:hyperlink>
    </w:p>
    <w:p w:rsidR="002C3D9A" w:rsidRPr="002C3D9A" w:rsidRDefault="002C3D9A" w:rsidP="002C3D9A">
      <w:pPr>
        <w:pStyle w:val="MText"/>
        <w:numPr>
          <w:ilvl w:val="0"/>
          <w:numId w:val="8"/>
        </w:numPr>
        <w:jc w:val="both"/>
        <w:rPr>
          <w:rFonts w:ascii="Times New Roman" w:hAnsi="Times New Roman"/>
          <w:bCs/>
          <w:color w:val="000000" w:themeColor="text1"/>
          <w:sz w:val="24"/>
          <w:szCs w:val="24"/>
        </w:rPr>
      </w:pPr>
      <w:r>
        <w:rPr>
          <w:rFonts w:ascii="Times New Roman" w:hAnsi="Times New Roman"/>
          <w:color w:val="000000" w:themeColor="text1"/>
          <w:sz w:val="24"/>
          <w:szCs w:val="24"/>
        </w:rPr>
        <w:t>Gender</w:t>
      </w:r>
      <w:r w:rsidRPr="002C3D9A">
        <w:rPr>
          <w:rFonts w:ascii="Times New Roman" w:hAnsi="Times New Roman"/>
          <w:color w:val="000000" w:themeColor="text1"/>
          <w:sz w:val="24"/>
          <w:szCs w:val="24"/>
          <w:lang w:val="en-US"/>
        </w:rPr>
        <w:t> </w:t>
      </w:r>
      <w:r>
        <w:rPr>
          <w:rFonts w:ascii="Times New Roman" w:hAnsi="Times New Roman"/>
          <w:color w:val="000000" w:themeColor="text1"/>
          <w:sz w:val="24"/>
          <w:szCs w:val="24"/>
        </w:rPr>
        <w:t>and</w:t>
      </w:r>
      <w:r w:rsidRPr="002C3D9A">
        <w:rPr>
          <w:rFonts w:ascii="Times New Roman" w:hAnsi="Times New Roman"/>
          <w:color w:val="000000" w:themeColor="text1"/>
          <w:sz w:val="24"/>
          <w:szCs w:val="24"/>
          <w:lang w:val="en-US"/>
        </w:rPr>
        <w:t> </w:t>
      </w:r>
      <w:r>
        <w:rPr>
          <w:rFonts w:ascii="Times New Roman" w:hAnsi="Times New Roman"/>
          <w:color w:val="000000" w:themeColor="text1"/>
          <w:sz w:val="24"/>
          <w:szCs w:val="24"/>
        </w:rPr>
        <w:t>Transport</w:t>
      </w:r>
      <w:r w:rsidRPr="002C3D9A">
        <w:rPr>
          <w:rFonts w:ascii="Times New Roman" w:hAnsi="Times New Roman"/>
          <w:color w:val="000000" w:themeColor="text1"/>
          <w:sz w:val="24"/>
          <w:szCs w:val="24"/>
          <w:lang w:val="en-US"/>
        </w:rPr>
        <w:t> </w:t>
      </w:r>
      <w:r>
        <w:rPr>
          <w:rFonts w:ascii="Times New Roman" w:hAnsi="Times New Roman"/>
          <w:color w:val="000000" w:themeColor="text1"/>
          <w:sz w:val="24"/>
          <w:szCs w:val="24"/>
        </w:rPr>
        <w:t>Resource</w:t>
      </w:r>
      <w:r w:rsidRPr="002C3D9A">
        <w:rPr>
          <w:rFonts w:ascii="Times New Roman" w:hAnsi="Times New Roman"/>
          <w:color w:val="000000" w:themeColor="text1"/>
          <w:sz w:val="24"/>
          <w:szCs w:val="24"/>
          <w:lang w:val="en-US"/>
        </w:rPr>
        <w:t> </w:t>
      </w:r>
      <w:r w:rsidRPr="002C3D9A">
        <w:rPr>
          <w:rFonts w:ascii="Times New Roman" w:hAnsi="Times New Roman"/>
          <w:color w:val="000000" w:themeColor="text1"/>
          <w:sz w:val="24"/>
          <w:szCs w:val="24"/>
        </w:rPr>
        <w:t xml:space="preserve">Guide. </w:t>
      </w:r>
      <w:hyperlink r:id="rId17" w:history="1">
        <w:r w:rsidRPr="006C3A25">
          <w:rPr>
            <w:rStyle w:val="ac"/>
            <w:rFonts w:ascii="Times New Roman" w:hAnsi="Times New Roman"/>
            <w:b/>
            <w:bCs/>
            <w:sz w:val="24"/>
            <w:szCs w:val="24"/>
          </w:rPr>
          <w:t>https://www.ssatp.org/sites/ssatp/files/publications/HTML/Gender-RG/index.html</w:t>
        </w:r>
      </w:hyperlink>
    </w:p>
    <w:p w:rsidR="00040034" w:rsidRPr="002C3D9A" w:rsidRDefault="002C3D9A" w:rsidP="002C3D9A">
      <w:pPr>
        <w:pStyle w:val="MText"/>
        <w:numPr>
          <w:ilvl w:val="0"/>
          <w:numId w:val="8"/>
        </w:numPr>
        <w:jc w:val="both"/>
        <w:rPr>
          <w:rFonts w:ascii="Times New Roman" w:hAnsi="Times New Roman"/>
          <w:b/>
          <w:bCs/>
          <w:color w:val="000000" w:themeColor="text1"/>
          <w:sz w:val="24"/>
          <w:szCs w:val="24"/>
        </w:rPr>
      </w:pPr>
      <w:r w:rsidRPr="002C3D9A">
        <w:rPr>
          <w:rFonts w:ascii="Times New Roman" w:hAnsi="Times New Roman"/>
          <w:color w:val="000000" w:themeColor="text1"/>
          <w:sz w:val="24"/>
          <w:szCs w:val="24"/>
          <w:lang w:val="en-US"/>
        </w:rPr>
        <w:t xml:space="preserve">Transport brief: World Bank. </w:t>
      </w:r>
      <w:hyperlink r:id="rId18" w:history="1">
        <w:r w:rsidRPr="006C3A25">
          <w:rPr>
            <w:rStyle w:val="ac"/>
            <w:rFonts w:ascii="Times New Roman" w:hAnsi="Times New Roman"/>
            <w:sz w:val="24"/>
            <w:szCs w:val="24"/>
            <w:lang w:val="en-US"/>
          </w:rPr>
          <w:t>https://www.worldbank.org/en/topic/transport</w:t>
        </w:r>
      </w:hyperlink>
    </w:p>
    <w:p w:rsidR="00040034" w:rsidRPr="002C3D9A" w:rsidRDefault="00040034" w:rsidP="00040034">
      <w:pPr>
        <w:pStyle w:val="MText"/>
        <w:jc w:val="both"/>
        <w:rPr>
          <w:rFonts w:ascii="Times New Roman" w:hAnsi="Times New Roman"/>
          <w:color w:val="000000" w:themeColor="text1"/>
          <w:sz w:val="24"/>
          <w:szCs w:val="24"/>
          <w:lang w:val="en-US"/>
        </w:rPr>
      </w:pPr>
    </w:p>
    <w:p w:rsidR="00040034" w:rsidRPr="002C3D9A" w:rsidRDefault="00040034" w:rsidP="00040034">
      <w:pPr>
        <w:pStyle w:val="MText"/>
        <w:jc w:val="both"/>
        <w:rPr>
          <w:rFonts w:ascii="Times New Roman" w:hAnsi="Times New Roman"/>
          <w:color w:val="auto"/>
          <w:sz w:val="24"/>
          <w:szCs w:val="24"/>
          <w:lang w:val="en-US"/>
        </w:rPr>
      </w:pPr>
    </w:p>
    <w:p w:rsidR="00040034" w:rsidRPr="00705161" w:rsidRDefault="00040034" w:rsidP="00040034">
      <w:pPr>
        <w:pStyle w:val="MText"/>
        <w:jc w:val="both"/>
        <w:rPr>
          <w:rFonts w:ascii="Times New Roman" w:hAnsi="Times New Roman"/>
          <w:color w:val="auto"/>
          <w:sz w:val="24"/>
          <w:szCs w:val="24"/>
          <w:lang w:val="ru-RU"/>
        </w:rPr>
      </w:pPr>
      <w:r w:rsidRPr="00705161">
        <w:rPr>
          <w:rFonts w:ascii="Times New Roman" w:hAnsi="Times New Roman"/>
          <w:color w:val="auto"/>
          <w:sz w:val="24"/>
          <w:szCs w:val="24"/>
          <w:lang w:val="ru-RU"/>
        </w:rPr>
        <w:t>Таблица 1. Ссылки на методологии для компонентов Показателя 1.4.1.</w:t>
      </w:r>
    </w:p>
    <w:tbl>
      <w:tblPr>
        <w:tblStyle w:val="GridTable1Light"/>
        <w:tblW w:w="5000" w:type="pct"/>
        <w:tblLayout w:type="fixed"/>
        <w:tblLook w:val="04A0" w:firstRow="1" w:lastRow="0" w:firstColumn="1" w:lastColumn="0" w:noHBand="0" w:noVBand="1"/>
      </w:tblPr>
      <w:tblGrid>
        <w:gridCol w:w="2083"/>
        <w:gridCol w:w="3838"/>
        <w:gridCol w:w="3650"/>
      </w:tblGrid>
      <w:tr w:rsidR="006671ED" w:rsidRPr="006671ED" w:rsidTr="006671ED">
        <w:trPr>
          <w:cnfStyle w:val="100000000000" w:firstRow="1" w:lastRow="0" w:firstColumn="0" w:lastColumn="0" w:oddVBand="0" w:evenVBand="0" w:oddHBand="0"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088" w:type="pct"/>
            <w:hideMark/>
          </w:tcPr>
          <w:p w:rsidR="00040034" w:rsidRPr="006671ED" w:rsidRDefault="00040034" w:rsidP="00FE0BD5">
            <w:pPr>
              <w:pStyle w:val="MText"/>
              <w:spacing w:before="40" w:after="4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Компонент</w:t>
            </w:r>
          </w:p>
        </w:tc>
        <w:tc>
          <w:tcPr>
            <w:tcW w:w="2005" w:type="pct"/>
            <w:hideMark/>
          </w:tcPr>
          <w:p w:rsidR="00040034" w:rsidRPr="006671ED" w:rsidRDefault="00040034" w:rsidP="00FE0BD5">
            <w:pPr>
              <w:pStyle w:val="MText"/>
              <w:spacing w:before="40" w:after="4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6671ED">
              <w:rPr>
                <w:rFonts w:ascii="Times New Roman" w:hAnsi="Times New Roman"/>
                <w:color w:val="000000" w:themeColor="text1"/>
                <w:sz w:val="24"/>
                <w:szCs w:val="24"/>
              </w:rPr>
              <w:t>Measured by:</w:t>
            </w:r>
          </w:p>
        </w:tc>
        <w:tc>
          <w:tcPr>
            <w:tcW w:w="1907" w:type="pct"/>
          </w:tcPr>
          <w:p w:rsidR="00040034" w:rsidRPr="006671ED" w:rsidRDefault="00040034" w:rsidP="00FE0BD5">
            <w:pPr>
              <w:pStyle w:val="MText"/>
              <w:spacing w:before="40" w:after="4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Ссылка на методологию</w:t>
            </w:r>
          </w:p>
        </w:tc>
      </w:tr>
      <w:tr w:rsidR="006671ED" w:rsidRPr="006671ED" w:rsidTr="006671ED">
        <w:trPr>
          <w:trHeight w:val="600"/>
        </w:trPr>
        <w:tc>
          <w:tcPr>
            <w:cnfStyle w:val="001000000000" w:firstRow="0" w:lastRow="0" w:firstColumn="1" w:lastColumn="0" w:oddVBand="0" w:evenVBand="0" w:oddHBand="0" w:evenHBand="0" w:firstRowFirstColumn="0" w:firstRowLastColumn="0" w:lastRowFirstColumn="0" w:lastRowLastColumn="0"/>
            <w:tcW w:w="1088" w:type="pct"/>
            <w:hideMark/>
          </w:tcPr>
          <w:p w:rsidR="00040034" w:rsidRPr="006671ED" w:rsidRDefault="00040034" w:rsidP="00FE0BD5">
            <w:pPr>
              <w:pStyle w:val="MText"/>
              <w:spacing w:before="40" w:after="40"/>
              <w:rPr>
                <w:rFonts w:ascii="Times New Roman" w:hAnsi="Times New Roman"/>
                <w:color w:val="000000" w:themeColor="text1"/>
                <w:sz w:val="24"/>
                <w:szCs w:val="24"/>
              </w:rPr>
            </w:pPr>
            <w:r w:rsidRPr="006671ED">
              <w:rPr>
                <w:rFonts w:ascii="Times New Roman" w:hAnsi="Times New Roman"/>
                <w:color w:val="000000" w:themeColor="text1"/>
                <w:sz w:val="24"/>
                <w:szCs w:val="24"/>
                <w:lang w:val="ru-RU"/>
              </w:rPr>
              <w:t>Безопасное управление питьевой водой</w:t>
            </w:r>
          </w:p>
        </w:tc>
        <w:tc>
          <w:tcPr>
            <w:tcW w:w="2005" w:type="pct"/>
            <w:hideMark/>
          </w:tcPr>
          <w:p w:rsidR="00040034" w:rsidRPr="006671ED" w:rsidRDefault="00040034"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Доля населения, имеющего доступ к источнику питьевой воды со временем сбора не более 30 минут в оба конца, включая очереди (часть ЦУР 6.1.1)</w:t>
            </w:r>
          </w:p>
        </w:tc>
        <w:tc>
          <w:tcPr>
            <w:tcW w:w="1907" w:type="pct"/>
          </w:tcPr>
          <w:p w:rsidR="00040034" w:rsidRPr="006671ED"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19" w:history="1">
              <w:r w:rsidR="006671ED" w:rsidRPr="006C3A25">
                <w:rPr>
                  <w:rStyle w:val="ac"/>
                  <w:rFonts w:ascii="Times New Roman" w:hAnsi="Times New Roman"/>
                  <w:sz w:val="24"/>
                  <w:szCs w:val="24"/>
                </w:rPr>
                <w:t>https</w:t>
              </w:r>
              <w:r w:rsidR="006671ED" w:rsidRPr="006C3A25">
                <w:rPr>
                  <w:rStyle w:val="ac"/>
                  <w:rFonts w:ascii="Times New Roman" w:hAnsi="Times New Roman"/>
                  <w:sz w:val="24"/>
                  <w:szCs w:val="24"/>
                  <w:lang w:val="ru-RU"/>
                </w:rPr>
                <w:t>://</w:t>
              </w:r>
              <w:proofErr w:type="spellStart"/>
              <w:r w:rsidR="006671ED" w:rsidRPr="006C3A25">
                <w:rPr>
                  <w:rStyle w:val="ac"/>
                  <w:rFonts w:ascii="Times New Roman" w:hAnsi="Times New Roman"/>
                  <w:sz w:val="24"/>
                  <w:szCs w:val="24"/>
                </w:rPr>
                <w:t>washdata</w:t>
              </w:r>
              <w:proofErr w:type="spellEnd"/>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org</w:t>
              </w:r>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monitoring</w:t>
              </w:r>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drinking</w:t>
              </w:r>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water</w:t>
              </w:r>
            </w:hyperlink>
          </w:p>
          <w:p w:rsidR="00040034" w:rsidRPr="006671ED"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0" w:history="1">
              <w:r w:rsidR="006671ED" w:rsidRPr="006C3A25">
                <w:rPr>
                  <w:rStyle w:val="ac"/>
                  <w:rFonts w:ascii="Times New Roman" w:hAnsi="Times New Roman"/>
                  <w:sz w:val="24"/>
                  <w:szCs w:val="24"/>
                </w:rPr>
                <w:t>https</w:t>
              </w:r>
              <w:r w:rsidR="006671ED" w:rsidRPr="006C3A25">
                <w:rPr>
                  <w:rStyle w:val="ac"/>
                  <w:rFonts w:ascii="Times New Roman" w:hAnsi="Times New Roman"/>
                  <w:sz w:val="24"/>
                  <w:szCs w:val="24"/>
                  <w:lang w:val="ru-RU"/>
                </w:rPr>
                <w:t>://</w:t>
              </w:r>
              <w:proofErr w:type="spellStart"/>
              <w:r w:rsidR="006671ED" w:rsidRPr="006C3A25">
                <w:rPr>
                  <w:rStyle w:val="ac"/>
                  <w:rFonts w:ascii="Times New Roman" w:hAnsi="Times New Roman"/>
                  <w:sz w:val="24"/>
                  <w:szCs w:val="24"/>
                </w:rPr>
                <w:t>unstats</w:t>
              </w:r>
              <w:proofErr w:type="spellEnd"/>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un</w:t>
              </w:r>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org</w:t>
              </w:r>
              <w:r w:rsidR="006671ED" w:rsidRPr="006C3A25">
                <w:rPr>
                  <w:rStyle w:val="ac"/>
                  <w:rFonts w:ascii="Times New Roman" w:hAnsi="Times New Roman"/>
                  <w:sz w:val="24"/>
                  <w:szCs w:val="24"/>
                  <w:lang w:val="ru-RU"/>
                </w:rPr>
                <w:t>/</w:t>
              </w:r>
              <w:proofErr w:type="spellStart"/>
              <w:r w:rsidR="006671ED" w:rsidRPr="006C3A25">
                <w:rPr>
                  <w:rStyle w:val="ac"/>
                  <w:rFonts w:ascii="Times New Roman" w:hAnsi="Times New Roman"/>
                  <w:sz w:val="24"/>
                  <w:szCs w:val="24"/>
                </w:rPr>
                <w:t>sdgs</w:t>
              </w:r>
              <w:proofErr w:type="spellEnd"/>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metadata</w:t>
              </w:r>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files</w:t>
              </w:r>
              <w:r w:rsidR="006671ED" w:rsidRPr="006C3A25">
                <w:rPr>
                  <w:rStyle w:val="ac"/>
                  <w:rFonts w:ascii="Times New Roman" w:hAnsi="Times New Roman"/>
                  <w:sz w:val="24"/>
                  <w:szCs w:val="24"/>
                  <w:lang w:val="ru-RU"/>
                </w:rPr>
                <w:t>/</w:t>
              </w:r>
              <w:r w:rsidR="006671ED" w:rsidRPr="006C3A25">
                <w:rPr>
                  <w:rStyle w:val="ac"/>
                  <w:rFonts w:ascii="Times New Roman" w:hAnsi="Times New Roman"/>
                  <w:sz w:val="24"/>
                  <w:szCs w:val="24"/>
                </w:rPr>
                <w:t>Metadata</w:t>
              </w:r>
              <w:r w:rsidR="006671ED" w:rsidRPr="006C3A25">
                <w:rPr>
                  <w:rStyle w:val="ac"/>
                  <w:rFonts w:ascii="Times New Roman" w:hAnsi="Times New Roman"/>
                  <w:sz w:val="24"/>
                  <w:szCs w:val="24"/>
                  <w:lang w:val="ru-RU"/>
                </w:rPr>
                <w:t>-06-01-01.</w:t>
              </w:r>
              <w:r w:rsidR="006671ED" w:rsidRPr="006C3A25">
                <w:rPr>
                  <w:rStyle w:val="ac"/>
                  <w:rFonts w:ascii="Times New Roman" w:hAnsi="Times New Roman"/>
                  <w:sz w:val="24"/>
                  <w:szCs w:val="24"/>
                </w:rPr>
                <w:t>pdf</w:t>
              </w:r>
            </w:hyperlink>
          </w:p>
        </w:tc>
      </w:tr>
      <w:tr w:rsidR="006671ED" w:rsidRPr="00FE0BD5"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hideMark/>
          </w:tcPr>
          <w:p w:rsidR="00040034" w:rsidRPr="006671ED" w:rsidRDefault="00040034" w:rsidP="00FE0BD5">
            <w:pPr>
              <w:pStyle w:val="MText"/>
              <w:spacing w:before="40" w:after="40"/>
              <w:rPr>
                <w:rFonts w:ascii="Times New Roman" w:hAnsi="Times New Roman"/>
                <w:color w:val="000000" w:themeColor="text1"/>
                <w:sz w:val="24"/>
                <w:szCs w:val="24"/>
              </w:rPr>
            </w:pPr>
            <w:proofErr w:type="spellStart"/>
            <w:r w:rsidRPr="006671ED">
              <w:rPr>
                <w:rFonts w:ascii="Times New Roman" w:hAnsi="Times New Roman"/>
                <w:color w:val="000000" w:themeColor="text1"/>
                <w:sz w:val="24"/>
                <w:szCs w:val="24"/>
              </w:rPr>
              <w:t>Безопасная</w:t>
            </w:r>
            <w:proofErr w:type="spellEnd"/>
            <w:r w:rsidRPr="006671ED">
              <w:rPr>
                <w:rFonts w:ascii="Times New Roman" w:hAnsi="Times New Roman"/>
                <w:color w:val="000000" w:themeColor="text1"/>
                <w:sz w:val="24"/>
                <w:szCs w:val="24"/>
              </w:rPr>
              <w:t xml:space="preserve"> </w:t>
            </w:r>
            <w:proofErr w:type="spellStart"/>
            <w:r w:rsidRPr="006671ED">
              <w:rPr>
                <w:rFonts w:ascii="Times New Roman" w:hAnsi="Times New Roman"/>
                <w:color w:val="000000" w:themeColor="text1"/>
                <w:sz w:val="24"/>
                <w:szCs w:val="24"/>
              </w:rPr>
              <w:t>санитария</w:t>
            </w:r>
            <w:proofErr w:type="spellEnd"/>
          </w:p>
        </w:tc>
        <w:tc>
          <w:tcPr>
            <w:tcW w:w="2005" w:type="pct"/>
            <w:hideMark/>
          </w:tcPr>
          <w:p w:rsidR="00040034" w:rsidRPr="006671ED" w:rsidRDefault="00040034"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Доля населения, пользующегося улучшенными удобствами, которые не используются совместно с другими домохозяйствами (часть ЦУР 6.2.1</w:t>
            </w:r>
            <w:r w:rsidR="00FE0BD5">
              <w:rPr>
                <w:rFonts w:ascii="Times New Roman" w:hAnsi="Times New Roman"/>
                <w:color w:val="000000" w:themeColor="text1"/>
                <w:sz w:val="24"/>
                <w:szCs w:val="24"/>
                <w:lang w:val="en-US"/>
              </w:rPr>
              <w:t>a</w:t>
            </w:r>
            <w:r w:rsidRPr="006671ED">
              <w:rPr>
                <w:rFonts w:ascii="Times New Roman" w:hAnsi="Times New Roman"/>
                <w:color w:val="000000" w:themeColor="text1"/>
                <w:sz w:val="24"/>
                <w:szCs w:val="24"/>
                <w:lang w:val="ru-RU"/>
              </w:rPr>
              <w:t>)</w:t>
            </w:r>
          </w:p>
        </w:tc>
        <w:tc>
          <w:tcPr>
            <w:tcW w:w="1907" w:type="pct"/>
          </w:tcPr>
          <w:p w:rsidR="00FE0BD5"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1" w:history="1">
              <w:r w:rsidR="00FE0BD5" w:rsidRPr="006C3A25">
                <w:rPr>
                  <w:rStyle w:val="ac"/>
                  <w:rFonts w:ascii="Times New Roman" w:hAnsi="Times New Roman"/>
                  <w:sz w:val="24"/>
                  <w:szCs w:val="24"/>
                  <w:lang w:val="ru-RU"/>
                </w:rPr>
                <w:t>https://washdata.org/monitoring/sanitation</w:t>
              </w:r>
            </w:hyperlink>
          </w:p>
          <w:p w:rsidR="00040034"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2" w:history="1">
              <w:r w:rsidR="00FE0BD5" w:rsidRPr="006C3A25">
                <w:rPr>
                  <w:rStyle w:val="ac"/>
                  <w:rFonts w:ascii="Times New Roman" w:hAnsi="Times New Roman"/>
                  <w:sz w:val="24"/>
                  <w:szCs w:val="24"/>
                  <w:lang w:val="ru-RU"/>
                </w:rPr>
                <w:t>https://unstats.un.org/sdgs/metadata/files/Metadata-06-02-01a.docx</w:t>
              </w:r>
            </w:hyperlink>
            <w:r w:rsidR="00040034" w:rsidRPr="00FE0BD5">
              <w:rPr>
                <w:rFonts w:ascii="Times New Roman" w:hAnsi="Times New Roman"/>
                <w:color w:val="000000" w:themeColor="text1"/>
                <w:sz w:val="24"/>
                <w:szCs w:val="24"/>
                <w:lang w:val="ru-RU"/>
              </w:rPr>
              <w:t xml:space="preserve"> </w:t>
            </w:r>
          </w:p>
        </w:tc>
      </w:tr>
      <w:tr w:rsidR="006671ED" w:rsidRPr="00FE0BD5"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tcPr>
          <w:p w:rsidR="00040034" w:rsidRPr="006671ED" w:rsidRDefault="00040034" w:rsidP="00FE0BD5">
            <w:pPr>
              <w:pStyle w:val="MText"/>
              <w:spacing w:before="40" w:after="40"/>
              <w:rPr>
                <w:rFonts w:ascii="Times New Roman" w:hAnsi="Times New Roman"/>
                <w:color w:val="000000" w:themeColor="text1"/>
                <w:sz w:val="24"/>
                <w:szCs w:val="24"/>
              </w:rPr>
            </w:pPr>
            <w:proofErr w:type="spellStart"/>
            <w:r w:rsidRPr="006671ED">
              <w:rPr>
                <w:rFonts w:ascii="Times New Roman" w:hAnsi="Times New Roman"/>
                <w:color w:val="000000" w:themeColor="text1"/>
                <w:sz w:val="24"/>
                <w:szCs w:val="24"/>
              </w:rPr>
              <w:t>Базовые</w:t>
            </w:r>
            <w:proofErr w:type="spellEnd"/>
            <w:r w:rsidRPr="006671ED">
              <w:rPr>
                <w:rFonts w:ascii="Times New Roman" w:hAnsi="Times New Roman"/>
                <w:color w:val="000000" w:themeColor="text1"/>
                <w:sz w:val="24"/>
                <w:szCs w:val="24"/>
              </w:rPr>
              <w:t xml:space="preserve"> </w:t>
            </w:r>
            <w:proofErr w:type="spellStart"/>
            <w:r w:rsidRPr="006671ED">
              <w:rPr>
                <w:rFonts w:ascii="Times New Roman" w:hAnsi="Times New Roman"/>
                <w:color w:val="000000" w:themeColor="text1"/>
                <w:sz w:val="24"/>
                <w:szCs w:val="24"/>
              </w:rPr>
              <w:t>услуги</w:t>
            </w:r>
            <w:proofErr w:type="spellEnd"/>
            <w:r w:rsidRPr="006671ED">
              <w:rPr>
                <w:rFonts w:ascii="Times New Roman" w:hAnsi="Times New Roman"/>
                <w:color w:val="000000" w:themeColor="text1"/>
                <w:sz w:val="24"/>
                <w:szCs w:val="24"/>
              </w:rPr>
              <w:t xml:space="preserve"> </w:t>
            </w:r>
            <w:proofErr w:type="spellStart"/>
            <w:r w:rsidRPr="006671ED">
              <w:rPr>
                <w:rFonts w:ascii="Times New Roman" w:hAnsi="Times New Roman"/>
                <w:color w:val="000000" w:themeColor="text1"/>
                <w:sz w:val="24"/>
                <w:szCs w:val="24"/>
              </w:rPr>
              <w:t>гигиены</w:t>
            </w:r>
            <w:proofErr w:type="spellEnd"/>
          </w:p>
        </w:tc>
        <w:tc>
          <w:tcPr>
            <w:tcW w:w="2005" w:type="pct"/>
          </w:tcPr>
          <w:p w:rsidR="00040034" w:rsidRPr="006671ED" w:rsidRDefault="00040034"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Доля населения, имеющего доступ к средствам для мытья рук с мылом и водой в помещении (часть ЦУР 6.2.1</w:t>
            </w:r>
            <w:r w:rsidR="00FE0BD5">
              <w:rPr>
                <w:rFonts w:ascii="Times New Roman" w:hAnsi="Times New Roman"/>
                <w:color w:val="000000" w:themeColor="text1"/>
                <w:sz w:val="24"/>
                <w:szCs w:val="24"/>
                <w:lang w:val="en-US"/>
              </w:rPr>
              <w:t>b</w:t>
            </w:r>
            <w:r w:rsidRPr="006671ED">
              <w:rPr>
                <w:rFonts w:ascii="Times New Roman" w:hAnsi="Times New Roman"/>
                <w:color w:val="000000" w:themeColor="text1"/>
                <w:sz w:val="24"/>
                <w:szCs w:val="24"/>
                <w:lang w:val="ru-RU"/>
              </w:rPr>
              <w:t>)</w:t>
            </w:r>
          </w:p>
        </w:tc>
        <w:tc>
          <w:tcPr>
            <w:tcW w:w="1907" w:type="pct"/>
          </w:tcPr>
          <w:p w:rsidR="00FE0BD5" w:rsidRPr="009F00ED"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3"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washdata</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monitoring</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hygiene</w:t>
              </w:r>
            </w:hyperlink>
          </w:p>
          <w:p w:rsidR="00040034"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4" w:history="1">
              <w:r w:rsidR="00FE0BD5" w:rsidRPr="006C3A25">
                <w:rPr>
                  <w:rStyle w:val="ac"/>
                  <w:rFonts w:ascii="Times New Roman" w:hAnsi="Times New Roman"/>
                  <w:sz w:val="24"/>
                  <w:szCs w:val="24"/>
                </w:rPr>
                <w:t>https</w:t>
              </w:r>
              <w:r w:rsidR="00FE0BD5" w:rsidRPr="00FE0BD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FE0BD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FE0BD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FE0BD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FE0BD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FE0BD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FE0BD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FE0BD5">
                <w:rPr>
                  <w:rStyle w:val="ac"/>
                  <w:rFonts w:ascii="Times New Roman" w:hAnsi="Times New Roman"/>
                  <w:sz w:val="24"/>
                  <w:szCs w:val="24"/>
                  <w:lang w:val="ru-RU"/>
                </w:rPr>
                <w:t>-06-02-01</w:t>
              </w:r>
              <w:r w:rsidR="00FE0BD5" w:rsidRPr="006C3A25">
                <w:rPr>
                  <w:rStyle w:val="ac"/>
                  <w:rFonts w:ascii="Times New Roman" w:hAnsi="Times New Roman"/>
                  <w:sz w:val="24"/>
                  <w:szCs w:val="24"/>
                </w:rPr>
                <w:t>b</w:t>
              </w:r>
              <w:r w:rsidR="00FE0BD5" w:rsidRPr="00FE0BD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docx</w:t>
              </w:r>
              <w:proofErr w:type="spellEnd"/>
            </w:hyperlink>
          </w:p>
        </w:tc>
      </w:tr>
      <w:tr w:rsidR="006671ED" w:rsidRPr="006671ED"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hideMark/>
          </w:tcPr>
          <w:p w:rsidR="00040034" w:rsidRPr="006671ED" w:rsidRDefault="00040034" w:rsidP="00FE0BD5">
            <w:pPr>
              <w:pStyle w:val="MText"/>
              <w:spacing w:before="40" w:after="4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Сбор отходов</w:t>
            </w:r>
          </w:p>
        </w:tc>
        <w:tc>
          <w:tcPr>
            <w:tcW w:w="2005" w:type="pct"/>
            <w:hideMark/>
          </w:tcPr>
          <w:p w:rsidR="00040034" w:rsidRPr="006671ED" w:rsidRDefault="00040034"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 xml:space="preserve">11.6.1 </w:t>
            </w:r>
            <w:r w:rsidR="00FE0BD5" w:rsidRPr="00FE0BD5">
              <w:rPr>
                <w:rFonts w:ascii="Times New Roman" w:hAnsi="Times New Roman"/>
                <w:color w:val="000000" w:themeColor="text1"/>
                <w:sz w:val="24"/>
                <w:szCs w:val="24"/>
                <w:lang w:val="ru-RU"/>
              </w:rPr>
              <w:t>Доля коммунально-бытовых твердых отходов, которые собираются и удаляются на контролируемых объектах, от общей массы коммунально-</w:t>
            </w:r>
            <w:r w:rsidR="00FE0BD5" w:rsidRPr="00FE0BD5">
              <w:rPr>
                <w:rFonts w:ascii="Times New Roman" w:hAnsi="Times New Roman"/>
                <w:color w:val="000000" w:themeColor="text1"/>
                <w:sz w:val="24"/>
                <w:szCs w:val="24"/>
                <w:lang w:val="ru-RU"/>
              </w:rPr>
              <w:lastRenderedPageBreak/>
              <w:t>бытовых твердых отходов, в разбивке по городам</w:t>
            </w:r>
            <w:r w:rsidR="00FE0BD5">
              <w:rPr>
                <w:rFonts w:ascii="Times New Roman" w:hAnsi="Times New Roman"/>
                <w:color w:val="000000" w:themeColor="text1"/>
                <w:sz w:val="24"/>
                <w:szCs w:val="24"/>
                <w:lang w:val="ru-RU"/>
              </w:rPr>
              <w:t xml:space="preserve">, в разбивке </w:t>
            </w:r>
            <w:r w:rsidRPr="006671ED">
              <w:rPr>
                <w:rFonts w:ascii="Times New Roman" w:hAnsi="Times New Roman"/>
                <w:color w:val="000000" w:themeColor="text1"/>
                <w:sz w:val="24"/>
                <w:szCs w:val="24"/>
                <w:lang w:val="ru-RU"/>
              </w:rPr>
              <w:t>по городам</w:t>
            </w:r>
          </w:p>
        </w:tc>
        <w:tc>
          <w:tcPr>
            <w:tcW w:w="1907" w:type="pct"/>
          </w:tcPr>
          <w:p w:rsidR="00040034"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5"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-11-06-01.</w:t>
              </w:r>
              <w:r w:rsidR="00FE0BD5" w:rsidRPr="006C3A25">
                <w:rPr>
                  <w:rStyle w:val="ac"/>
                  <w:rFonts w:ascii="Times New Roman" w:hAnsi="Times New Roman"/>
                  <w:sz w:val="24"/>
                  <w:szCs w:val="24"/>
                </w:rPr>
                <w:t>pdf</w:t>
              </w:r>
            </w:hyperlink>
          </w:p>
        </w:tc>
      </w:tr>
      <w:tr w:rsidR="006671ED" w:rsidRPr="006671ED"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hideMark/>
          </w:tcPr>
          <w:p w:rsidR="00040034" w:rsidRPr="006671ED" w:rsidRDefault="00705161" w:rsidP="00FE0BD5">
            <w:pPr>
              <w:pStyle w:val="MText"/>
              <w:spacing w:before="40" w:after="4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lastRenderedPageBreak/>
              <w:t>Мобильность и транспорт</w:t>
            </w:r>
          </w:p>
        </w:tc>
        <w:tc>
          <w:tcPr>
            <w:tcW w:w="2005" w:type="pct"/>
            <w:hideMark/>
          </w:tcPr>
          <w:p w:rsidR="00705161" w:rsidRPr="00FE0BD5" w:rsidRDefault="00040034"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 xml:space="preserve">9.1.1 </w:t>
            </w:r>
            <w:r w:rsidR="00FE0BD5" w:rsidRPr="00FE0BD5">
              <w:rPr>
                <w:rFonts w:ascii="Times New Roman" w:hAnsi="Times New Roman"/>
                <w:color w:val="000000" w:themeColor="text1"/>
                <w:sz w:val="24"/>
                <w:szCs w:val="24"/>
                <w:lang w:val="ru-RU"/>
              </w:rPr>
              <w:t>Доля сель</w:t>
            </w:r>
            <w:r w:rsidR="00FE0BD5">
              <w:rPr>
                <w:rFonts w:ascii="Times New Roman" w:hAnsi="Times New Roman"/>
                <w:color w:val="000000" w:themeColor="text1"/>
                <w:sz w:val="24"/>
                <w:szCs w:val="24"/>
                <w:lang w:val="ru-RU"/>
              </w:rPr>
              <w:t xml:space="preserve">ского населения, проживающего в </w:t>
            </w:r>
            <w:r w:rsidR="00FE0BD5" w:rsidRPr="00FE0BD5">
              <w:rPr>
                <w:rFonts w:ascii="Times New Roman" w:hAnsi="Times New Roman"/>
                <w:color w:val="000000" w:themeColor="text1"/>
                <w:sz w:val="24"/>
                <w:szCs w:val="24"/>
                <w:lang w:val="ru-RU"/>
              </w:rPr>
              <w:t>пределах 2 км от всесезонной дороги</w:t>
            </w:r>
          </w:p>
          <w:p w:rsidR="00040034" w:rsidRPr="00FE0BD5" w:rsidRDefault="00705161"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 xml:space="preserve">11.2.1 </w:t>
            </w:r>
            <w:r w:rsidR="00FE0BD5" w:rsidRPr="00FE0BD5">
              <w:rPr>
                <w:rFonts w:ascii="Times New Roman" w:hAnsi="Times New Roman"/>
                <w:color w:val="000000" w:themeColor="text1"/>
                <w:sz w:val="24"/>
                <w:szCs w:val="24"/>
                <w:lang w:val="ru-RU"/>
              </w:rPr>
              <w:t>Доля нас</w:t>
            </w:r>
            <w:r w:rsidR="00FE0BD5">
              <w:rPr>
                <w:rFonts w:ascii="Times New Roman" w:hAnsi="Times New Roman"/>
                <w:color w:val="000000" w:themeColor="text1"/>
                <w:sz w:val="24"/>
                <w:szCs w:val="24"/>
                <w:lang w:val="ru-RU"/>
              </w:rPr>
              <w:t xml:space="preserve">еления, имеющего удобный доступ к общественному транспорту, в разбивке по полу, </w:t>
            </w:r>
            <w:r w:rsidR="00FE0BD5" w:rsidRPr="00FE0BD5">
              <w:rPr>
                <w:rFonts w:ascii="Times New Roman" w:hAnsi="Times New Roman"/>
                <w:color w:val="000000" w:themeColor="text1"/>
                <w:sz w:val="24"/>
                <w:szCs w:val="24"/>
                <w:lang w:val="ru-RU"/>
              </w:rPr>
              <w:t>возрасту и признаку инвалидности</w:t>
            </w:r>
          </w:p>
        </w:tc>
        <w:tc>
          <w:tcPr>
            <w:tcW w:w="1907" w:type="pct"/>
          </w:tcPr>
          <w:p w:rsidR="00040034" w:rsidRPr="006671ED"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6"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-09-01-01.</w:t>
              </w:r>
              <w:r w:rsidR="00FE0BD5" w:rsidRPr="006C3A25">
                <w:rPr>
                  <w:rStyle w:val="ac"/>
                  <w:rFonts w:ascii="Times New Roman" w:hAnsi="Times New Roman"/>
                  <w:sz w:val="24"/>
                  <w:szCs w:val="24"/>
                </w:rPr>
                <w:t>pdf</w:t>
              </w:r>
            </w:hyperlink>
            <w:r w:rsidR="00040034" w:rsidRPr="006671ED">
              <w:rPr>
                <w:rFonts w:ascii="Times New Roman" w:hAnsi="Times New Roman"/>
                <w:color w:val="000000" w:themeColor="text1"/>
                <w:sz w:val="24"/>
                <w:szCs w:val="24"/>
                <w:lang w:val="ru-RU"/>
              </w:rPr>
              <w:t xml:space="preserve"> </w:t>
            </w:r>
          </w:p>
          <w:p w:rsidR="00040034" w:rsidRPr="006671ED" w:rsidRDefault="00040034"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p>
          <w:p w:rsidR="00FE0BD5"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7"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-11-02-01.</w:t>
              </w:r>
              <w:r w:rsidR="00FE0BD5" w:rsidRPr="006C3A25">
                <w:rPr>
                  <w:rStyle w:val="ac"/>
                  <w:rFonts w:ascii="Times New Roman" w:hAnsi="Times New Roman"/>
                  <w:sz w:val="24"/>
                  <w:szCs w:val="24"/>
                </w:rPr>
                <w:t>pdf</w:t>
              </w:r>
            </w:hyperlink>
          </w:p>
        </w:tc>
      </w:tr>
      <w:tr w:rsidR="006671ED" w:rsidRPr="006671ED"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hideMark/>
          </w:tcPr>
          <w:p w:rsidR="00040034" w:rsidRPr="006671ED" w:rsidRDefault="003746BC" w:rsidP="00FE0BD5">
            <w:pPr>
              <w:pStyle w:val="MText"/>
              <w:spacing w:before="40" w:after="4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Современная энергия</w:t>
            </w:r>
          </w:p>
        </w:tc>
        <w:tc>
          <w:tcPr>
            <w:tcW w:w="2005" w:type="pct"/>
            <w:hideMark/>
          </w:tcPr>
          <w:p w:rsidR="00040034" w:rsidRPr="00C54664" w:rsidRDefault="00040034" w:rsidP="00C54664">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 xml:space="preserve">7.1.2 </w:t>
            </w:r>
            <w:r w:rsidR="00C54664">
              <w:rPr>
                <w:rFonts w:ascii="Times New Roman" w:hAnsi="Times New Roman"/>
                <w:color w:val="000000" w:themeColor="text1"/>
                <w:sz w:val="24"/>
                <w:szCs w:val="24"/>
                <w:lang w:val="ru-RU"/>
              </w:rPr>
              <w:t xml:space="preserve">Доля населения, использующего в основном </w:t>
            </w:r>
            <w:r w:rsidR="00C54664" w:rsidRPr="00C54664">
              <w:rPr>
                <w:rFonts w:ascii="Times New Roman" w:hAnsi="Times New Roman"/>
                <w:color w:val="000000" w:themeColor="text1"/>
                <w:sz w:val="24"/>
                <w:szCs w:val="24"/>
                <w:lang w:val="ru-RU"/>
              </w:rPr>
              <w:t>чистые виды топлива и технологии</w:t>
            </w:r>
          </w:p>
        </w:tc>
        <w:tc>
          <w:tcPr>
            <w:tcW w:w="1907" w:type="pct"/>
          </w:tcPr>
          <w:p w:rsidR="00040034"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8"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-07-01-02.</w:t>
              </w:r>
              <w:r w:rsidR="00FE0BD5" w:rsidRPr="006C3A25">
                <w:rPr>
                  <w:rStyle w:val="ac"/>
                  <w:rFonts w:ascii="Times New Roman" w:hAnsi="Times New Roman"/>
                  <w:sz w:val="24"/>
                  <w:szCs w:val="24"/>
                </w:rPr>
                <w:t>pdf</w:t>
              </w:r>
            </w:hyperlink>
          </w:p>
        </w:tc>
      </w:tr>
      <w:tr w:rsidR="006671ED" w:rsidRPr="006671ED"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hideMark/>
          </w:tcPr>
          <w:p w:rsidR="00705161" w:rsidRPr="006671ED" w:rsidRDefault="00705161" w:rsidP="00FE0BD5">
            <w:pPr>
              <w:pStyle w:val="MText"/>
              <w:spacing w:before="40" w:after="4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ИКТ</w:t>
            </w:r>
          </w:p>
        </w:tc>
        <w:tc>
          <w:tcPr>
            <w:tcW w:w="2005" w:type="pct"/>
            <w:hideMark/>
          </w:tcPr>
          <w:p w:rsidR="00705161" w:rsidRPr="00C54664" w:rsidRDefault="00705161" w:rsidP="00C54664">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u-RU"/>
              </w:rPr>
            </w:pPr>
            <w:r w:rsidRPr="006671ED">
              <w:rPr>
                <w:rFonts w:ascii="Times New Roman" w:hAnsi="Times New Roman" w:cs="Times New Roman"/>
                <w:color w:val="000000" w:themeColor="text1"/>
                <w:sz w:val="24"/>
                <w:szCs w:val="24"/>
                <w:lang w:val="ru-RU"/>
              </w:rPr>
              <w:t>9.</w:t>
            </w:r>
            <w:r w:rsidRPr="006671ED">
              <w:rPr>
                <w:rFonts w:ascii="Times New Roman" w:hAnsi="Times New Roman" w:cs="Times New Roman"/>
                <w:color w:val="000000" w:themeColor="text1"/>
                <w:sz w:val="24"/>
                <w:szCs w:val="24"/>
              </w:rPr>
              <w:t>c</w:t>
            </w:r>
            <w:r w:rsidRPr="006671ED">
              <w:rPr>
                <w:rFonts w:ascii="Times New Roman" w:hAnsi="Times New Roman" w:cs="Times New Roman"/>
                <w:color w:val="000000" w:themeColor="text1"/>
                <w:sz w:val="24"/>
                <w:szCs w:val="24"/>
                <w:lang w:val="ru-RU"/>
              </w:rPr>
              <w:t xml:space="preserve">.1 </w:t>
            </w:r>
            <w:r w:rsidR="00C54664" w:rsidRPr="00C54664">
              <w:rPr>
                <w:rFonts w:ascii="Times New Roman" w:hAnsi="Times New Roman" w:cs="Times New Roman"/>
                <w:color w:val="000000" w:themeColor="text1"/>
                <w:sz w:val="24"/>
                <w:szCs w:val="24"/>
                <w:lang w:val="ru-RU"/>
              </w:rPr>
              <w:t>Доля населения, охваченн</w:t>
            </w:r>
            <w:r w:rsidR="00C54664">
              <w:rPr>
                <w:rFonts w:ascii="Times New Roman" w:hAnsi="Times New Roman" w:cs="Times New Roman"/>
                <w:color w:val="000000" w:themeColor="text1"/>
                <w:sz w:val="24"/>
                <w:szCs w:val="24"/>
                <w:lang w:val="ru-RU"/>
              </w:rPr>
              <w:t xml:space="preserve">ого мобильными </w:t>
            </w:r>
            <w:r w:rsidR="00C54664" w:rsidRPr="00C54664">
              <w:rPr>
                <w:rFonts w:ascii="Times New Roman" w:hAnsi="Times New Roman" w:cs="Times New Roman"/>
                <w:color w:val="000000" w:themeColor="text1"/>
                <w:sz w:val="24"/>
                <w:szCs w:val="24"/>
                <w:lang w:val="ru-RU"/>
              </w:rPr>
              <w:t>сетями, в разбивке по технологиям</w:t>
            </w:r>
          </w:p>
        </w:tc>
        <w:tc>
          <w:tcPr>
            <w:tcW w:w="1907" w:type="pct"/>
          </w:tcPr>
          <w:p w:rsidR="00705161"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29"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-09-0</w:t>
              </w:r>
              <w:r w:rsidR="00FE0BD5" w:rsidRPr="006C3A25">
                <w:rPr>
                  <w:rStyle w:val="ac"/>
                  <w:rFonts w:ascii="Times New Roman" w:hAnsi="Times New Roman"/>
                  <w:sz w:val="24"/>
                  <w:szCs w:val="24"/>
                </w:rPr>
                <w:t>C</w:t>
              </w:r>
              <w:r w:rsidR="00FE0BD5" w:rsidRPr="006C3A25">
                <w:rPr>
                  <w:rStyle w:val="ac"/>
                  <w:rFonts w:ascii="Times New Roman" w:hAnsi="Times New Roman"/>
                  <w:sz w:val="24"/>
                  <w:szCs w:val="24"/>
                  <w:lang w:val="ru-RU"/>
                </w:rPr>
                <w:t>-01.</w:t>
              </w:r>
              <w:r w:rsidR="00FE0BD5" w:rsidRPr="006C3A25">
                <w:rPr>
                  <w:rStyle w:val="ac"/>
                  <w:rFonts w:ascii="Times New Roman" w:hAnsi="Times New Roman"/>
                  <w:sz w:val="24"/>
                  <w:szCs w:val="24"/>
                </w:rPr>
                <w:t>pdf</w:t>
              </w:r>
            </w:hyperlink>
          </w:p>
        </w:tc>
      </w:tr>
      <w:tr w:rsidR="006671ED" w:rsidRPr="006671ED"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hideMark/>
          </w:tcPr>
          <w:p w:rsidR="00705161" w:rsidRPr="006671ED" w:rsidRDefault="00705161" w:rsidP="00FE0BD5">
            <w:pPr>
              <w:pStyle w:val="MText"/>
              <w:spacing w:before="40" w:after="40"/>
              <w:rPr>
                <w:rFonts w:ascii="Times New Roman" w:hAnsi="Times New Roman"/>
                <w:color w:val="000000" w:themeColor="text1"/>
                <w:sz w:val="24"/>
                <w:szCs w:val="24"/>
                <w:lang w:val="ru-RU"/>
              </w:rPr>
            </w:pPr>
            <w:r w:rsidRPr="006671ED">
              <w:rPr>
                <w:rFonts w:ascii="Times New Roman" w:hAnsi="Times New Roman"/>
                <w:color w:val="000000" w:themeColor="text1"/>
                <w:sz w:val="24"/>
                <w:szCs w:val="24"/>
                <w:lang w:val="ru-RU"/>
              </w:rPr>
              <w:t>Образование</w:t>
            </w:r>
          </w:p>
        </w:tc>
        <w:tc>
          <w:tcPr>
            <w:tcW w:w="2005" w:type="pct"/>
            <w:hideMark/>
          </w:tcPr>
          <w:p w:rsidR="00705161" w:rsidRPr="00C54664" w:rsidRDefault="00705161" w:rsidP="00C54664">
            <w:pPr>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u-RU"/>
              </w:rPr>
            </w:pPr>
            <w:r w:rsidRPr="006671ED">
              <w:rPr>
                <w:rFonts w:ascii="Times New Roman" w:hAnsi="Times New Roman" w:cs="Times New Roman"/>
                <w:color w:val="000000" w:themeColor="text1"/>
                <w:sz w:val="24"/>
                <w:szCs w:val="24"/>
                <w:lang w:val="ru-RU"/>
              </w:rPr>
              <w:t xml:space="preserve">4.1.1 </w:t>
            </w:r>
            <w:r w:rsidR="00C54664" w:rsidRPr="00C54664">
              <w:rPr>
                <w:rFonts w:ascii="Times New Roman" w:hAnsi="Times New Roman" w:cs="Times New Roman"/>
                <w:color w:val="000000" w:themeColor="text1"/>
                <w:sz w:val="24"/>
                <w:szCs w:val="24"/>
                <w:lang w:val="ru-RU"/>
              </w:rPr>
              <w:t>Доля де</w:t>
            </w:r>
            <w:r w:rsidR="00C54664">
              <w:rPr>
                <w:rFonts w:ascii="Times New Roman" w:hAnsi="Times New Roman" w:cs="Times New Roman"/>
                <w:color w:val="000000" w:themeColor="text1"/>
                <w:sz w:val="24"/>
                <w:szCs w:val="24"/>
                <w:lang w:val="ru-RU"/>
              </w:rPr>
              <w:t xml:space="preserve">тей и молодежи, приходящаяся на a) учащихся 2 и 3 классов; b) выпускников начальной школы; и c) </w:t>
            </w:r>
            <w:r w:rsidR="00C54664" w:rsidRPr="00C54664">
              <w:rPr>
                <w:rFonts w:ascii="Times New Roman" w:hAnsi="Times New Roman" w:cs="Times New Roman"/>
                <w:color w:val="000000" w:themeColor="text1"/>
                <w:sz w:val="24"/>
                <w:szCs w:val="24"/>
                <w:lang w:val="ru-RU"/>
              </w:rPr>
              <w:t>выпу</w:t>
            </w:r>
            <w:r w:rsidR="00C54664">
              <w:rPr>
                <w:rFonts w:ascii="Times New Roman" w:hAnsi="Times New Roman" w:cs="Times New Roman"/>
                <w:color w:val="000000" w:themeColor="text1"/>
                <w:sz w:val="24"/>
                <w:szCs w:val="24"/>
                <w:lang w:val="ru-RU"/>
              </w:rPr>
              <w:t xml:space="preserve">скников неполной средней школы, </w:t>
            </w:r>
            <w:r w:rsidR="00C54664" w:rsidRPr="00C54664">
              <w:rPr>
                <w:rFonts w:ascii="Times New Roman" w:hAnsi="Times New Roman" w:cs="Times New Roman"/>
                <w:color w:val="000000" w:themeColor="text1"/>
                <w:sz w:val="24"/>
                <w:szCs w:val="24"/>
                <w:lang w:val="ru-RU"/>
              </w:rPr>
              <w:t xml:space="preserve">которые </w:t>
            </w:r>
            <w:proofErr w:type="gramStart"/>
            <w:r w:rsidR="00C54664" w:rsidRPr="00C54664">
              <w:rPr>
                <w:rFonts w:ascii="Times New Roman" w:hAnsi="Times New Roman" w:cs="Times New Roman"/>
                <w:color w:val="000000" w:themeColor="text1"/>
                <w:sz w:val="24"/>
                <w:szCs w:val="24"/>
                <w:lang w:val="ru-RU"/>
              </w:rPr>
              <w:t>достиг</w:t>
            </w:r>
            <w:r w:rsidR="00C54664">
              <w:rPr>
                <w:rFonts w:ascii="Times New Roman" w:hAnsi="Times New Roman" w:cs="Times New Roman"/>
                <w:color w:val="000000" w:themeColor="text1"/>
                <w:sz w:val="24"/>
                <w:szCs w:val="24"/>
                <w:lang w:val="ru-RU"/>
              </w:rPr>
              <w:t>ли</w:t>
            </w:r>
            <w:proofErr w:type="gramEnd"/>
            <w:r w:rsidR="00C54664">
              <w:rPr>
                <w:rFonts w:ascii="Times New Roman" w:hAnsi="Times New Roman" w:cs="Times New Roman"/>
                <w:color w:val="000000" w:themeColor="text1"/>
                <w:sz w:val="24"/>
                <w:szCs w:val="24"/>
                <w:lang w:val="ru-RU"/>
              </w:rPr>
              <w:t xml:space="preserve"> по меньшей мере минимального </w:t>
            </w:r>
            <w:r w:rsidR="00C54664" w:rsidRPr="00C54664">
              <w:rPr>
                <w:rFonts w:ascii="Times New Roman" w:hAnsi="Times New Roman" w:cs="Times New Roman"/>
                <w:color w:val="000000" w:themeColor="text1"/>
                <w:sz w:val="24"/>
                <w:szCs w:val="24"/>
                <w:lang w:val="ru-RU"/>
              </w:rPr>
              <w:t xml:space="preserve">уровня владения навыками i) чтения и </w:t>
            </w:r>
            <w:proofErr w:type="spellStart"/>
            <w:r w:rsidR="00C54664" w:rsidRPr="00C54664">
              <w:rPr>
                <w:rFonts w:ascii="Times New Roman" w:hAnsi="Times New Roman" w:cs="Times New Roman"/>
                <w:color w:val="000000" w:themeColor="text1"/>
                <w:sz w:val="24"/>
                <w:szCs w:val="24"/>
                <w:lang w:val="ru-RU"/>
              </w:rPr>
              <w:t>ii</w:t>
            </w:r>
            <w:proofErr w:type="spellEnd"/>
            <w:r w:rsidR="00C54664" w:rsidRPr="00C54664">
              <w:rPr>
                <w:rFonts w:ascii="Times New Roman" w:hAnsi="Times New Roman" w:cs="Times New Roman"/>
                <w:color w:val="000000" w:themeColor="text1"/>
                <w:sz w:val="24"/>
                <w:szCs w:val="24"/>
                <w:lang w:val="ru-RU"/>
              </w:rPr>
              <w:t>) математики, в разбивке по полу</w:t>
            </w:r>
          </w:p>
        </w:tc>
        <w:tc>
          <w:tcPr>
            <w:tcW w:w="1907" w:type="pct"/>
          </w:tcPr>
          <w:p w:rsidR="00705161" w:rsidRPr="00FE0BD5" w:rsidRDefault="0015435D" w:rsidP="00FE0BD5">
            <w:pPr>
              <w:pStyle w:val="MText"/>
              <w:spacing w:before="40" w:after="4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ru-RU"/>
              </w:rPr>
            </w:pPr>
            <w:hyperlink r:id="rId30" w:history="1">
              <w:r w:rsidR="00FE0BD5" w:rsidRPr="006C3A25">
                <w:rPr>
                  <w:rStyle w:val="ac"/>
                  <w:rFonts w:ascii="Times New Roman" w:hAnsi="Times New Roman"/>
                  <w:sz w:val="24"/>
                  <w:szCs w:val="24"/>
                </w:rPr>
                <w:t>https</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unstats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un</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org</w:t>
              </w:r>
              <w:r w:rsidR="00FE0BD5" w:rsidRPr="006C3A25">
                <w:rPr>
                  <w:rStyle w:val="ac"/>
                  <w:rFonts w:ascii="Times New Roman" w:hAnsi="Times New Roman"/>
                  <w:sz w:val="24"/>
                  <w:szCs w:val="24"/>
                  <w:lang w:val="ru-RU"/>
                </w:rPr>
                <w:t>/</w:t>
              </w:r>
              <w:proofErr w:type="spellStart"/>
              <w:r w:rsidR="00FE0BD5" w:rsidRPr="006C3A25">
                <w:rPr>
                  <w:rStyle w:val="ac"/>
                  <w:rFonts w:ascii="Times New Roman" w:hAnsi="Times New Roman"/>
                  <w:sz w:val="24"/>
                  <w:szCs w:val="24"/>
                </w:rPr>
                <w:t>sdgs</w:t>
              </w:r>
              <w:proofErr w:type="spellEnd"/>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files</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Metadata</w:t>
              </w:r>
              <w:r w:rsidR="00FE0BD5" w:rsidRPr="006C3A25">
                <w:rPr>
                  <w:rStyle w:val="ac"/>
                  <w:rFonts w:ascii="Times New Roman" w:hAnsi="Times New Roman"/>
                  <w:sz w:val="24"/>
                  <w:szCs w:val="24"/>
                  <w:lang w:val="ru-RU"/>
                </w:rPr>
                <w:t>-04-01-01</w:t>
              </w:r>
              <w:r w:rsidR="00FE0BD5" w:rsidRPr="006C3A25">
                <w:rPr>
                  <w:rStyle w:val="ac"/>
                  <w:rFonts w:ascii="Times New Roman" w:hAnsi="Times New Roman"/>
                  <w:sz w:val="24"/>
                  <w:szCs w:val="24"/>
                </w:rPr>
                <w:t>A</w:t>
              </w:r>
              <w:r w:rsidR="00FE0BD5" w:rsidRPr="006C3A25">
                <w:rPr>
                  <w:rStyle w:val="ac"/>
                  <w:rFonts w:ascii="Times New Roman" w:hAnsi="Times New Roman"/>
                  <w:sz w:val="24"/>
                  <w:szCs w:val="24"/>
                  <w:lang w:val="ru-RU"/>
                </w:rPr>
                <w:t>.</w:t>
              </w:r>
              <w:r w:rsidR="00FE0BD5" w:rsidRPr="006C3A25">
                <w:rPr>
                  <w:rStyle w:val="ac"/>
                  <w:rFonts w:ascii="Times New Roman" w:hAnsi="Times New Roman"/>
                  <w:sz w:val="24"/>
                  <w:szCs w:val="24"/>
                </w:rPr>
                <w:t>pdf</w:t>
              </w:r>
            </w:hyperlink>
          </w:p>
        </w:tc>
      </w:tr>
      <w:tr w:rsidR="006671ED" w:rsidRPr="006671ED" w:rsidTr="006671ED">
        <w:trPr>
          <w:trHeight w:val="72"/>
        </w:trPr>
        <w:tc>
          <w:tcPr>
            <w:cnfStyle w:val="001000000000" w:firstRow="0" w:lastRow="0" w:firstColumn="1" w:lastColumn="0" w:oddVBand="0" w:evenVBand="0" w:oddHBand="0" w:evenHBand="0" w:firstRowFirstColumn="0" w:firstRowLastColumn="0" w:lastRowFirstColumn="0" w:lastRowLastColumn="0"/>
            <w:tcW w:w="1088" w:type="pct"/>
          </w:tcPr>
          <w:p w:rsidR="00040034" w:rsidRPr="006671ED" w:rsidRDefault="00705161" w:rsidP="00FE0BD5">
            <w:pPr>
              <w:pStyle w:val="MText"/>
              <w:spacing w:before="40" w:after="40"/>
              <w:rPr>
                <w:rFonts w:ascii="Times New Roman" w:hAnsi="Times New Roman"/>
                <w:color w:val="000000" w:themeColor="text1"/>
                <w:sz w:val="24"/>
                <w:szCs w:val="24"/>
              </w:rPr>
            </w:pPr>
            <w:r w:rsidRPr="006671ED">
              <w:rPr>
                <w:rFonts w:ascii="Times New Roman" w:hAnsi="Times New Roman"/>
                <w:color w:val="000000" w:themeColor="text1"/>
                <w:sz w:val="24"/>
                <w:szCs w:val="24"/>
              </w:rPr>
              <w:t>Базовые услуги здравоохранения</w:t>
            </w:r>
          </w:p>
        </w:tc>
        <w:tc>
          <w:tcPr>
            <w:tcW w:w="2005" w:type="pct"/>
          </w:tcPr>
          <w:p w:rsidR="00040034" w:rsidRPr="00C54664" w:rsidRDefault="00040034" w:rsidP="00C54664">
            <w:pPr>
              <w:pStyle w:val="af2"/>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ru-RU" w:eastAsia="en-GB"/>
              </w:rPr>
            </w:pPr>
            <w:r w:rsidRPr="00C54664">
              <w:rPr>
                <w:rFonts w:ascii="Times New Roman" w:eastAsia="Times New Roman" w:hAnsi="Times New Roman" w:cs="Times New Roman"/>
                <w:color w:val="000000" w:themeColor="text1"/>
                <w:sz w:val="24"/>
                <w:szCs w:val="24"/>
                <w:lang w:val="ru-RU" w:eastAsia="en-GB"/>
              </w:rPr>
              <w:t xml:space="preserve">3.8.1 </w:t>
            </w:r>
            <w:r w:rsidR="00C54664" w:rsidRPr="00C54664">
              <w:rPr>
                <w:rFonts w:ascii="Times New Roman" w:eastAsia="Times New Roman" w:hAnsi="Times New Roman" w:cs="Times New Roman"/>
                <w:color w:val="000000" w:themeColor="text1"/>
                <w:sz w:val="24"/>
                <w:szCs w:val="24"/>
                <w:lang w:val="ru-RU" w:eastAsia="en-GB"/>
              </w:rPr>
              <w:t>Охват основными медико-санитарными</w:t>
            </w:r>
            <w:r w:rsidR="00C54664">
              <w:rPr>
                <w:rFonts w:ascii="Times New Roman" w:eastAsia="Times New Roman" w:hAnsi="Times New Roman" w:cs="Times New Roman"/>
                <w:color w:val="000000" w:themeColor="text1"/>
                <w:sz w:val="24"/>
                <w:szCs w:val="24"/>
                <w:lang w:val="ru-RU" w:eastAsia="en-GB"/>
              </w:rPr>
              <w:t xml:space="preserve"> </w:t>
            </w:r>
            <w:r w:rsidR="00C54664" w:rsidRPr="00C54664">
              <w:rPr>
                <w:rFonts w:ascii="Times New Roman" w:eastAsia="Times New Roman" w:hAnsi="Times New Roman" w:cs="Times New Roman"/>
                <w:color w:val="000000" w:themeColor="text1"/>
                <w:sz w:val="24"/>
                <w:szCs w:val="24"/>
                <w:lang w:val="ru-RU" w:eastAsia="en-GB"/>
              </w:rPr>
              <w:t>услугами</w:t>
            </w:r>
          </w:p>
        </w:tc>
        <w:tc>
          <w:tcPr>
            <w:tcW w:w="1907" w:type="pct"/>
          </w:tcPr>
          <w:p w:rsidR="00040034" w:rsidRPr="009F00ED" w:rsidRDefault="0015435D" w:rsidP="00FE0BD5">
            <w:pPr>
              <w:pStyle w:val="af2"/>
              <w:spacing w:before="40" w:after="4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val="ru-RU" w:eastAsia="en-GB"/>
              </w:rPr>
            </w:pPr>
            <w:hyperlink r:id="rId31" w:history="1">
              <w:r w:rsidR="00FE0BD5" w:rsidRPr="006C3A25">
                <w:rPr>
                  <w:rStyle w:val="ac"/>
                  <w:rFonts w:ascii="Times New Roman" w:eastAsia="Times New Roman" w:hAnsi="Times New Roman" w:cs="Times New Roman"/>
                  <w:sz w:val="24"/>
                  <w:szCs w:val="24"/>
                  <w:lang w:eastAsia="en-GB"/>
                </w:rPr>
                <w:t>https</w:t>
              </w:r>
              <w:r w:rsidR="00FE0BD5" w:rsidRPr="009F00ED">
                <w:rPr>
                  <w:rStyle w:val="ac"/>
                  <w:rFonts w:ascii="Times New Roman" w:eastAsia="Times New Roman" w:hAnsi="Times New Roman" w:cs="Times New Roman"/>
                  <w:sz w:val="24"/>
                  <w:szCs w:val="24"/>
                  <w:lang w:val="ru-RU" w:eastAsia="en-GB"/>
                </w:rPr>
                <w:t>://</w:t>
              </w:r>
              <w:proofErr w:type="spellStart"/>
              <w:r w:rsidR="00FE0BD5" w:rsidRPr="006C3A25">
                <w:rPr>
                  <w:rStyle w:val="ac"/>
                  <w:rFonts w:ascii="Times New Roman" w:eastAsia="Times New Roman" w:hAnsi="Times New Roman" w:cs="Times New Roman"/>
                  <w:sz w:val="24"/>
                  <w:szCs w:val="24"/>
                  <w:lang w:eastAsia="en-GB"/>
                </w:rPr>
                <w:t>unstats</w:t>
              </w:r>
              <w:proofErr w:type="spellEnd"/>
              <w:r w:rsidR="00FE0BD5" w:rsidRPr="009F00ED">
                <w:rPr>
                  <w:rStyle w:val="ac"/>
                  <w:rFonts w:ascii="Times New Roman" w:eastAsia="Times New Roman" w:hAnsi="Times New Roman" w:cs="Times New Roman"/>
                  <w:sz w:val="24"/>
                  <w:szCs w:val="24"/>
                  <w:lang w:val="ru-RU" w:eastAsia="en-GB"/>
                </w:rPr>
                <w:t>.</w:t>
              </w:r>
              <w:r w:rsidR="00FE0BD5" w:rsidRPr="006C3A25">
                <w:rPr>
                  <w:rStyle w:val="ac"/>
                  <w:rFonts w:ascii="Times New Roman" w:eastAsia="Times New Roman" w:hAnsi="Times New Roman" w:cs="Times New Roman"/>
                  <w:sz w:val="24"/>
                  <w:szCs w:val="24"/>
                  <w:lang w:eastAsia="en-GB"/>
                </w:rPr>
                <w:t>un</w:t>
              </w:r>
              <w:r w:rsidR="00FE0BD5" w:rsidRPr="009F00ED">
                <w:rPr>
                  <w:rStyle w:val="ac"/>
                  <w:rFonts w:ascii="Times New Roman" w:eastAsia="Times New Roman" w:hAnsi="Times New Roman" w:cs="Times New Roman"/>
                  <w:sz w:val="24"/>
                  <w:szCs w:val="24"/>
                  <w:lang w:val="ru-RU" w:eastAsia="en-GB"/>
                </w:rPr>
                <w:t>.</w:t>
              </w:r>
              <w:r w:rsidR="00FE0BD5" w:rsidRPr="006C3A25">
                <w:rPr>
                  <w:rStyle w:val="ac"/>
                  <w:rFonts w:ascii="Times New Roman" w:eastAsia="Times New Roman" w:hAnsi="Times New Roman" w:cs="Times New Roman"/>
                  <w:sz w:val="24"/>
                  <w:szCs w:val="24"/>
                  <w:lang w:eastAsia="en-GB"/>
                </w:rPr>
                <w:t>org</w:t>
              </w:r>
              <w:r w:rsidR="00FE0BD5" w:rsidRPr="009F00ED">
                <w:rPr>
                  <w:rStyle w:val="ac"/>
                  <w:rFonts w:ascii="Times New Roman" w:eastAsia="Times New Roman" w:hAnsi="Times New Roman" w:cs="Times New Roman"/>
                  <w:sz w:val="24"/>
                  <w:szCs w:val="24"/>
                  <w:lang w:val="ru-RU" w:eastAsia="en-GB"/>
                </w:rPr>
                <w:t>/</w:t>
              </w:r>
              <w:proofErr w:type="spellStart"/>
              <w:r w:rsidR="00FE0BD5" w:rsidRPr="006C3A25">
                <w:rPr>
                  <w:rStyle w:val="ac"/>
                  <w:rFonts w:ascii="Times New Roman" w:eastAsia="Times New Roman" w:hAnsi="Times New Roman" w:cs="Times New Roman"/>
                  <w:sz w:val="24"/>
                  <w:szCs w:val="24"/>
                  <w:lang w:eastAsia="en-GB"/>
                </w:rPr>
                <w:t>sdgs</w:t>
              </w:r>
              <w:proofErr w:type="spellEnd"/>
              <w:r w:rsidR="00FE0BD5" w:rsidRPr="009F00ED">
                <w:rPr>
                  <w:rStyle w:val="ac"/>
                  <w:rFonts w:ascii="Times New Roman" w:eastAsia="Times New Roman" w:hAnsi="Times New Roman" w:cs="Times New Roman"/>
                  <w:sz w:val="24"/>
                  <w:szCs w:val="24"/>
                  <w:lang w:val="ru-RU" w:eastAsia="en-GB"/>
                </w:rPr>
                <w:t>/</w:t>
              </w:r>
              <w:r w:rsidR="00FE0BD5" w:rsidRPr="006C3A25">
                <w:rPr>
                  <w:rStyle w:val="ac"/>
                  <w:rFonts w:ascii="Times New Roman" w:eastAsia="Times New Roman" w:hAnsi="Times New Roman" w:cs="Times New Roman"/>
                  <w:sz w:val="24"/>
                  <w:szCs w:val="24"/>
                  <w:lang w:eastAsia="en-GB"/>
                </w:rPr>
                <w:t>metadata</w:t>
              </w:r>
              <w:r w:rsidR="00FE0BD5" w:rsidRPr="009F00ED">
                <w:rPr>
                  <w:rStyle w:val="ac"/>
                  <w:rFonts w:ascii="Times New Roman" w:eastAsia="Times New Roman" w:hAnsi="Times New Roman" w:cs="Times New Roman"/>
                  <w:sz w:val="24"/>
                  <w:szCs w:val="24"/>
                  <w:lang w:val="ru-RU" w:eastAsia="en-GB"/>
                </w:rPr>
                <w:t>/</w:t>
              </w:r>
              <w:r w:rsidR="00FE0BD5" w:rsidRPr="006C3A25">
                <w:rPr>
                  <w:rStyle w:val="ac"/>
                  <w:rFonts w:ascii="Times New Roman" w:eastAsia="Times New Roman" w:hAnsi="Times New Roman" w:cs="Times New Roman"/>
                  <w:sz w:val="24"/>
                  <w:szCs w:val="24"/>
                  <w:lang w:eastAsia="en-GB"/>
                </w:rPr>
                <w:t>files</w:t>
              </w:r>
              <w:r w:rsidR="00FE0BD5" w:rsidRPr="009F00ED">
                <w:rPr>
                  <w:rStyle w:val="ac"/>
                  <w:rFonts w:ascii="Times New Roman" w:eastAsia="Times New Roman" w:hAnsi="Times New Roman" w:cs="Times New Roman"/>
                  <w:sz w:val="24"/>
                  <w:szCs w:val="24"/>
                  <w:lang w:val="ru-RU" w:eastAsia="en-GB"/>
                </w:rPr>
                <w:t>/</w:t>
              </w:r>
              <w:r w:rsidR="00FE0BD5" w:rsidRPr="006C3A25">
                <w:rPr>
                  <w:rStyle w:val="ac"/>
                  <w:rFonts w:ascii="Times New Roman" w:eastAsia="Times New Roman" w:hAnsi="Times New Roman" w:cs="Times New Roman"/>
                  <w:sz w:val="24"/>
                  <w:szCs w:val="24"/>
                  <w:lang w:eastAsia="en-GB"/>
                </w:rPr>
                <w:t>Metadata</w:t>
              </w:r>
              <w:r w:rsidR="00FE0BD5" w:rsidRPr="009F00ED">
                <w:rPr>
                  <w:rStyle w:val="ac"/>
                  <w:rFonts w:ascii="Times New Roman" w:eastAsia="Times New Roman" w:hAnsi="Times New Roman" w:cs="Times New Roman"/>
                  <w:sz w:val="24"/>
                  <w:szCs w:val="24"/>
                  <w:lang w:val="ru-RU" w:eastAsia="en-GB"/>
                </w:rPr>
                <w:t>-03-08-01.</w:t>
              </w:r>
              <w:r w:rsidR="00FE0BD5" w:rsidRPr="006C3A25">
                <w:rPr>
                  <w:rStyle w:val="ac"/>
                  <w:rFonts w:ascii="Times New Roman" w:eastAsia="Times New Roman" w:hAnsi="Times New Roman" w:cs="Times New Roman"/>
                  <w:sz w:val="24"/>
                  <w:szCs w:val="24"/>
                  <w:lang w:eastAsia="en-GB"/>
                </w:rPr>
                <w:t>pdf</w:t>
              </w:r>
            </w:hyperlink>
          </w:p>
        </w:tc>
      </w:tr>
    </w:tbl>
    <w:p w:rsidR="00E33CA8" w:rsidRPr="009F00ED" w:rsidRDefault="00E33CA8"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6D7049" w:rsidRPr="009F00ED" w:rsidRDefault="006D7049" w:rsidP="0075371E">
      <w:pPr>
        <w:pBdr>
          <w:top w:val="nil"/>
          <w:left w:val="nil"/>
          <w:bottom w:val="nil"/>
          <w:right w:val="nil"/>
          <w:between w:val="nil"/>
          <w:bar w:val="nil"/>
        </w:pBdr>
        <w:spacing w:after="0"/>
        <w:jc w:val="both"/>
        <w:rPr>
          <w:rFonts w:ascii="Times New Roman" w:hAnsi="Times New Roman" w:cs="Times New Roman"/>
          <w:b/>
          <w:sz w:val="24"/>
          <w:szCs w:val="24"/>
        </w:rPr>
      </w:pPr>
    </w:p>
    <w:p w:rsidR="000A210D" w:rsidRPr="009F00ED" w:rsidRDefault="000A210D" w:rsidP="0075371E">
      <w:pPr>
        <w:pBdr>
          <w:top w:val="nil"/>
          <w:left w:val="nil"/>
          <w:bottom w:val="nil"/>
          <w:right w:val="nil"/>
          <w:between w:val="nil"/>
          <w:bar w:val="nil"/>
        </w:pBdr>
        <w:spacing w:after="0"/>
        <w:jc w:val="both"/>
        <w:rPr>
          <w:rFonts w:ascii="Times New Roman" w:hAnsi="Times New Roman" w:cs="Times New Roman"/>
          <w:b/>
          <w:sz w:val="24"/>
          <w:szCs w:val="24"/>
        </w:rPr>
      </w:pPr>
    </w:p>
    <w:sectPr w:rsidR="000A210D" w:rsidRPr="009F00ED">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F7" w:rsidRDefault="00E123F7" w:rsidP="00F73DBC">
      <w:pPr>
        <w:spacing w:after="0" w:line="240" w:lineRule="auto"/>
      </w:pPr>
      <w:r>
        <w:separator/>
      </w:r>
    </w:p>
  </w:endnote>
  <w:endnote w:type="continuationSeparator" w:id="0">
    <w:p w:rsidR="00E123F7" w:rsidRDefault="00E123F7"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F7" w:rsidRDefault="00E123F7" w:rsidP="00F73DBC">
      <w:pPr>
        <w:spacing w:after="0" w:line="240" w:lineRule="auto"/>
      </w:pPr>
      <w:r>
        <w:separator/>
      </w:r>
    </w:p>
  </w:footnote>
  <w:footnote w:type="continuationSeparator" w:id="0">
    <w:p w:rsidR="00E123F7" w:rsidRDefault="00E123F7" w:rsidP="00F73DBC">
      <w:pPr>
        <w:spacing w:after="0" w:line="240" w:lineRule="auto"/>
      </w:pPr>
      <w:r>
        <w:continuationSeparator/>
      </w:r>
    </w:p>
  </w:footnote>
  <w:footnote w:id="1">
    <w:p w:rsidR="00E851B7" w:rsidRPr="00E851B7" w:rsidRDefault="00E851B7">
      <w:pPr>
        <w:pStyle w:val="a4"/>
        <w:rPr>
          <w:rFonts w:ascii="Times New Roman" w:hAnsi="Times New Roman" w:cs="Times New Roman"/>
        </w:rPr>
      </w:pPr>
      <w:r w:rsidRPr="00E851B7">
        <w:rPr>
          <w:rStyle w:val="a6"/>
          <w:rFonts w:ascii="Times New Roman" w:hAnsi="Times New Roman" w:cs="Times New Roman"/>
        </w:rPr>
        <w:footnoteRef/>
      </w:r>
      <w:r w:rsidRPr="00E851B7">
        <w:rPr>
          <w:rFonts w:ascii="Times New Roman" w:hAnsi="Times New Roman" w:cs="Times New Roman"/>
        </w:rPr>
        <w:t xml:space="preserve"> https://unstats.un.org/sdgs/metadata/files/Metadata-06-01-01.docx</w:t>
      </w:r>
    </w:p>
  </w:footnote>
  <w:footnote w:id="2">
    <w:p w:rsidR="00E851B7" w:rsidRPr="00E851B7" w:rsidRDefault="00E851B7">
      <w:pPr>
        <w:pStyle w:val="a4"/>
        <w:rPr>
          <w:rFonts w:ascii="Times New Roman" w:hAnsi="Times New Roman" w:cs="Times New Roman"/>
        </w:rPr>
      </w:pPr>
      <w:r w:rsidRPr="00E851B7">
        <w:rPr>
          <w:rStyle w:val="a6"/>
          <w:rFonts w:ascii="Times New Roman" w:hAnsi="Times New Roman" w:cs="Times New Roman"/>
        </w:rPr>
        <w:footnoteRef/>
      </w:r>
      <w:r w:rsidRPr="00E851B7">
        <w:rPr>
          <w:rFonts w:ascii="Times New Roman" w:hAnsi="Times New Roman" w:cs="Times New Roman"/>
        </w:rPr>
        <w:t xml:space="preserve"> https://unstats.un.org/sdgs/metadata/files/Metadata-06-02-01a.docx</w:t>
      </w:r>
    </w:p>
  </w:footnote>
  <w:footnote w:id="3">
    <w:p w:rsidR="00174E8C" w:rsidRPr="00174E8C" w:rsidRDefault="00174E8C">
      <w:pPr>
        <w:pStyle w:val="a4"/>
        <w:rPr>
          <w:rFonts w:ascii="Times New Roman" w:hAnsi="Times New Roman" w:cs="Times New Roman"/>
        </w:rPr>
      </w:pPr>
      <w:r w:rsidRPr="00174E8C">
        <w:rPr>
          <w:rStyle w:val="a6"/>
          <w:rFonts w:ascii="Times New Roman" w:hAnsi="Times New Roman" w:cs="Times New Roman"/>
        </w:rPr>
        <w:footnoteRef/>
      </w:r>
      <w:r w:rsidRPr="00174E8C">
        <w:rPr>
          <w:rFonts w:ascii="Times New Roman" w:hAnsi="Times New Roman" w:cs="Times New Roman"/>
        </w:rPr>
        <w:t xml:space="preserve"> https://unstats.un.org/sdgs/metadata/files/Metadata-06-02-01b.docx</w:t>
      </w:r>
    </w:p>
  </w:footnote>
  <w:footnote w:id="4">
    <w:p w:rsidR="002D232A" w:rsidRDefault="002D232A">
      <w:pPr>
        <w:pStyle w:val="a4"/>
      </w:pPr>
      <w:r>
        <w:rPr>
          <w:rStyle w:val="a6"/>
        </w:rPr>
        <w:footnoteRef/>
      </w:r>
      <w:r>
        <w:t xml:space="preserve"> </w:t>
      </w:r>
      <w:r w:rsidRPr="002D232A">
        <w:t>https://www.ssatp.org/sites/ssatp/files/publications/HTML/Gender-RG/index.html</w:t>
      </w:r>
    </w:p>
  </w:footnote>
  <w:footnote w:id="5">
    <w:p w:rsidR="002D232A" w:rsidRDefault="002D232A">
      <w:pPr>
        <w:pStyle w:val="a4"/>
      </w:pPr>
      <w:r>
        <w:rPr>
          <w:rStyle w:val="a6"/>
        </w:rPr>
        <w:footnoteRef/>
      </w:r>
      <w:r>
        <w:t xml:space="preserve"> </w:t>
      </w:r>
      <w:hyperlink r:id="rId1" w:history="1">
        <w:r w:rsidRPr="006C3A25">
          <w:rPr>
            <w:rStyle w:val="ac"/>
          </w:rPr>
          <w:t>http://www.worldbank.org/en/topic/transport/brief/connections-note-23</w:t>
        </w:r>
      </w:hyperlink>
    </w:p>
  </w:footnote>
  <w:footnote w:id="6">
    <w:p w:rsidR="009F00ED" w:rsidRPr="00873C18" w:rsidRDefault="009F00ED" w:rsidP="009F00ED">
      <w:pPr>
        <w:pStyle w:val="a4"/>
        <w:rPr>
          <w:rFonts w:ascii="Times New Roman" w:hAnsi="Times New Roman" w:cs="Times New Roman"/>
        </w:rPr>
      </w:pPr>
      <w:r w:rsidRPr="00873C18">
        <w:rPr>
          <w:rStyle w:val="a6"/>
          <w:rFonts w:ascii="Times New Roman" w:hAnsi="Times New Roman" w:cs="Times New Roman"/>
        </w:rPr>
        <w:footnoteRef/>
      </w:r>
      <w:r w:rsidRPr="00873C18">
        <w:rPr>
          <w:rFonts w:ascii="Times New Roman" w:hAnsi="Times New Roman" w:cs="Times New Roman"/>
        </w:rPr>
        <w:t xml:space="preserve"> https://unstats.un.org/sdgs/metadata/files/Metadata-11-02-01.pdf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100738" w:rsidRDefault="009508D1" w:rsidP="009508D1">
    <w:pPr>
      <w:pStyle w:val="ae"/>
      <w:jc w:val="right"/>
      <w:rPr>
        <w:rFonts w:ascii="Times New Roman" w:hAnsi="Times New Roman" w:cs="Times New Roman"/>
        <w:i/>
      </w:rPr>
    </w:pPr>
    <w:r w:rsidRPr="00100738">
      <w:rPr>
        <w:rFonts w:ascii="Times New Roman" w:hAnsi="Times New Roman" w:cs="Times New Roman"/>
        <w:i/>
      </w:rPr>
      <w:t xml:space="preserve">Неофициальный перевод </w:t>
    </w:r>
  </w:p>
  <w:p w:rsidR="009508D1" w:rsidRPr="00100738" w:rsidRDefault="009508D1" w:rsidP="009508D1">
    <w:pPr>
      <w:pStyle w:val="ae"/>
      <w:jc w:val="right"/>
      <w:rPr>
        <w:rFonts w:ascii="Times New Roman" w:hAnsi="Times New Roman" w:cs="Times New Roman"/>
      </w:rPr>
    </w:pPr>
    <w:r w:rsidRPr="00100738">
      <w:rPr>
        <w:rFonts w:ascii="Times New Roman" w:hAnsi="Times New Roman" w:cs="Times New Roman"/>
      </w:rPr>
      <w:t xml:space="preserve">Последнее обновление: </w:t>
    </w:r>
    <w:r w:rsidR="00100738">
      <w:rPr>
        <w:rFonts w:ascii="Times New Roman" w:hAnsi="Times New Roman" w:cs="Times New Roman"/>
      </w:rPr>
      <w:t xml:space="preserve">июнь </w:t>
    </w:r>
    <w:r w:rsidRPr="00100738">
      <w:rPr>
        <w:rFonts w:ascii="Times New Roman" w:hAnsi="Times New Roman" w:cs="Times New Roman"/>
      </w:rPr>
      <w:t>202</w:t>
    </w:r>
    <w:r w:rsidR="00100738">
      <w:rPr>
        <w:rFonts w:ascii="Times New Roman" w:hAnsi="Times New Roman"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344802"/>
    <w:multiLevelType w:val="hybridMultilevel"/>
    <w:tmpl w:val="ED929136"/>
    <w:lvl w:ilvl="0" w:tplc="66787EC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883D4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16F4F"/>
    <w:multiLevelType w:val="hybridMultilevel"/>
    <w:tmpl w:val="D70C8F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FAF5493"/>
    <w:multiLevelType w:val="hybridMultilevel"/>
    <w:tmpl w:val="094874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3D20"/>
    <w:rsid w:val="000A210D"/>
    <w:rsid w:val="000A229E"/>
    <w:rsid w:val="00100738"/>
    <w:rsid w:val="00116248"/>
    <w:rsid w:val="001470A2"/>
    <w:rsid w:val="00165896"/>
    <w:rsid w:val="00174E8C"/>
    <w:rsid w:val="001A163A"/>
    <w:rsid w:val="001B2240"/>
    <w:rsid w:val="001E2FC9"/>
    <w:rsid w:val="00263536"/>
    <w:rsid w:val="00291FA0"/>
    <w:rsid w:val="002C3D9A"/>
    <w:rsid w:val="002D232A"/>
    <w:rsid w:val="002E122C"/>
    <w:rsid w:val="002E15F9"/>
    <w:rsid w:val="002F21AC"/>
    <w:rsid w:val="002F63E5"/>
    <w:rsid w:val="00303D71"/>
    <w:rsid w:val="003143BC"/>
    <w:rsid w:val="003746BC"/>
    <w:rsid w:val="003D58DC"/>
    <w:rsid w:val="00407E4E"/>
    <w:rsid w:val="004143B4"/>
    <w:rsid w:val="00436099"/>
    <w:rsid w:val="00481C89"/>
    <w:rsid w:val="004E087E"/>
    <w:rsid w:val="005160FF"/>
    <w:rsid w:val="00550E6F"/>
    <w:rsid w:val="0055757C"/>
    <w:rsid w:val="005D463E"/>
    <w:rsid w:val="005E47BD"/>
    <w:rsid w:val="006671ED"/>
    <w:rsid w:val="00694160"/>
    <w:rsid w:val="006B260E"/>
    <w:rsid w:val="006B3939"/>
    <w:rsid w:val="006D7049"/>
    <w:rsid w:val="00702333"/>
    <w:rsid w:val="00705161"/>
    <w:rsid w:val="0075371E"/>
    <w:rsid w:val="00780F08"/>
    <w:rsid w:val="007B0CFD"/>
    <w:rsid w:val="007C27E0"/>
    <w:rsid w:val="007D1185"/>
    <w:rsid w:val="007F06DF"/>
    <w:rsid w:val="00836F3E"/>
    <w:rsid w:val="00853C09"/>
    <w:rsid w:val="00860981"/>
    <w:rsid w:val="00873C18"/>
    <w:rsid w:val="008E410E"/>
    <w:rsid w:val="00933545"/>
    <w:rsid w:val="00944273"/>
    <w:rsid w:val="009508D1"/>
    <w:rsid w:val="00957A62"/>
    <w:rsid w:val="00980F79"/>
    <w:rsid w:val="009C064B"/>
    <w:rsid w:val="009C54E7"/>
    <w:rsid w:val="009D69C5"/>
    <w:rsid w:val="009F00ED"/>
    <w:rsid w:val="00A27FDB"/>
    <w:rsid w:val="00A33FBB"/>
    <w:rsid w:val="00A542D5"/>
    <w:rsid w:val="00A618FC"/>
    <w:rsid w:val="00A71EC6"/>
    <w:rsid w:val="00A82CD3"/>
    <w:rsid w:val="00A91FDE"/>
    <w:rsid w:val="00AB050B"/>
    <w:rsid w:val="00AB5B07"/>
    <w:rsid w:val="00AC1A97"/>
    <w:rsid w:val="00AD429B"/>
    <w:rsid w:val="00B0378B"/>
    <w:rsid w:val="00B72F77"/>
    <w:rsid w:val="00BB62ED"/>
    <w:rsid w:val="00BD29EC"/>
    <w:rsid w:val="00BE2C5D"/>
    <w:rsid w:val="00C54664"/>
    <w:rsid w:val="00C8596F"/>
    <w:rsid w:val="00CA1CB1"/>
    <w:rsid w:val="00CD6F18"/>
    <w:rsid w:val="00D05466"/>
    <w:rsid w:val="00D23CB0"/>
    <w:rsid w:val="00D2619D"/>
    <w:rsid w:val="00D5214D"/>
    <w:rsid w:val="00D76D10"/>
    <w:rsid w:val="00DA3D37"/>
    <w:rsid w:val="00DF092F"/>
    <w:rsid w:val="00E123F7"/>
    <w:rsid w:val="00E135A4"/>
    <w:rsid w:val="00E21B43"/>
    <w:rsid w:val="00E27922"/>
    <w:rsid w:val="00E33CA8"/>
    <w:rsid w:val="00E851B7"/>
    <w:rsid w:val="00E90BD4"/>
    <w:rsid w:val="00EB389E"/>
    <w:rsid w:val="00F22B30"/>
    <w:rsid w:val="00F6371F"/>
    <w:rsid w:val="00F73DBC"/>
    <w:rsid w:val="00F84FF1"/>
    <w:rsid w:val="00F92D6F"/>
    <w:rsid w:val="00FB66D9"/>
    <w:rsid w:val="00FE0BD5"/>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dr.undp.org/sites/default/files/2021-22_HDR/hdr2021-22_technical_notes.pdf" TargetMode="External"/><Relationship Id="rId18" Type="http://schemas.openxmlformats.org/officeDocument/2006/relationships/hyperlink" Target="https://www.worldbank.org/en/topic/transport" TargetMode="External"/><Relationship Id="rId26" Type="http://schemas.openxmlformats.org/officeDocument/2006/relationships/hyperlink" Target="https://unstats.un.org/sdgs/metadata/files/Metadata-09-01-01.pdf" TargetMode="External"/><Relationship Id="rId3" Type="http://schemas.openxmlformats.org/officeDocument/2006/relationships/styles" Target="styles.xml"/><Relationship Id="rId21" Type="http://schemas.openxmlformats.org/officeDocument/2006/relationships/hyperlink" Target="https://washdata.org/monitoring/sanitat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ashdata.org/monitoring/methods" TargetMode="External"/><Relationship Id="rId17" Type="http://schemas.openxmlformats.org/officeDocument/2006/relationships/hyperlink" Target="https://www.ssatp.org/sites/ssatp/files/publications/HTML/Gender-RG/index.html" TargetMode="External"/><Relationship Id="rId25" Type="http://schemas.openxmlformats.org/officeDocument/2006/relationships/hyperlink" Target="https://unstats.un.org/sdgs/metadata/files/Metadata-11-06-01.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rints.whiterose.ac.uk/85319/9/Wilson_et_al_Supplementary_information_Wasteaware_ISWM_Benchmark_Indicators_User_Manual_FINAL.pdf" TargetMode="External"/><Relationship Id="rId20" Type="http://schemas.openxmlformats.org/officeDocument/2006/relationships/hyperlink" Target="https://unstats.un.org/sdgs/metadata/files/Metadata-06-01-01.pdf" TargetMode="External"/><Relationship Id="rId29" Type="http://schemas.openxmlformats.org/officeDocument/2006/relationships/hyperlink" Target="https://unstats.un.org/sdgs/metadata/files/Metadata-09-0C-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shdata.org/reports" TargetMode="External"/><Relationship Id="rId24" Type="http://schemas.openxmlformats.org/officeDocument/2006/relationships/hyperlink" Target="https://unstats.un.org/sdgs/metadata/files/Metadata-06-02-01b.doc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en/ITU-D/Statistics/Documents/intlcoop/sdgs/ITU-ICT-technical-information-sheets-for-the-SDG-indicators.pdf" TargetMode="External"/><Relationship Id="rId23" Type="http://schemas.openxmlformats.org/officeDocument/2006/relationships/hyperlink" Target="https://washdata.org/monitoring/hygiene" TargetMode="External"/><Relationship Id="rId28" Type="http://schemas.openxmlformats.org/officeDocument/2006/relationships/hyperlink" Target="https://unstats.un.org/sdgs/metadata/files/Metadata-07-01-02.pdf" TargetMode="External"/><Relationship Id="rId10" Type="http://schemas.openxmlformats.org/officeDocument/2006/relationships/hyperlink" Target="https://washdata.org/data" TargetMode="External"/><Relationship Id="rId19" Type="http://schemas.openxmlformats.org/officeDocument/2006/relationships/hyperlink" Target="https://washdata.org/monitoring/drinking-water" TargetMode="External"/><Relationship Id="rId31" Type="http://schemas.openxmlformats.org/officeDocument/2006/relationships/hyperlink" Target="https://unstats.un.org/sdgs/metadata/files/Metadata-03-08-01.pdf" TargetMode="External"/><Relationship Id="rId4" Type="http://schemas.microsoft.com/office/2007/relationships/stylesWithEffects" Target="stylesWithEffects.xml"/><Relationship Id="rId9" Type="http://schemas.openxmlformats.org/officeDocument/2006/relationships/hyperlink" Target="http://www.worldbank.org/en/programs/icp/brief/poverty-line" TargetMode="External"/><Relationship Id="rId14" Type="http://schemas.openxmlformats.org/officeDocument/2006/relationships/hyperlink" Target="http://www.worldbank.org/en/topic/energy/publication/energy-access-redefined" TargetMode="External"/><Relationship Id="rId22" Type="http://schemas.openxmlformats.org/officeDocument/2006/relationships/hyperlink" Target="https://unstats.un.org/sdgs/metadata/files/Metadata-06-02-01a.docx" TargetMode="External"/><Relationship Id="rId27" Type="http://schemas.openxmlformats.org/officeDocument/2006/relationships/hyperlink" Target="https://unstats.un.org/sdgs/metadata/files/Metadata-11-02-01.pdf" TargetMode="External"/><Relationship Id="rId30" Type="http://schemas.openxmlformats.org/officeDocument/2006/relationships/hyperlink" Target="https://unstats.un.org/sdgs/metadata/files/Metadata-04-01-01A.pdf"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topic/transport/brief/connections-note-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2CF8-803B-4057-A8B7-72A41B36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12</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БойкоТатьяна Евгеньевна</dc:creator>
  <cp:lastModifiedBy>Гусев Иван Евгеньевич</cp:lastModifiedBy>
  <cp:revision>66</cp:revision>
  <dcterms:created xsi:type="dcterms:W3CDTF">2021-08-05T11:18:00Z</dcterms:created>
  <dcterms:modified xsi:type="dcterms:W3CDTF">2024-08-09T07:43:00Z</dcterms:modified>
</cp:coreProperties>
</file>