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A343D5" w:rsidRDefault="003143BC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A343D5" w:rsidRDefault="003143BC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</w:t>
      </w:r>
      <w:r w:rsidR="00195569">
        <w:rPr>
          <w:rFonts w:eastAsia="Arial Unicode MS" w:cs="Times New Roman"/>
          <w:b/>
          <w:szCs w:val="24"/>
          <w:bdr w:val="nil"/>
          <w:lang w:eastAsia="ru-RU"/>
        </w:rPr>
        <w:t xml:space="preserve"> метаданных - версия формата 1.</w:t>
      </w:r>
      <w:r w:rsidR="00195569" w:rsidRPr="00195569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A343D5" w:rsidRDefault="003143BC" w:rsidP="00FE1B93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A343D5" w:rsidRDefault="003143BC" w:rsidP="00FE1B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A343D5" w:rsidRDefault="00780F08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  <w:rPr>
          <w:rFonts w:eastAsia="Arial Unicode MS" w:cs="Times New Roman"/>
          <w:szCs w:val="24"/>
          <w:bdr w:val="nil"/>
          <w:lang w:eastAsia="ru-RU"/>
        </w:rPr>
      </w:pPr>
      <w:r w:rsidRPr="00A343D5"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C95868">
        <w:rPr>
          <w:rFonts w:eastAsia="Arial Unicode MS" w:cs="Times New Roman"/>
          <w:szCs w:val="24"/>
          <w:bdr w:val="nil"/>
          <w:lang w:eastAsia="ru-RU"/>
        </w:rPr>
        <w:t>4</w:t>
      </w:r>
      <w:r w:rsidRPr="00A343D5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C95868" w:rsidRPr="00C95868">
        <w:rPr>
          <w:rFonts w:eastAsia="Arial Unicode MS" w:cs="Times New Roman"/>
          <w:szCs w:val="24"/>
          <w:bdr w:val="nil"/>
          <w:lang w:eastAsia="ru-RU"/>
        </w:rPr>
        <w:t>Обеспечение всестороннего и справедливого качественного образования и расширение возможностей обучения на протяжении всей жизни для всех</w:t>
      </w:r>
    </w:p>
    <w:p w:rsidR="003143BC" w:rsidRPr="00A343D5" w:rsidRDefault="003143BC" w:rsidP="00FE1B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4439E8" w:rsidRDefault="00C95868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</w:pPr>
      <w:r>
        <w:rPr>
          <w:rFonts w:cs="Times New Roman"/>
          <w:szCs w:val="24"/>
        </w:rPr>
        <w:t>4</w:t>
      </w:r>
      <w:r w:rsidR="00780F08" w:rsidRPr="00A343D5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2</w:t>
      </w:r>
      <w:r w:rsidR="00780F08" w:rsidRPr="00A343D5">
        <w:rPr>
          <w:rFonts w:cs="Times New Roman"/>
          <w:szCs w:val="24"/>
        </w:rPr>
        <w:t xml:space="preserve">.  </w:t>
      </w:r>
      <w:r w:rsidR="004439E8">
        <w:t xml:space="preserve">К 2030 году обеспечить всем девочкам и мальчикам доступ к качественным системам развития, ухода и дошкольного обучения детей младшего возраста, с </w:t>
      </w:r>
      <w:proofErr w:type="gramStart"/>
      <w:r w:rsidR="004439E8">
        <w:t>тем</w:t>
      </w:r>
      <w:proofErr w:type="gramEnd"/>
      <w:r w:rsidR="004439E8">
        <w:t xml:space="preserve"> чтобы они были готовы к получению начального образования</w:t>
      </w:r>
    </w:p>
    <w:p w:rsidR="003143BC" w:rsidRPr="00A343D5" w:rsidRDefault="003143BC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4439E8" w:rsidRDefault="004439E8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</w:pPr>
      <w:r>
        <w:t>Доля детей в возрасте от 24 до 59 месяцев, развивающихся без отклонений в плане здоровья, обучения и психосоциального благополучия, в разбивке по полу</w:t>
      </w:r>
    </w:p>
    <w:p w:rsidR="003143BC" w:rsidRDefault="003143BC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A41B68" w:rsidRPr="00A343D5">
        <w:rPr>
          <w:rFonts w:eastAsia="Arial Unicode MS" w:cs="Times New Roman"/>
          <w:b/>
          <w:szCs w:val="24"/>
          <w:bdr w:val="nil"/>
          <w:lang w:eastAsia="ru-RU"/>
        </w:rPr>
        <w:t>Ряд</w:t>
      </w:r>
      <w:r w:rsidR="00704A8D"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 данных</w:t>
      </w:r>
    </w:p>
    <w:p w:rsidR="00195569" w:rsidRPr="000C3DC0" w:rsidRDefault="000C3DC0" w:rsidP="00FE1B93">
      <w:pPr>
        <w:pStyle w:val="a0"/>
        <w:spacing w:before="40" w:after="40" w:line="276" w:lineRule="auto"/>
        <w:rPr>
          <w:lang w:eastAsia="ru-RU"/>
        </w:rPr>
      </w:pPr>
      <w:r w:rsidRPr="000C3DC0">
        <w:t xml:space="preserve">SE_DEV_ONTRK </w:t>
      </w:r>
      <w:r>
        <w:t xml:space="preserve">– </w:t>
      </w:r>
      <w:r w:rsidR="004439E8">
        <w:t xml:space="preserve">Доля детей в возрасте от 24 до 59 месяцев, развивающихся без отклонений в </w:t>
      </w:r>
      <w:r w:rsidR="004439E8" w:rsidRPr="004439E8">
        <w:t>как минимум тре</w:t>
      </w:r>
      <w:r w:rsidR="004439E8">
        <w:t>х</w:t>
      </w:r>
      <w:r w:rsidR="004439E8" w:rsidRPr="004439E8">
        <w:t xml:space="preserve"> из следующих областей: </w:t>
      </w:r>
      <w:r w:rsidR="004439E8">
        <w:t>навыки грамотности и счета</w:t>
      </w:r>
      <w:r w:rsidR="004439E8" w:rsidRPr="004439E8">
        <w:t>, физическое развитие, социально-эмоциональное развитие и обучение</w:t>
      </w:r>
      <w:r>
        <w:t xml:space="preserve"> </w:t>
      </w:r>
      <w:r w:rsidRPr="000C3DC0">
        <w:t>[4.2.1]</w:t>
      </w:r>
    </w:p>
    <w:p w:rsidR="00C8596F" w:rsidRPr="00A343D5" w:rsidRDefault="00C8596F" w:rsidP="00FE1B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C8596F" w:rsidRPr="00A343D5" w:rsidRDefault="00B140AF" w:rsidP="00FE1B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>28.03.2024</w:t>
      </w:r>
    </w:p>
    <w:p w:rsidR="00C8596F" w:rsidRPr="00A343D5" w:rsidRDefault="00C8596F" w:rsidP="00FE1B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rPr>
          <w:rFonts w:eastAsia="Arial Unicode MS" w:cs="Times New Roman"/>
          <w:b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 xml:space="preserve">. Связанные показатели </w:t>
      </w:r>
    </w:p>
    <w:p w:rsidR="00EE3BB4" w:rsidRDefault="0094218F" w:rsidP="00FE1B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rPr>
          <w:rFonts w:eastAsia="Arial Unicode MS" w:cs="Times New Roman"/>
          <w:szCs w:val="24"/>
          <w:bdr w:val="nil"/>
          <w:lang w:eastAsia="ru-RU"/>
        </w:rPr>
      </w:pPr>
      <w:r>
        <w:rPr>
          <w:rFonts w:eastAsia="Arial Unicode MS" w:cs="Times New Roman"/>
          <w:szCs w:val="24"/>
          <w:bdr w:val="nil"/>
          <w:lang w:eastAsia="ru-RU"/>
        </w:rPr>
        <w:t xml:space="preserve">Показатель </w:t>
      </w:r>
      <w:r w:rsidRPr="0094218F">
        <w:rPr>
          <w:rFonts w:eastAsia="Arial Unicode MS" w:cs="Times New Roman"/>
          <w:szCs w:val="24"/>
          <w:bdr w:val="nil"/>
          <w:lang w:eastAsia="ru-RU"/>
        </w:rPr>
        <w:t>4.2.2 Уровень участия в организованных видах обучения (за один год до достижения официального возраста поступления в школу) в разбивке по полу</w:t>
      </w:r>
    </w:p>
    <w:p w:rsidR="00A91FDE" w:rsidRPr="008501F4" w:rsidRDefault="00E33CA8" w:rsidP="00FE1B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before="40" w:after="40"/>
        <w:rPr>
          <w:rFonts w:eastAsia="Arial Unicode MS" w:cs="Times New Roman"/>
          <w:szCs w:val="24"/>
          <w:bdr w:val="nil"/>
          <w:lang w:eastAsia="ru-RU"/>
        </w:rPr>
      </w:pPr>
      <w:r w:rsidRPr="00A343D5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A343D5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A343D5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A41B68" w:rsidRDefault="00120E95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before="40" w:after="40"/>
        <w:rPr>
          <w:rFonts w:cs="Times New Roman"/>
          <w:szCs w:val="24"/>
        </w:rPr>
      </w:pPr>
      <w:r w:rsidRPr="00120E95">
        <w:rPr>
          <w:rFonts w:cs="Times New Roman"/>
          <w:szCs w:val="24"/>
        </w:rPr>
        <w:t>Детский фонд Организации Объединенных Наций (ЮНИСЕФ)</w:t>
      </w:r>
    </w:p>
    <w:p w:rsidR="00120E95" w:rsidRPr="00120E95" w:rsidRDefault="00120E95" w:rsidP="00FE1B93">
      <w:pPr>
        <w:pStyle w:val="a0"/>
        <w:spacing w:line="276" w:lineRule="auto"/>
      </w:pPr>
    </w:p>
    <w:p w:rsidR="00957A62" w:rsidRPr="00162B33" w:rsidRDefault="00957A62" w:rsidP="00FE1B93">
      <w:pPr>
        <w:pStyle w:val="MHeader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162B33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162B33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162B33" w:rsidRPr="00162B33" w:rsidRDefault="00957A62" w:rsidP="00FE1B93">
      <w:r w:rsidRPr="00162B33">
        <w:t>1.a. Организация</w:t>
      </w:r>
    </w:p>
    <w:p w:rsidR="00162B33" w:rsidRPr="00162B33" w:rsidRDefault="00162B33" w:rsidP="00FE1B93">
      <w:r w:rsidRPr="00162B33">
        <w:t>Детский фонд Организации Объединенных Наций (ЮНИСЕФ)</w:t>
      </w:r>
    </w:p>
    <w:p w:rsidR="00957A62" w:rsidRPr="00A343D5" w:rsidRDefault="00957A62" w:rsidP="00FE1B93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 xml:space="preserve">2. Определения, </w:t>
      </w:r>
      <w:r w:rsidR="00A41B68" w:rsidRPr="00A343D5">
        <w:rPr>
          <w:b/>
          <w:color w:val="auto"/>
          <w:sz w:val="24"/>
          <w:szCs w:val="24"/>
          <w:lang w:val="ru-RU"/>
        </w:rPr>
        <w:t>понятия</w:t>
      </w:r>
      <w:r w:rsidRPr="00A343D5">
        <w:rPr>
          <w:b/>
          <w:color w:val="auto"/>
          <w:sz w:val="24"/>
          <w:szCs w:val="24"/>
          <w:lang w:val="ru-RU"/>
        </w:rPr>
        <w:t xml:space="preserve"> и классификации</w:t>
      </w:r>
    </w:p>
    <w:p w:rsidR="00A41B68" w:rsidRPr="00A343D5" w:rsidRDefault="00957A62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Определения и </w:t>
      </w:r>
      <w:r w:rsidR="00A41B68" w:rsidRPr="00A343D5">
        <w:rPr>
          <w:color w:val="auto"/>
          <w:sz w:val="24"/>
          <w:szCs w:val="24"/>
          <w:lang w:val="ru-RU"/>
        </w:rPr>
        <w:t>понятия</w:t>
      </w:r>
    </w:p>
    <w:p w:rsidR="00A41B68" w:rsidRPr="00006140" w:rsidRDefault="00006140" w:rsidP="00FE1B93">
      <w:pPr>
        <w:rPr>
          <w:b/>
        </w:rPr>
      </w:pPr>
      <w:r w:rsidRPr="00006140">
        <w:rPr>
          <w:b/>
        </w:rPr>
        <w:t>Определения</w:t>
      </w:r>
      <w:r w:rsidR="000C3DC0">
        <w:rPr>
          <w:b/>
        </w:rPr>
        <w:t>:</w:t>
      </w:r>
    </w:p>
    <w:p w:rsidR="00FA09D2" w:rsidRDefault="00FA09D2" w:rsidP="00FE1B93">
      <w:pPr>
        <w:rPr>
          <w:rFonts w:eastAsia="Times New Roman"/>
          <w:b/>
          <w:bCs/>
          <w:szCs w:val="21"/>
          <w:lang w:eastAsia="en-GB"/>
        </w:rPr>
      </w:pPr>
      <w:r>
        <w:t>Доля детей в возрасте от 24 до 59 месяцев, развивающихся без отклонений в плане здоровья, обучения и психосоциального благополучия</w:t>
      </w:r>
      <w:r>
        <w:rPr>
          <w:rFonts w:eastAsia="Times New Roman"/>
          <w:b/>
          <w:bCs/>
          <w:szCs w:val="21"/>
          <w:lang w:eastAsia="en-GB"/>
        </w:rPr>
        <w:t>.</w:t>
      </w:r>
    </w:p>
    <w:p w:rsidR="00FA09D2" w:rsidRDefault="00FA09D2" w:rsidP="00FE1B93">
      <w:pPr>
        <w:rPr>
          <w:rFonts w:eastAsia="Times New Roman"/>
          <w:b/>
          <w:bCs/>
          <w:szCs w:val="21"/>
          <w:lang w:eastAsia="en-GB"/>
        </w:rPr>
      </w:pPr>
    </w:p>
    <w:p w:rsidR="00397764" w:rsidRPr="000C3DC0" w:rsidRDefault="0078726E" w:rsidP="00FE1B93">
      <w:pPr>
        <w:rPr>
          <w:rFonts w:eastAsia="Times New Roman"/>
          <w:b/>
          <w:bCs/>
          <w:szCs w:val="21"/>
          <w:lang w:eastAsia="en-GB"/>
        </w:rPr>
      </w:pPr>
      <w:r w:rsidRPr="00006140">
        <w:rPr>
          <w:rFonts w:eastAsia="Times New Roman"/>
          <w:b/>
          <w:bCs/>
          <w:szCs w:val="21"/>
          <w:lang w:eastAsia="en-GB"/>
        </w:rPr>
        <w:t>Понятия</w:t>
      </w:r>
      <w:r w:rsidR="000C3DC0">
        <w:rPr>
          <w:rFonts w:eastAsia="Times New Roman"/>
          <w:b/>
          <w:bCs/>
          <w:szCs w:val="21"/>
          <w:lang w:eastAsia="en-GB"/>
        </w:rPr>
        <w:t>:</w:t>
      </w:r>
    </w:p>
    <w:p w:rsidR="00162B33" w:rsidRPr="00162B33" w:rsidRDefault="00162B33" w:rsidP="00FE1B93">
      <w:pPr>
        <w:rPr>
          <w:szCs w:val="24"/>
        </w:rPr>
      </w:pPr>
      <w:r>
        <w:rPr>
          <w:szCs w:val="24"/>
        </w:rPr>
        <w:t>Компоненты</w:t>
      </w:r>
      <w:r w:rsidRPr="00162B33">
        <w:rPr>
          <w:szCs w:val="24"/>
        </w:rPr>
        <w:t xml:space="preserve">, включенные в индикатор для показателя 4.2.1 ЦУР, включают следующие </w:t>
      </w:r>
      <w:r>
        <w:rPr>
          <w:szCs w:val="24"/>
        </w:rPr>
        <w:t>понятия</w:t>
      </w:r>
      <w:r w:rsidRPr="00162B33">
        <w:rPr>
          <w:szCs w:val="24"/>
        </w:rPr>
        <w:t>:</w:t>
      </w:r>
    </w:p>
    <w:p w:rsidR="00162B33" w:rsidRPr="00FA09D2" w:rsidRDefault="00162B33" w:rsidP="00FE1B93">
      <w:pPr>
        <w:pStyle w:val="ac"/>
        <w:numPr>
          <w:ilvl w:val="0"/>
          <w:numId w:val="43"/>
        </w:numPr>
        <w:rPr>
          <w:szCs w:val="24"/>
        </w:rPr>
      </w:pPr>
      <w:r w:rsidRPr="00FE1B93">
        <w:rPr>
          <w:b/>
          <w:szCs w:val="24"/>
        </w:rPr>
        <w:t>Здоровье:</w:t>
      </w:r>
      <w:r w:rsidRPr="00FA09D2">
        <w:rPr>
          <w:szCs w:val="24"/>
        </w:rPr>
        <w:t xml:space="preserve"> развитие крупной моторики, развитие мелкой моторики и забота о себе.</w:t>
      </w:r>
    </w:p>
    <w:p w:rsidR="00162B33" w:rsidRPr="00FA09D2" w:rsidRDefault="00162B33" w:rsidP="00FE1B93">
      <w:pPr>
        <w:pStyle w:val="ac"/>
        <w:numPr>
          <w:ilvl w:val="0"/>
          <w:numId w:val="43"/>
        </w:numPr>
        <w:rPr>
          <w:szCs w:val="24"/>
        </w:rPr>
      </w:pPr>
      <w:r w:rsidRPr="00FE1B93">
        <w:rPr>
          <w:b/>
          <w:szCs w:val="24"/>
        </w:rPr>
        <w:lastRenderedPageBreak/>
        <w:t>Обучение:</w:t>
      </w:r>
      <w:r w:rsidRPr="00FA09D2">
        <w:rPr>
          <w:szCs w:val="24"/>
        </w:rPr>
        <w:t xml:space="preserve"> экспрессивные языковые навыки, грамотность, счет, подготовка к письму и способность выполнять исполнительные функции.</w:t>
      </w:r>
    </w:p>
    <w:p w:rsidR="00162B33" w:rsidRPr="00FA09D2" w:rsidRDefault="00162B33" w:rsidP="00FE1B93">
      <w:pPr>
        <w:pStyle w:val="ac"/>
        <w:numPr>
          <w:ilvl w:val="0"/>
          <w:numId w:val="43"/>
        </w:numPr>
        <w:rPr>
          <w:szCs w:val="24"/>
        </w:rPr>
      </w:pPr>
      <w:r w:rsidRPr="00FE1B93">
        <w:rPr>
          <w:b/>
          <w:szCs w:val="24"/>
        </w:rPr>
        <w:t>Психосоциальное благополучие:</w:t>
      </w:r>
      <w:r w:rsidRPr="00FA09D2">
        <w:rPr>
          <w:szCs w:val="24"/>
        </w:rPr>
        <w:t xml:space="preserve"> эмоциональные навыки, социальные навыки, </w:t>
      </w:r>
      <w:proofErr w:type="spellStart"/>
      <w:r w:rsidRPr="00FA09D2">
        <w:rPr>
          <w:szCs w:val="24"/>
        </w:rPr>
        <w:t>интернализирующее</w:t>
      </w:r>
      <w:proofErr w:type="spellEnd"/>
      <w:r w:rsidRPr="00FA09D2">
        <w:rPr>
          <w:szCs w:val="24"/>
        </w:rPr>
        <w:t xml:space="preserve"> и </w:t>
      </w:r>
      <w:proofErr w:type="spellStart"/>
      <w:r w:rsidRPr="00FA09D2">
        <w:rPr>
          <w:szCs w:val="24"/>
        </w:rPr>
        <w:t>экстернализирующее</w:t>
      </w:r>
      <w:proofErr w:type="spellEnd"/>
      <w:r w:rsidRPr="00FA09D2">
        <w:rPr>
          <w:szCs w:val="24"/>
        </w:rPr>
        <w:t xml:space="preserve"> поведение.</w:t>
      </w:r>
    </w:p>
    <w:p w:rsidR="00162B33" w:rsidRPr="00162B33" w:rsidRDefault="00162B33" w:rsidP="00FE1B93">
      <w:pPr>
        <w:rPr>
          <w:szCs w:val="24"/>
        </w:rPr>
      </w:pPr>
    </w:p>
    <w:p w:rsidR="00162B33" w:rsidRPr="00162B33" w:rsidRDefault="00162B33" w:rsidP="00FE1B93">
      <w:pPr>
        <w:rPr>
          <w:szCs w:val="24"/>
        </w:rPr>
      </w:pPr>
      <w:r w:rsidRPr="00162B33">
        <w:rPr>
          <w:szCs w:val="24"/>
        </w:rPr>
        <w:t>Рекомендуемым показателем для достижения ЦУР 4.2.1 является Индекс развития детей младшего возраста до 2030 года (ECDI2030), который представляет собой инструмент из 20 пунктов для измерения результатов развития детей в возрасте от 24 до 59 месяцев в обследованиях населения. Индикатор, полученный из ECDI2030, представляет собой долю детей в возрасте от 24 до 59 месяцев, которые достигли минимального количества этапов, ожидаемых для их возрастной группы, определяемого следующим образом:</w:t>
      </w:r>
    </w:p>
    <w:p w:rsidR="00162B33" w:rsidRPr="00D062FA" w:rsidRDefault="00162B33" w:rsidP="00FE1B93">
      <w:pPr>
        <w:pStyle w:val="ac"/>
        <w:numPr>
          <w:ilvl w:val="0"/>
          <w:numId w:val="47"/>
        </w:numPr>
        <w:rPr>
          <w:szCs w:val="24"/>
        </w:rPr>
      </w:pPr>
      <w:r w:rsidRPr="00D062FA">
        <w:rPr>
          <w:szCs w:val="24"/>
        </w:rPr>
        <w:t>Дети в возрасте от 24 до 29 месяцев классифицируются как находящиеся на правильном пути развития, если они достигли не менее 7 этапов;</w:t>
      </w:r>
    </w:p>
    <w:p w:rsidR="00162B33" w:rsidRPr="00D062FA" w:rsidRDefault="00162B33" w:rsidP="00FE1B93">
      <w:pPr>
        <w:pStyle w:val="ac"/>
        <w:numPr>
          <w:ilvl w:val="0"/>
          <w:numId w:val="47"/>
        </w:numPr>
        <w:rPr>
          <w:szCs w:val="24"/>
        </w:rPr>
      </w:pPr>
      <w:r w:rsidRPr="00D062FA">
        <w:rPr>
          <w:szCs w:val="24"/>
        </w:rPr>
        <w:t>Дети в возрасте от 30 до 35 месяцев классифицируются как находящиеся на правильном пути развития, если они достигли не менее 9 этапов;</w:t>
      </w:r>
    </w:p>
    <w:p w:rsidR="00162B33" w:rsidRPr="00D062FA" w:rsidRDefault="00162B33" w:rsidP="00FE1B93">
      <w:pPr>
        <w:pStyle w:val="ac"/>
        <w:numPr>
          <w:ilvl w:val="0"/>
          <w:numId w:val="47"/>
        </w:numPr>
        <w:rPr>
          <w:szCs w:val="24"/>
        </w:rPr>
      </w:pPr>
      <w:r w:rsidRPr="00D062FA">
        <w:rPr>
          <w:szCs w:val="24"/>
        </w:rPr>
        <w:t>Дети в возрасте от 36 до 41 месяца классифицируются как находящиеся на правильном пути развития, если они достигли не менее 11 этапов развития;</w:t>
      </w:r>
    </w:p>
    <w:p w:rsidR="00162B33" w:rsidRPr="00D062FA" w:rsidRDefault="00162B33" w:rsidP="00FE1B93">
      <w:pPr>
        <w:pStyle w:val="ac"/>
        <w:numPr>
          <w:ilvl w:val="0"/>
          <w:numId w:val="47"/>
        </w:numPr>
        <w:rPr>
          <w:szCs w:val="24"/>
        </w:rPr>
      </w:pPr>
      <w:r w:rsidRPr="00D062FA">
        <w:rPr>
          <w:szCs w:val="24"/>
        </w:rPr>
        <w:t>Дети в возрасте от 42 до 47 месяцев классифицируются как находящиеся на правильном пути развития, если они достигли не менее 13 этапов;</w:t>
      </w:r>
    </w:p>
    <w:p w:rsidR="00162B33" w:rsidRDefault="00162B33" w:rsidP="00FE1B93">
      <w:pPr>
        <w:pStyle w:val="ac"/>
        <w:numPr>
          <w:ilvl w:val="0"/>
          <w:numId w:val="47"/>
        </w:numPr>
        <w:rPr>
          <w:szCs w:val="24"/>
        </w:rPr>
      </w:pPr>
      <w:r w:rsidRPr="00D062FA">
        <w:rPr>
          <w:szCs w:val="24"/>
        </w:rPr>
        <w:t>Дети в возрасте от 48 до 59 месяцев классифицируются как находящиеся на правильном пути развития, если они достигли не менее 15 этапов.</w:t>
      </w:r>
    </w:p>
    <w:p w:rsidR="00D062FA" w:rsidRPr="00D062FA" w:rsidRDefault="00D062FA" w:rsidP="00FE1B93">
      <w:pPr>
        <w:pStyle w:val="ac"/>
        <w:rPr>
          <w:szCs w:val="24"/>
        </w:rPr>
      </w:pPr>
    </w:p>
    <w:p w:rsidR="00407E4E" w:rsidRPr="00A343D5" w:rsidRDefault="00407E4E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Единица измерения</w:t>
      </w:r>
    </w:p>
    <w:p w:rsidR="00964BE9" w:rsidRPr="00A343D5" w:rsidRDefault="00EA489E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Процент</w:t>
      </w:r>
      <w:proofErr w:type="gramStart"/>
      <w:r>
        <w:rPr>
          <w:rFonts w:eastAsia="Times New Roman" w:cs="Times New Roman"/>
          <w:szCs w:val="24"/>
          <w:lang w:eastAsia="en-GB"/>
        </w:rPr>
        <w:t xml:space="preserve"> (%)</w:t>
      </w:r>
      <w:proofErr w:type="gramEnd"/>
    </w:p>
    <w:p w:rsidR="00FE53A5" w:rsidRPr="00A343D5" w:rsidRDefault="00FE53A5" w:rsidP="00FE1B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0A229E" w:rsidRPr="00A343D5" w:rsidRDefault="000A229E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2.</w:t>
      </w:r>
      <w:r w:rsidRPr="00A343D5">
        <w:rPr>
          <w:color w:val="auto"/>
          <w:sz w:val="24"/>
          <w:szCs w:val="24"/>
        </w:rPr>
        <w:t>c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Классификации</w:t>
      </w:r>
    </w:p>
    <w:p w:rsidR="00006140" w:rsidRDefault="00EA489E" w:rsidP="00FE1B93">
      <w:pPr>
        <w:pStyle w:val="MTex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</w:p>
    <w:p w:rsidR="00EA489E" w:rsidRPr="00A343D5" w:rsidRDefault="00EA489E" w:rsidP="00FE1B93">
      <w:pPr>
        <w:pStyle w:val="MText"/>
        <w:rPr>
          <w:color w:val="auto"/>
          <w:sz w:val="24"/>
          <w:szCs w:val="24"/>
          <w:lang w:val="ru-RU"/>
        </w:rPr>
      </w:pPr>
    </w:p>
    <w:p w:rsidR="000A229E" w:rsidRPr="00A343D5" w:rsidRDefault="000A229E" w:rsidP="00FE1B93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FE1B9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Источники данных</w:t>
      </w:r>
    </w:p>
    <w:p w:rsidR="0078233F" w:rsidRPr="0078233F" w:rsidRDefault="0078233F" w:rsidP="00FE1B93">
      <w:r w:rsidRPr="0078233F">
        <w:t xml:space="preserve">В 2015 году ЮНИСЕФ </w:t>
      </w:r>
      <w:r>
        <w:t>запустил</w:t>
      </w:r>
      <w:r w:rsidRPr="0078233F">
        <w:t xml:space="preserve"> процесс методологической разработки, который включал обширные консультации с экспертами, партнерскими агентствами и национальными статистическими органами. В</w:t>
      </w:r>
      <w:r>
        <w:t xml:space="preserve"> течение следующих пяти лет был выполнен</w:t>
      </w:r>
      <w:r w:rsidRPr="0078233F">
        <w:t xml:space="preserve"> </w:t>
      </w:r>
      <w:r>
        <w:t>ряд</w:t>
      </w:r>
      <w:r w:rsidRPr="0078233F">
        <w:t xml:space="preserve"> тщательно спланированных технических шагов, включающих как качественные, так и количественные методы для определения лучших элементов для измерения показателя 4.2.1. Этот процесс привел к разработке ECDI2030.</w:t>
      </w:r>
    </w:p>
    <w:p w:rsidR="0078233F" w:rsidRDefault="0078233F" w:rsidP="00FE1B93">
      <w:r w:rsidRPr="0078233F">
        <w:t xml:space="preserve">ECDI2030 удовлетворяет потребность в национальных репрезентативных и сопоставимых на международном уровне данных о развитии детей в раннем возрасте, собранных стандартизованным способом. Он фиксирует достижение детьми в возрасте от 24 до 59 месяцев основных этапов развития. Матерям или опекунам задают 20 вопросов о том, как </w:t>
      </w:r>
      <w:r w:rsidRPr="0078233F">
        <w:lastRenderedPageBreak/>
        <w:t>их дети ведут себя в определенных повседневных ситуациях, а также о приобретенных ими навыках и зн</w:t>
      </w:r>
      <w:r>
        <w:t>аниях.</w:t>
      </w:r>
    </w:p>
    <w:p w:rsidR="00EA489E" w:rsidRDefault="00EA489E" w:rsidP="00FE1B93">
      <w:pPr>
        <w:pStyle w:val="a0"/>
        <w:spacing w:line="276" w:lineRule="auto"/>
      </w:pPr>
      <w:r>
        <w:t xml:space="preserve">ECDI2030 может быть </w:t>
      </w:r>
      <w:proofErr w:type="gramStart"/>
      <w:r>
        <w:t>интегрирован</w:t>
      </w:r>
      <w:proofErr w:type="gramEnd"/>
      <w:r>
        <w:t xml:space="preserve"> в существующие национальные усилия по сбору данных, включая международные программы обследований домохозяйств, такие как поддерживаемые ЮНИСЕФ кластерные исследования по множественным показателям (MICS) и демографические и медицинские обследования (DHS).</w:t>
      </w:r>
    </w:p>
    <w:p w:rsidR="00EA489E" w:rsidRDefault="00EA489E" w:rsidP="00FE1B93">
      <w:pPr>
        <w:pStyle w:val="a0"/>
        <w:spacing w:line="276" w:lineRule="auto"/>
      </w:pPr>
    </w:p>
    <w:p w:rsidR="00EA489E" w:rsidRDefault="00EA489E" w:rsidP="00FE1B93">
      <w:pPr>
        <w:pStyle w:val="a0"/>
        <w:spacing w:line="276" w:lineRule="auto"/>
      </w:pPr>
      <w:r>
        <w:t>ECDI2030 призван заменить Индекс развития детей раннего возраста (или ECDI), который собирает данные по прокси-показателю для ЦУР 4.2.1, который используется с 2015 года. Бывший ECDI и новый ECDI2030 ориентированы на разные возрастные группы и измеряют немного разные показатели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бласти развития. Таким образом, показатели, полученные с помощью обоих инструментов, могут быть не полностью сопоставимы, и при интерпретации оценок, полученных с помощью этих двух показателей, необходима осторожность.</w:t>
      </w:r>
    </w:p>
    <w:p w:rsidR="00EA489E" w:rsidRPr="00EA489E" w:rsidRDefault="00EA489E" w:rsidP="00FE1B93">
      <w:pPr>
        <w:pStyle w:val="a0"/>
        <w:spacing w:line="276" w:lineRule="auto"/>
      </w:pPr>
    </w:p>
    <w:p w:rsidR="00995788" w:rsidRPr="00A343D5" w:rsidRDefault="000A229E" w:rsidP="00FE1B9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Метод сбора данных</w:t>
      </w:r>
    </w:p>
    <w:p w:rsidR="005F5D78" w:rsidRPr="005F5D78" w:rsidRDefault="005F5D78" w:rsidP="00FE1B93">
      <w:r w:rsidRPr="005F5D78">
        <w:t xml:space="preserve">ЮНИСЕФ </w:t>
      </w:r>
      <w:r>
        <w:t>о</w:t>
      </w:r>
      <w:r w:rsidR="007C6471">
        <w:t>существляет</w:t>
      </w:r>
      <w:r w:rsidRPr="005F5D78">
        <w:t xml:space="preserve"> </w:t>
      </w:r>
      <w:r>
        <w:t>обширный</w:t>
      </w:r>
      <w:r w:rsidRPr="005F5D78">
        <w:t xml:space="preserve"> консультативный процесс по сбору и оценке данных из национальных источников в целях обновления своих глобальных баз данных о положении детей. Вплоть до 2017 года механизм, который ЮНИСЕФ использовал для сотрудничества с национальными властями по обеспечению качества данных и международной сопоставимости ключевых показателей, актуальных для детей, назывался «Отчетность страновых данных по показателям достижения целей» (CRING).</w:t>
      </w:r>
    </w:p>
    <w:p w:rsidR="005F5D78" w:rsidRDefault="007C6471" w:rsidP="00FE1B93">
      <w:r w:rsidRPr="00C909FE">
        <w:t>В</w:t>
      </w:r>
      <w:r w:rsidR="005F5D78" w:rsidRPr="00C909FE">
        <w:t xml:space="preserve"> 2018 год</w:t>
      </w:r>
      <w:r w:rsidRPr="00C909FE">
        <w:t>у</w:t>
      </w:r>
      <w:r w:rsidR="005F5D78" w:rsidRPr="00C909FE">
        <w:t xml:space="preserve"> ЮНИСЕФ </w:t>
      </w:r>
      <w:r w:rsidRPr="00C909FE">
        <w:t>запустил</w:t>
      </w:r>
      <w:r w:rsidR="005F5D78" w:rsidRPr="00C909FE">
        <w:t xml:space="preserve"> новый процесс страновых консультаций с национальными властями по отдельным глобальным показ</w:t>
      </w:r>
      <w:r w:rsidR="00C909FE" w:rsidRPr="00C909FE">
        <w:t>ателям ЦУР, связанны</w:t>
      </w:r>
      <w:r w:rsidR="00C909FE">
        <w:t>х с детьми с целью достижения</w:t>
      </w:r>
      <w:r w:rsidR="005F5D78" w:rsidRPr="00C909FE">
        <w:t xml:space="preserve"> соответств</w:t>
      </w:r>
      <w:r w:rsidR="00C909FE">
        <w:t>ия с</w:t>
      </w:r>
      <w:r w:rsidR="005F5D78" w:rsidRPr="00C909FE">
        <w:t xml:space="preserve"> новым</w:t>
      </w:r>
      <w:r w:rsidR="00C909FE">
        <w:t>и</w:t>
      </w:r>
      <w:r w:rsidR="005F5D78" w:rsidRPr="00C909FE">
        <w:t xml:space="preserve"> стандартам</w:t>
      </w:r>
      <w:r w:rsidR="00C909FE">
        <w:t>и</w:t>
      </w:r>
      <w:r w:rsidR="005F5D78" w:rsidRPr="00C909FE">
        <w:t xml:space="preserve"> и руководящим</w:t>
      </w:r>
      <w:r w:rsidR="00C909FE">
        <w:t>и</w:t>
      </w:r>
      <w:r w:rsidR="005F5D78" w:rsidRPr="00C909FE">
        <w:t xml:space="preserve"> принципам</w:t>
      </w:r>
      <w:r w:rsidR="00C909FE">
        <w:t>и</w:t>
      </w:r>
      <w:r w:rsidR="005F5D78" w:rsidRPr="00C909FE">
        <w:t xml:space="preserve"> по потокам данных для глобальной отчетности по показателям ЦУР, в которых большое внимание уделяется техническ</w:t>
      </w:r>
      <w:r w:rsidR="00C909FE" w:rsidRPr="00C909FE">
        <w:t>ой</w:t>
      </w:r>
      <w:r w:rsidR="005F5D78" w:rsidRPr="00C909FE">
        <w:t xml:space="preserve"> точност</w:t>
      </w:r>
      <w:r w:rsidR="00C909FE" w:rsidRPr="00C909FE">
        <w:t>и</w:t>
      </w:r>
      <w:r w:rsidR="005F5D78" w:rsidRPr="00C909FE">
        <w:t xml:space="preserve">, </w:t>
      </w:r>
      <w:r w:rsidR="00C909FE" w:rsidRPr="00C909FE">
        <w:t>национальной ответственности и использованию</w:t>
      </w:r>
      <w:r w:rsidR="005F5D78" w:rsidRPr="00C909FE">
        <w:t xml:space="preserve"> официальных данных и статистики. В процессе консультаций были запрошены отзывы непосредственно от национальных статистических управлений, а также других государственных органов, ответственных за официальную статистику, по составлению показателей, включая используемые источники данных, и применению согласованных на международном уровне определений, классификации и методологий к данным из эт</w:t>
      </w:r>
      <w:r w:rsidR="00C909FE">
        <w:t>их</w:t>
      </w:r>
      <w:r w:rsidR="005F5D78" w:rsidRPr="00C909FE">
        <w:t xml:space="preserve"> источник</w:t>
      </w:r>
      <w:r w:rsidR="00C909FE">
        <w:t>ов</w:t>
      </w:r>
      <w:r w:rsidR="005F5D78" w:rsidRPr="00C909FE">
        <w:t>. После рассмотрения странам предоставляется обратная связь о том, приняты ли конкретные данные, а если нет, то о причинах</w:t>
      </w:r>
      <w:r w:rsidR="00220DFC">
        <w:t xml:space="preserve"> отказа</w:t>
      </w:r>
      <w:r w:rsidR="005F5D78" w:rsidRPr="00C909FE">
        <w:t>.</w:t>
      </w:r>
    </w:p>
    <w:p w:rsidR="009E707C" w:rsidRDefault="009E707C" w:rsidP="00FE1B9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9E707C">
        <w:rPr>
          <w:color w:val="auto"/>
          <w:sz w:val="24"/>
          <w:szCs w:val="24"/>
          <w:lang w:val="ru-RU"/>
        </w:rPr>
        <w:t>3.</w:t>
      </w:r>
      <w:r w:rsidR="00900860">
        <w:rPr>
          <w:color w:val="auto"/>
          <w:sz w:val="24"/>
          <w:szCs w:val="24"/>
          <w:lang w:val="ru-RU"/>
        </w:rPr>
        <w:t>с</w:t>
      </w:r>
      <w:r w:rsidRPr="009E707C">
        <w:rPr>
          <w:b/>
          <w:color w:val="auto"/>
          <w:sz w:val="24"/>
          <w:szCs w:val="24"/>
          <w:lang w:val="ru-RU"/>
        </w:rPr>
        <w:t>.</w:t>
      </w:r>
      <w:r w:rsidR="00900860">
        <w:rPr>
          <w:b/>
          <w:color w:val="auto"/>
          <w:sz w:val="24"/>
          <w:szCs w:val="24"/>
          <w:lang w:val="ru-RU"/>
        </w:rPr>
        <w:t xml:space="preserve"> </w:t>
      </w:r>
      <w:r w:rsidRPr="009E707C">
        <w:rPr>
          <w:b/>
          <w:color w:val="auto"/>
          <w:sz w:val="24"/>
          <w:szCs w:val="24"/>
          <w:lang w:val="ru-RU"/>
        </w:rPr>
        <w:t xml:space="preserve">Календарь </w:t>
      </w:r>
      <w:r>
        <w:rPr>
          <w:b/>
          <w:color w:val="auto"/>
          <w:sz w:val="24"/>
          <w:szCs w:val="24"/>
          <w:lang w:val="ru-RU"/>
        </w:rPr>
        <w:t>сбора</w:t>
      </w:r>
      <w:r w:rsidRPr="009E707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220DFC" w:rsidRDefault="00220DFC" w:rsidP="00FE1B93">
      <w:r w:rsidRPr="00220DFC">
        <w:t>ЮНИСЕФ будет проводить ежегодные страновые консультации, вероятно, в период с декабря по январь каждого года, чтобы обеспечить рассмотрение и обработку полученных отзывов с целью соблюдения глобальных сроков отчетности по ЦУР.</w:t>
      </w:r>
    </w:p>
    <w:p w:rsidR="000A229E" w:rsidRPr="00A343D5" w:rsidRDefault="009E707C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3</w:t>
      </w:r>
      <w:r w:rsidR="000A229E" w:rsidRPr="00A343D5">
        <w:rPr>
          <w:color w:val="auto"/>
          <w:sz w:val="24"/>
          <w:szCs w:val="24"/>
          <w:lang w:val="ru-RU"/>
        </w:rPr>
        <w:t>.</w:t>
      </w:r>
      <w:r w:rsidR="000A229E" w:rsidRPr="00A343D5">
        <w:rPr>
          <w:color w:val="auto"/>
          <w:sz w:val="24"/>
          <w:szCs w:val="24"/>
        </w:rPr>
        <w:t>d</w:t>
      </w:r>
      <w:r w:rsidR="003A389C" w:rsidRPr="00A343D5">
        <w:rPr>
          <w:color w:val="auto"/>
          <w:sz w:val="24"/>
          <w:szCs w:val="24"/>
          <w:lang w:val="ru-RU"/>
        </w:rPr>
        <w:t>.</w:t>
      </w:r>
      <w:r w:rsidR="000A229E" w:rsidRPr="00A343D5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220DFC" w:rsidRDefault="00220DFC" w:rsidP="00FE1B93">
      <w:r w:rsidRPr="00220DFC">
        <w:t>Обновленные данные по 4.2.1, измеренные ECDI2030, будут доступны в отче</w:t>
      </w:r>
      <w:r w:rsidR="00DF63B6">
        <w:t>тном периоде ЦУР каждый февраль/</w:t>
      </w:r>
      <w:r w:rsidRPr="00220DFC">
        <w:t>март.</w:t>
      </w:r>
    </w:p>
    <w:p w:rsidR="000A229E" w:rsidRPr="00A343D5" w:rsidRDefault="000A229E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lastRenderedPageBreak/>
        <w:t>3.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A71EC6" w:rsidRPr="00A343D5">
        <w:rPr>
          <w:b/>
          <w:color w:val="auto"/>
          <w:sz w:val="24"/>
          <w:szCs w:val="24"/>
          <w:lang w:val="ru-RU"/>
        </w:rPr>
        <w:t>Поставщики данных</w:t>
      </w:r>
    </w:p>
    <w:p w:rsidR="00220DFC" w:rsidRDefault="00220DFC" w:rsidP="00FE1B93">
      <w:r w:rsidRPr="00220DFC">
        <w:t>Национальные статистические управления (в большинстве случаев)</w:t>
      </w:r>
    </w:p>
    <w:p w:rsidR="000A229E" w:rsidRPr="00A343D5" w:rsidRDefault="000A229E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D27196" w:rsidRPr="00DF63B6" w:rsidRDefault="00DF63B6" w:rsidP="00FE1B93">
      <w:pPr>
        <w:rPr>
          <w:rFonts w:cs="Times New Roman"/>
        </w:rPr>
      </w:pPr>
      <w:r w:rsidRPr="00DF63B6">
        <w:rPr>
          <w:rFonts w:cs="Times New Roman"/>
        </w:rPr>
        <w:t xml:space="preserve">Детский фонд Организации Объединенных Наций </w:t>
      </w:r>
      <w:r>
        <w:rPr>
          <w:rFonts w:cs="Times New Roman"/>
        </w:rPr>
        <w:t>(</w:t>
      </w:r>
      <w:r w:rsidR="00D27196">
        <w:rPr>
          <w:rFonts w:cs="Times New Roman"/>
        </w:rPr>
        <w:t>ЮНИСЕФ</w:t>
      </w:r>
      <w:r>
        <w:rPr>
          <w:rFonts w:cs="Times New Roman"/>
        </w:rPr>
        <w:t>)</w:t>
      </w:r>
    </w:p>
    <w:p w:rsidR="000A229E" w:rsidRPr="00A343D5" w:rsidRDefault="000A229E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3.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D27196" w:rsidRDefault="00D27196" w:rsidP="00FE1B93">
      <w:r w:rsidRPr="00D27196">
        <w:t>ЮНИСЕФ отвечает за глобальный мониторинг и отчетность о благополучии детей. Он предоставляет техническую и финансовую помощь государствам-членам в поддержку их усилий по сбору качественных данных о развитии детей в раннем возрасте (РДРВ), в том числе в рамках поддерживаемой ЮНИСЕФ программы обследования домашних хозяйств MICS. ЮНИСЕФ также собирает статистику РДРВ с целью сделать общедоступными данны</w:t>
      </w:r>
      <w:r w:rsidR="00480D4F">
        <w:t>е</w:t>
      </w:r>
      <w:r w:rsidRPr="00D27196">
        <w:t>, сопоставимы</w:t>
      </w:r>
      <w:r w:rsidR="00480D4F">
        <w:t>е</w:t>
      </w:r>
      <w:r w:rsidRPr="00D27196">
        <w:t xml:space="preserve"> на международном уровне, и анализирует статистику РДРВ, которая включается в соответствующие публикации, основанные на данных, в том числе в его </w:t>
      </w:r>
      <w:r w:rsidR="00480D4F">
        <w:t>основную</w:t>
      </w:r>
      <w:r w:rsidRPr="00D27196">
        <w:t xml:space="preserve"> публикацию «Положение детей в мире».</w:t>
      </w:r>
    </w:p>
    <w:p w:rsidR="00FE1B93" w:rsidRPr="00FE1B93" w:rsidRDefault="00FE1B93" w:rsidP="00FE1B93">
      <w:pPr>
        <w:pStyle w:val="a0"/>
      </w:pPr>
    </w:p>
    <w:p w:rsidR="002E15F9" w:rsidRPr="00A343D5" w:rsidRDefault="002E15F9" w:rsidP="00FE1B93">
      <w:pPr>
        <w:pStyle w:val="MHeader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A343D5" w:rsidRDefault="002E15F9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a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Обоснование</w:t>
      </w:r>
    </w:p>
    <w:p w:rsidR="00480D4F" w:rsidRPr="00480D4F" w:rsidRDefault="00480D4F" w:rsidP="00FE1B93">
      <w:r w:rsidRPr="00480D4F">
        <w:t xml:space="preserve">Развитие раннего детства (ECD) создает основу для процветания в течение всей жизни. Инвестирование в ECD является одним из наиболее важных и экономически эффективных инвестиций, которые страна может сделать для улучшения здоровья, образования и производительности взрослых, с </w:t>
      </w:r>
      <w:proofErr w:type="gramStart"/>
      <w:r w:rsidRPr="00480D4F">
        <w:t>тем</w:t>
      </w:r>
      <w:proofErr w:type="gramEnd"/>
      <w:r w:rsidRPr="00480D4F">
        <w:t xml:space="preserve"> чтобы построить человеческий капитал и содействовать устойчивому развитию. ECD является справедливым с самого начала и является хорошим показателем национального развития. Усилия по улучшению ECD могут привести к человеческим, социальным и экономическим </w:t>
      </w:r>
      <w:proofErr w:type="gramStart"/>
      <w:r w:rsidRPr="00480D4F">
        <w:t>улучшениям</w:t>
      </w:r>
      <w:proofErr w:type="gramEnd"/>
      <w:r w:rsidRPr="00480D4F">
        <w:t xml:space="preserve"> как для отдельных лиц, так и для общества.</w:t>
      </w:r>
    </w:p>
    <w:p w:rsidR="002E15F9" w:rsidRPr="00A343D5" w:rsidRDefault="002E15F9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b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480D4F" w:rsidRDefault="005226FC" w:rsidP="00FE1B93">
      <w:r>
        <w:t>Показатель ЦУР 4.2.1 изначально был классифицирован как показатель Уровня</w:t>
      </w:r>
      <w:r w:rsidR="00480D4F" w:rsidRPr="00480D4F">
        <w:t xml:space="preserve"> 3 и </w:t>
      </w:r>
      <w:r>
        <w:t xml:space="preserve">затем </w:t>
      </w:r>
      <w:r w:rsidR="00480D4F" w:rsidRPr="00480D4F">
        <w:t xml:space="preserve">повышен до </w:t>
      </w:r>
      <w:r>
        <w:t>Уровня </w:t>
      </w:r>
      <w:r w:rsidR="00480D4F" w:rsidRPr="00480D4F">
        <w:t xml:space="preserve">2 в 2019 году; </w:t>
      </w:r>
      <w:r w:rsidR="00480D4F">
        <w:t>к</w:t>
      </w:r>
      <w:r w:rsidR="00480D4F" w:rsidRPr="00480D4F">
        <w:t xml:space="preserve">роме того, в ходе </w:t>
      </w:r>
      <w:r>
        <w:t>всеобъемлющего</w:t>
      </w:r>
      <w:r w:rsidR="00480D4F" w:rsidRPr="00480D4F">
        <w:t xml:space="preserve"> обзора 2020 года были внесены изменения в показатель. В свете этого, а также с учетом того, что ECDI2030 был официально выпущен в марте 2020 года, потребуется некоторое время, чтобы страны приняли и внедрили новую меру, а </w:t>
      </w:r>
      <w:proofErr w:type="gramStart"/>
      <w:r w:rsidR="00480D4F" w:rsidRPr="00480D4F">
        <w:t>также</w:t>
      </w:r>
      <w:proofErr w:type="gramEnd"/>
      <w:r w:rsidR="00480D4F" w:rsidRPr="00480D4F">
        <w:t xml:space="preserve"> </w:t>
      </w:r>
      <w:r w:rsidR="00480D4F">
        <w:t xml:space="preserve">чтобы </w:t>
      </w:r>
      <w:r w:rsidR="00480D4F" w:rsidRPr="00480D4F">
        <w:t>данные из достаточно большого числа стран</w:t>
      </w:r>
      <w:r w:rsidR="00480D4F">
        <w:t xml:space="preserve"> стали</w:t>
      </w:r>
      <w:r w:rsidR="00480D4F" w:rsidRPr="00480D4F">
        <w:t xml:space="preserve"> доступны. Таким образом, тем временем косвенный показатель (дети в возрасте 36-59 месяцев, которые находятся на должном уровне </w:t>
      </w:r>
      <w:proofErr w:type="gramStart"/>
      <w:r w:rsidR="00480D4F" w:rsidRPr="00480D4F">
        <w:t>развития</w:t>
      </w:r>
      <w:proofErr w:type="gramEnd"/>
      <w:r w:rsidR="00480D4F" w:rsidRPr="00480D4F">
        <w:t xml:space="preserve"> по крайней мере в трех из следующих четырех областей: грамотность-счет, физическая, социально-эмоциональная и обучаемость) будет использоваться для отчета </w:t>
      </w:r>
      <w:r w:rsidR="00480D4F">
        <w:t>по ЦУР 4.2.1</w:t>
      </w:r>
      <w:r w:rsidR="00480D4F" w:rsidRPr="00480D4F">
        <w:t>. Этот косвенный показатель используется для глобальной отчетности по ЦУР с 2015 года, но не полностью соответствует определению и возрастной группе, охватываемой формулировкой показателя ЦУР. Когда косвенный показатель используется для отчетности по ЦУР 4.2.1 для страны, он будет отмечен как таковой в глобальной базе данных ЦУР.</w:t>
      </w:r>
    </w:p>
    <w:p w:rsidR="00480D4F" w:rsidRDefault="00480D4F" w:rsidP="00FE1B93"/>
    <w:p w:rsidR="00D273C6" w:rsidRDefault="002E15F9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8501F4">
        <w:rPr>
          <w:color w:val="auto"/>
          <w:sz w:val="24"/>
          <w:szCs w:val="24"/>
          <w:lang w:val="ru-RU"/>
        </w:rPr>
        <w:lastRenderedPageBreak/>
        <w:t>4.</w:t>
      </w:r>
      <w:r w:rsidRPr="00A343D5">
        <w:rPr>
          <w:color w:val="auto"/>
          <w:sz w:val="24"/>
          <w:szCs w:val="24"/>
        </w:rPr>
        <w:t>c</w:t>
      </w:r>
      <w:r w:rsidRPr="008501F4">
        <w:rPr>
          <w:color w:val="auto"/>
          <w:sz w:val="24"/>
          <w:szCs w:val="24"/>
          <w:lang w:val="ru-RU"/>
        </w:rPr>
        <w:t xml:space="preserve">. </w:t>
      </w:r>
      <w:r w:rsidR="00CA1CB1" w:rsidRPr="00A343D5">
        <w:rPr>
          <w:b/>
          <w:color w:val="auto"/>
          <w:sz w:val="24"/>
          <w:szCs w:val="24"/>
          <w:lang w:val="ru-RU"/>
        </w:rPr>
        <w:t>Метод</w:t>
      </w:r>
      <w:r w:rsidR="00CA1CB1" w:rsidRPr="008501F4">
        <w:rPr>
          <w:b/>
          <w:color w:val="auto"/>
          <w:sz w:val="24"/>
          <w:szCs w:val="24"/>
          <w:lang w:val="ru-RU"/>
        </w:rPr>
        <w:t xml:space="preserve"> </w:t>
      </w:r>
      <w:r w:rsidR="00CA1CB1" w:rsidRPr="00A343D5">
        <w:rPr>
          <w:b/>
          <w:color w:val="auto"/>
          <w:sz w:val="24"/>
          <w:szCs w:val="24"/>
          <w:lang w:val="ru-RU"/>
        </w:rPr>
        <w:t>расчета</w:t>
      </w:r>
      <w:r w:rsidR="00CA1CB1" w:rsidRPr="008501F4">
        <w:rPr>
          <w:color w:val="auto"/>
          <w:sz w:val="24"/>
          <w:szCs w:val="24"/>
          <w:lang w:val="ru-RU"/>
        </w:rPr>
        <w:t xml:space="preserve"> </w:t>
      </w:r>
    </w:p>
    <w:p w:rsidR="00DD4453" w:rsidRDefault="00570F51" w:rsidP="00570F51">
      <w:r>
        <w:t>Ч</w:t>
      </w:r>
      <w:r w:rsidRPr="00570F51">
        <w:t>исло детей в возрасте от 24 до 59 месяцев, которые развиваются в соответствии с нормой в плане здоровья, обучения и психосоциального благополучия, деленное на общее число детей в возрасте от 24 до 59 месяцев в популяции, умноженное на 100.</w:t>
      </w:r>
    </w:p>
    <w:p w:rsidR="00DD4453" w:rsidRPr="00DD4453" w:rsidRDefault="00DD4453" w:rsidP="00FE1B93">
      <w:pPr>
        <w:pStyle w:val="a0"/>
        <w:spacing w:line="276" w:lineRule="auto"/>
      </w:pPr>
    </w:p>
    <w:p w:rsidR="002E15F9" w:rsidRPr="00A343D5" w:rsidRDefault="002E15F9" w:rsidP="00FE1B93">
      <w:pPr>
        <w:pStyle w:val="MHeader2"/>
        <w:pBdr>
          <w:bottom w:val="single" w:sz="12" w:space="3" w:color="DDDDDD"/>
        </w:pBdr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d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Валидация</w:t>
      </w:r>
    </w:p>
    <w:p w:rsidR="00DD4453" w:rsidRPr="00DD4453" w:rsidRDefault="00DD4453" w:rsidP="00FE1B93">
      <w:r w:rsidRPr="00DD4453">
        <w:t xml:space="preserve">Для сбора, оценки и проверки данных из национальных источников </w:t>
      </w:r>
      <w:r>
        <w:t>существует</w:t>
      </w:r>
      <w:r w:rsidRPr="00DD4453">
        <w:t xml:space="preserve"> широкий консультативный процесс.</w:t>
      </w:r>
    </w:p>
    <w:p w:rsidR="00DD4453" w:rsidRDefault="00DD4453" w:rsidP="00FE1B93">
      <w:r w:rsidRPr="00DD4453">
        <w:t>В процессе консультаций запрашивались отзывы непосредственно от национальных статистических управлений, а также других государственных учреждений, ответственных за официальную статистику, по составлению показателей, включая используемые источники данных, и применению согласованных на международном уровне определений, классификации и методологий к данным из эт</w:t>
      </w:r>
      <w:r>
        <w:t>их</w:t>
      </w:r>
      <w:r w:rsidRPr="00DD4453">
        <w:t xml:space="preserve"> источник</w:t>
      </w:r>
      <w:r w:rsidR="00881054">
        <w:t>ов</w:t>
      </w:r>
      <w:r w:rsidRPr="00DD4453">
        <w:t xml:space="preserve">. Результаты этой </w:t>
      </w:r>
      <w:proofErr w:type="spellStart"/>
      <w:r w:rsidRPr="00DD4453">
        <w:t>страновой</w:t>
      </w:r>
      <w:proofErr w:type="spellEnd"/>
      <w:r w:rsidRPr="00DD4453">
        <w:t xml:space="preserve"> консультации рассматриваются ЮНИСЕФ как </w:t>
      </w:r>
      <w:r w:rsidR="00881054">
        <w:t>агентством-куратором</w:t>
      </w:r>
      <w:r w:rsidRPr="00DD4453">
        <w:t>. После рассмотрения странам предоставляется обратная связь о том, приняты ли конкретные данные, а если нет, то о причинах</w:t>
      </w:r>
      <w:r>
        <w:t xml:space="preserve"> отказа</w:t>
      </w:r>
      <w:r w:rsidRPr="00DD4453">
        <w:t>.</w:t>
      </w:r>
    </w:p>
    <w:p w:rsidR="002E15F9" w:rsidRDefault="002E15F9" w:rsidP="00FE1B93">
      <w:pPr>
        <w:pStyle w:val="MHeader2"/>
        <w:spacing w:line="276" w:lineRule="auto"/>
        <w:rPr>
          <w:b/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e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Корректировки</w:t>
      </w:r>
    </w:p>
    <w:p w:rsidR="00881054" w:rsidRDefault="00D127E0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D127E0">
        <w:rPr>
          <w:color w:val="auto"/>
          <w:sz w:val="24"/>
          <w:szCs w:val="24"/>
          <w:lang w:val="ru-RU"/>
        </w:rPr>
        <w:t>Оценки, составленные и представленные на глобальном уровне, основаны непосредственно на национальных данных и не корректируются и не пересчитываются.</w:t>
      </w:r>
    </w:p>
    <w:p w:rsidR="00D127E0" w:rsidRPr="00A343D5" w:rsidRDefault="00D127E0" w:rsidP="00FE1B93">
      <w:pPr>
        <w:pStyle w:val="MHeader2"/>
        <w:spacing w:after="0" w:line="276" w:lineRule="auto"/>
        <w:rPr>
          <w:color w:val="auto"/>
          <w:sz w:val="24"/>
          <w:szCs w:val="24"/>
          <w:lang w:val="ru-RU"/>
        </w:rPr>
      </w:pPr>
    </w:p>
    <w:p w:rsidR="00DD4453" w:rsidRPr="00730580" w:rsidRDefault="002E15F9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f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694160" w:rsidRPr="00A343D5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343D5">
        <w:rPr>
          <w:b/>
          <w:color w:val="auto"/>
          <w:sz w:val="24"/>
          <w:szCs w:val="24"/>
        </w:rPr>
        <w:t>i</w:t>
      </w:r>
      <w:proofErr w:type="spellEnd"/>
      <w:r w:rsidR="00694160" w:rsidRPr="00A343D5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343D5">
        <w:rPr>
          <w:b/>
          <w:color w:val="auto"/>
          <w:sz w:val="24"/>
          <w:szCs w:val="24"/>
        </w:rPr>
        <w:t>ii</w:t>
      </w:r>
      <w:r w:rsidR="00694160" w:rsidRPr="00A343D5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DD4453" w:rsidRPr="00730580" w:rsidRDefault="00DD4453" w:rsidP="00FE1B93">
      <w:pPr>
        <w:pStyle w:val="ac"/>
        <w:numPr>
          <w:ilvl w:val="0"/>
          <w:numId w:val="48"/>
        </w:numPr>
        <w:rPr>
          <w:i/>
        </w:rPr>
      </w:pPr>
      <w:r w:rsidRPr="00730580">
        <w:rPr>
          <w:i/>
        </w:rPr>
        <w:t>На уровне страны</w:t>
      </w:r>
      <w:r w:rsidR="00730580" w:rsidRPr="00730580">
        <w:rPr>
          <w:i/>
        </w:rPr>
        <w:t>:</w:t>
      </w:r>
    </w:p>
    <w:p w:rsidR="00DD4453" w:rsidRPr="00AC5F90" w:rsidRDefault="00DD4453" w:rsidP="00FE1B93">
      <w:r w:rsidRPr="00AC5F90">
        <w:t> Когда данные для страны полностью отсутствуют, ЮНИСЕФ не публикует ни одной оценки на уровне страны</w:t>
      </w:r>
    </w:p>
    <w:p w:rsidR="00DD4453" w:rsidRPr="00730580" w:rsidRDefault="00DD4453" w:rsidP="00FE1B93">
      <w:pPr>
        <w:pStyle w:val="ac"/>
        <w:numPr>
          <w:ilvl w:val="0"/>
          <w:numId w:val="48"/>
        </w:numPr>
        <w:rPr>
          <w:i/>
        </w:rPr>
      </w:pPr>
      <w:r w:rsidRPr="00730580">
        <w:rPr>
          <w:i/>
        </w:rPr>
        <w:t>На региональном и глобальном уровнях</w:t>
      </w:r>
      <w:r w:rsidR="00730580" w:rsidRPr="00730580">
        <w:rPr>
          <w:i/>
        </w:rPr>
        <w:t>:</w:t>
      </w:r>
    </w:p>
    <w:p w:rsidR="00DD4453" w:rsidRPr="00AC5F90" w:rsidRDefault="00DD4453" w:rsidP="00FE1B93">
      <w:r w:rsidRPr="00AC5F90">
        <w:t>Среднее региональное значение применяется к тем странам региона с недостающими значениями для целей расчета региональных агрегатов, но не публикуется в качестве оценок на уровне стран.</w:t>
      </w:r>
      <w:r>
        <w:t xml:space="preserve"> </w:t>
      </w:r>
      <w:r w:rsidRPr="00DD4453">
        <w:t xml:space="preserve">Сводные данные по регионам публикуются только в том случае, </w:t>
      </w:r>
      <w:r w:rsidR="008D2806" w:rsidRPr="00DD4453">
        <w:t>если,</w:t>
      </w:r>
      <w:r w:rsidRPr="00DD4453">
        <w:t xml:space="preserve"> по крайней </w:t>
      </w:r>
      <w:r w:rsidR="008D2806" w:rsidRPr="00DD4453">
        <w:t>мере,</w:t>
      </w:r>
      <w:r w:rsidRPr="00DD4453">
        <w:t xml:space="preserve"> 50 процентов населения региона соответствующей возрастной группы охвачены имеющимися данными.</w:t>
      </w:r>
    </w:p>
    <w:p w:rsidR="00DD4453" w:rsidRPr="00AC5F90" w:rsidRDefault="00DD4453" w:rsidP="00FE1B9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5F9" w:rsidRDefault="002E15F9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g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E27922" w:rsidRPr="00A343D5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A343D5">
        <w:rPr>
          <w:color w:val="auto"/>
          <w:sz w:val="24"/>
          <w:szCs w:val="24"/>
          <w:lang w:val="ru-RU"/>
        </w:rPr>
        <w:t xml:space="preserve"> </w:t>
      </w:r>
    </w:p>
    <w:p w:rsidR="00DD4453" w:rsidRPr="00DD4453" w:rsidRDefault="00DD4453" w:rsidP="00FE1B93">
      <w:r w:rsidRPr="00DD4453">
        <w:t xml:space="preserve">Глобальный агрегированный показатель представляет собой средневзвешенное значение </w:t>
      </w:r>
      <w:r>
        <w:t xml:space="preserve">показателей </w:t>
      </w:r>
      <w:r w:rsidRPr="00DD4453">
        <w:t xml:space="preserve">всех стран, по которым имеются данные. Глобальные агрегированные показатели публикуются независимо от охвата населения, но </w:t>
      </w:r>
      <w:r>
        <w:t>при этом четко указывае</w:t>
      </w:r>
      <w:r w:rsidRPr="00DD4453">
        <w:t>тся количество стран и доля соответствующей группы населения, представленная имеющимися данными.</w:t>
      </w:r>
    </w:p>
    <w:p w:rsidR="00DD4453" w:rsidRDefault="00DD4453" w:rsidP="00FE1B93">
      <w:r w:rsidRPr="00DD4453">
        <w:lastRenderedPageBreak/>
        <w:t>Региональные агрегированные показатели представляют собой средневзвешенные значения по всем странам региона.</w:t>
      </w:r>
    </w:p>
    <w:p w:rsidR="008D2806" w:rsidRDefault="008D2806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</w:p>
    <w:p w:rsidR="002E15F9" w:rsidRPr="00A343D5" w:rsidRDefault="002E15F9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h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="00E27922" w:rsidRPr="00A343D5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5C123D" w:rsidRDefault="005C123D" w:rsidP="00FE1B93">
      <w:r w:rsidRPr="005C123D">
        <w:t xml:space="preserve">Страны собирают данные о распространенности заболевания детей с помощью обследований домашних хозяйств, таких как </w:t>
      </w:r>
      <w:r w:rsidR="00715ADB">
        <w:rPr>
          <w:lang w:val="en-US"/>
        </w:rPr>
        <w:t>MICS</w:t>
      </w:r>
      <w:r w:rsidRPr="005C123D">
        <w:t xml:space="preserve"> при поддержке ЮНИСЕФ или демографические и медицинские обследования.</w:t>
      </w:r>
    </w:p>
    <w:p w:rsidR="005C123D" w:rsidRPr="005C123D" w:rsidRDefault="005C123D" w:rsidP="00FE1B93">
      <w:pPr>
        <w:pStyle w:val="a0"/>
        <w:spacing w:line="276" w:lineRule="auto"/>
      </w:pPr>
    </w:p>
    <w:p w:rsidR="002E15F9" w:rsidRPr="00A343D5" w:rsidRDefault="002E15F9" w:rsidP="00FE1B93">
      <w:pPr>
        <w:rPr>
          <w:b/>
          <w:szCs w:val="24"/>
        </w:rPr>
      </w:pPr>
      <w:r w:rsidRPr="00A343D5">
        <w:rPr>
          <w:szCs w:val="24"/>
        </w:rPr>
        <w:t xml:space="preserve">4.i. </w:t>
      </w:r>
      <w:r w:rsidR="00E27922" w:rsidRPr="00A343D5">
        <w:rPr>
          <w:b/>
          <w:szCs w:val="24"/>
        </w:rPr>
        <w:t>Управление качеством</w:t>
      </w:r>
    </w:p>
    <w:p w:rsidR="00EA60C7" w:rsidRDefault="005C123D" w:rsidP="00FE1B93">
      <w:pPr>
        <w:pStyle w:val="a0"/>
        <w:spacing w:line="276" w:lineRule="auto"/>
      </w:pPr>
      <w:r w:rsidRPr="005C123D">
        <w:t>Процесс, лежащий в основе п</w:t>
      </w:r>
      <w:r>
        <w:t>одготовки</w:t>
      </w:r>
      <w:r w:rsidRPr="005C123D">
        <w:t xml:space="preserve"> </w:t>
      </w:r>
      <w:r>
        <w:t>достоверных</w:t>
      </w:r>
      <w:r w:rsidRPr="005C123D">
        <w:t xml:space="preserve"> статистических данных по РДРВ, хорошо отлажен в ЮНИСЕФ. Качество и процесс, ведущие к разработке показателя 4.2.1 ЦУР, обеспечиваются тесным сотрудничеством со статистическими управлениями и другими соответствующими заинтересованными сторонами в рамках консультативного процесса</w:t>
      </w:r>
      <w:r>
        <w:t xml:space="preserve">. </w:t>
      </w:r>
    </w:p>
    <w:p w:rsidR="00EA60C7" w:rsidRPr="00EA60C7" w:rsidRDefault="00EA60C7" w:rsidP="00FE1B93">
      <w:pPr>
        <w:pStyle w:val="a0"/>
        <w:spacing w:line="276" w:lineRule="auto"/>
      </w:pPr>
    </w:p>
    <w:p w:rsidR="002E15F9" w:rsidRPr="00A343D5" w:rsidRDefault="002E15F9" w:rsidP="00FE1B93">
      <w:pPr>
        <w:pStyle w:val="MHeader2"/>
        <w:spacing w:line="276" w:lineRule="auto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j</w:t>
      </w:r>
      <w:r w:rsidR="00E27922" w:rsidRPr="00A343D5">
        <w:rPr>
          <w:color w:val="auto"/>
          <w:sz w:val="24"/>
          <w:szCs w:val="24"/>
          <w:lang w:val="ru-RU"/>
        </w:rPr>
        <w:t>.</w:t>
      </w:r>
      <w:r w:rsidRPr="00A343D5">
        <w:rPr>
          <w:color w:val="auto"/>
          <w:sz w:val="24"/>
          <w:szCs w:val="24"/>
          <w:lang w:val="ru-RU"/>
        </w:rPr>
        <w:t xml:space="preserve"> </w:t>
      </w:r>
      <w:r w:rsidR="00E27922" w:rsidRPr="00A343D5">
        <w:rPr>
          <w:b/>
          <w:color w:val="auto"/>
          <w:sz w:val="24"/>
          <w:szCs w:val="24"/>
          <w:lang w:val="ru-RU"/>
        </w:rPr>
        <w:t>Обеспечение качества</w:t>
      </w:r>
    </w:p>
    <w:p w:rsidR="005C123D" w:rsidRPr="005C123D" w:rsidRDefault="005C123D" w:rsidP="00FE1B93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5C123D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ЮНИСЕФ ведет глобальную базу данных по РДРВ, которая используется для отчетности по ЦУР и другой официальной отчетности. Перед включением 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>любых</w:t>
      </w:r>
      <w:r w:rsidRPr="005C123D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данных в базу 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>они</w:t>
      </w:r>
      <w:r w:rsidRPr="005C123D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проверя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>ю</w:t>
      </w:r>
      <w:r w:rsidRPr="005C123D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тся техническими координаторами в штаб-квартире ЮНИСЕФ на предмет согласованности и общего качества данных. Этот обзор основан на наборе объективных критериев, обеспечивающих включение в базы данных только самой 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>актуальной</w:t>
      </w:r>
      <w:r w:rsidRPr="005C123D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и надежной информации. Эти критерии включают следующее: источники данных должны включать надлежащую документацию; значения данных должны быть репрезентативными на национальном уровне населения; данные собираются с использованием соответствующей методологии (например, выборки); значения данных основаны на достаточно большой выборке; данные соответствуют стандартному определению 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>показателя</w:t>
      </w:r>
      <w:r w:rsidRPr="005C123D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, включая возрастную группу и концепции, насколько это возможно; данные являются правдоподобными, исходя из тенденций и согласованности с ранее опубликованными / сообщенными оценками по </w:t>
      </w:r>
      <w:r>
        <w:rPr>
          <w:rFonts w:eastAsiaTheme="minorHAnsi" w:cstheme="minorBidi"/>
          <w:color w:val="auto"/>
          <w:sz w:val="24"/>
          <w:szCs w:val="22"/>
          <w:lang w:val="ru-RU" w:eastAsia="en-US"/>
        </w:rPr>
        <w:t>показателю</w:t>
      </w:r>
      <w:r w:rsidRPr="005C123D">
        <w:rPr>
          <w:rFonts w:eastAsiaTheme="minorHAnsi" w:cstheme="minorBidi"/>
          <w:color w:val="auto"/>
          <w:sz w:val="24"/>
          <w:szCs w:val="22"/>
          <w:lang w:val="ru-RU" w:eastAsia="en-US"/>
        </w:rPr>
        <w:t>.</w:t>
      </w:r>
    </w:p>
    <w:p w:rsidR="005C123D" w:rsidRPr="005C123D" w:rsidRDefault="005C123D" w:rsidP="00FE1B93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5A0EA5" w:rsidRPr="00B140AF" w:rsidRDefault="00F10B0A" w:rsidP="00FE1B93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F10B0A">
        <w:rPr>
          <w:rFonts w:eastAsiaTheme="minorHAnsi" w:cstheme="minorBidi"/>
          <w:color w:val="auto"/>
          <w:sz w:val="24"/>
          <w:szCs w:val="22"/>
          <w:lang w:val="ru-RU" w:eastAsia="en-US"/>
        </w:rPr>
        <w:t>С 2018 года ЮНИСЕФ проводит ежегодные консультации с государственными органами по 10 показателям ЦУР, связанным с детьми, в роли единоличного или совместного хранителя и в соответствии со своим мандатом по глобальному мониторингу и нормативными обязательствами по продвижению Повестки дня в интересах детей на период до 2030 года. Сюда входит показатель 4.2.1.</w:t>
      </w:r>
    </w:p>
    <w:p w:rsidR="00F10B0A" w:rsidRPr="00B140AF" w:rsidRDefault="00F10B0A" w:rsidP="00FE1B93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2E15F9" w:rsidRPr="00A343D5" w:rsidRDefault="0075371E" w:rsidP="00FE1B93">
      <w:pPr>
        <w:pStyle w:val="MText"/>
        <w:rPr>
          <w:color w:val="auto"/>
          <w:sz w:val="24"/>
          <w:szCs w:val="24"/>
          <w:lang w:val="ru-RU"/>
        </w:rPr>
      </w:pPr>
      <w:r w:rsidRPr="00A343D5">
        <w:rPr>
          <w:color w:val="auto"/>
          <w:sz w:val="24"/>
          <w:szCs w:val="24"/>
          <w:lang w:val="ru-RU"/>
        </w:rPr>
        <w:t>4.</w:t>
      </w:r>
      <w:r w:rsidRPr="00A343D5">
        <w:rPr>
          <w:color w:val="auto"/>
          <w:sz w:val="24"/>
          <w:szCs w:val="24"/>
        </w:rPr>
        <w:t>k</w:t>
      </w:r>
      <w:r w:rsidRPr="00A343D5">
        <w:rPr>
          <w:color w:val="auto"/>
          <w:sz w:val="24"/>
          <w:szCs w:val="24"/>
          <w:lang w:val="ru-RU"/>
        </w:rPr>
        <w:t xml:space="preserve">. </w:t>
      </w:r>
      <w:r w:rsidRPr="00A343D5">
        <w:rPr>
          <w:b/>
          <w:color w:val="auto"/>
          <w:sz w:val="24"/>
          <w:szCs w:val="24"/>
          <w:lang w:val="ru-RU"/>
        </w:rPr>
        <w:t>Оценка качества</w:t>
      </w:r>
      <w:r w:rsidRPr="00A343D5">
        <w:rPr>
          <w:color w:val="auto"/>
          <w:sz w:val="24"/>
          <w:szCs w:val="24"/>
          <w:lang w:val="ru-RU"/>
        </w:rPr>
        <w:t xml:space="preserve"> </w:t>
      </w:r>
    </w:p>
    <w:p w:rsidR="005A0EA5" w:rsidRDefault="005A0EA5" w:rsidP="00FE1B93">
      <w:r w:rsidRPr="005A0EA5">
        <w:t>Регулярно проводятся проверки согласованности и качества данных перед их распространением.</w:t>
      </w:r>
    </w:p>
    <w:p w:rsidR="00C00312" w:rsidRDefault="00C00312" w:rsidP="00C00312">
      <w:pPr>
        <w:pStyle w:val="a0"/>
      </w:pPr>
    </w:p>
    <w:p w:rsidR="00C00312" w:rsidRDefault="00C00312" w:rsidP="00C00312">
      <w:pPr>
        <w:pStyle w:val="a0"/>
      </w:pPr>
    </w:p>
    <w:p w:rsidR="00C00312" w:rsidRPr="00C00312" w:rsidRDefault="00C00312" w:rsidP="00C00312">
      <w:pPr>
        <w:pStyle w:val="a0"/>
      </w:pPr>
    </w:p>
    <w:p w:rsidR="002E15F9" w:rsidRPr="00A343D5" w:rsidRDefault="002E15F9" w:rsidP="00FE1B93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EA60C7">
        <w:rPr>
          <w:b/>
          <w:color w:val="auto"/>
          <w:sz w:val="24"/>
          <w:szCs w:val="24"/>
          <w:lang w:val="ru-RU"/>
        </w:rPr>
        <w:lastRenderedPageBreak/>
        <w:t xml:space="preserve">5. </w:t>
      </w:r>
      <w:r w:rsidR="0075371E" w:rsidRPr="00EA60C7">
        <w:rPr>
          <w:b/>
          <w:color w:val="auto"/>
          <w:sz w:val="24"/>
          <w:szCs w:val="24"/>
          <w:lang w:val="ru-RU"/>
        </w:rPr>
        <w:t>Доступность и дезагрег</w:t>
      </w:r>
      <w:r w:rsidR="00EB4B5F">
        <w:rPr>
          <w:b/>
          <w:color w:val="auto"/>
          <w:sz w:val="24"/>
          <w:szCs w:val="24"/>
          <w:lang w:val="ru-RU"/>
        </w:rPr>
        <w:t>ация</w:t>
      </w:r>
      <w:r w:rsidR="0075371E" w:rsidRPr="00EA60C7">
        <w:rPr>
          <w:b/>
          <w:color w:val="auto"/>
          <w:sz w:val="24"/>
          <w:szCs w:val="24"/>
          <w:lang w:val="ru-RU"/>
        </w:rPr>
        <w:t xml:space="preserve"> данных</w:t>
      </w:r>
    </w:p>
    <w:p w:rsidR="00EA60C7" w:rsidRPr="00EB4B5F" w:rsidRDefault="00EA60C7" w:rsidP="00FE1B93">
      <w:pPr>
        <w:rPr>
          <w:b/>
        </w:rPr>
      </w:pPr>
      <w:r w:rsidRPr="00EB4B5F">
        <w:rPr>
          <w:b/>
        </w:rPr>
        <w:t>Доступность данных:</w:t>
      </w:r>
    </w:p>
    <w:p w:rsidR="005A0EA5" w:rsidRDefault="00570F51" w:rsidP="00FE1B93">
      <w:bookmarkStart w:id="5" w:name="_GoBack"/>
      <w:bookmarkEnd w:id="5"/>
      <w:r w:rsidRPr="00570F51">
        <w:t>Данные по индикатору, собранные в ходе внедрения ECDI2030, в настоящее время доступны для примерно 15 стран. Сопоставимые данные, собранные ECDI, в настоящее время доступны для 78 стран. Страны с данными по прокси-индикатору, собранными с ECDI, будут по-прежнему использоваться для глобальной отчетности по ЦУР до тех пор, пока не появятся новые данные с использованием ECDI2030.</w:t>
      </w:r>
    </w:p>
    <w:p w:rsidR="00EB4B5F" w:rsidRPr="00EB4B5F" w:rsidRDefault="00EB4B5F" w:rsidP="00FE1B93">
      <w:pPr>
        <w:pStyle w:val="a0"/>
        <w:spacing w:line="276" w:lineRule="auto"/>
      </w:pPr>
    </w:p>
    <w:p w:rsidR="00EA60C7" w:rsidRPr="00EB4B5F" w:rsidRDefault="00EA60C7" w:rsidP="00FE1B93">
      <w:pPr>
        <w:rPr>
          <w:b/>
        </w:rPr>
      </w:pPr>
      <w:r w:rsidRPr="00EB4B5F">
        <w:rPr>
          <w:b/>
        </w:rPr>
        <w:t>Временные ряды:</w:t>
      </w:r>
    </w:p>
    <w:p w:rsidR="00EA60C7" w:rsidRDefault="00EB4B5F" w:rsidP="00FE1B93">
      <w:r>
        <w:t>Информация недоступна.</w:t>
      </w:r>
    </w:p>
    <w:p w:rsidR="00EB4B5F" w:rsidRPr="00EB4B5F" w:rsidRDefault="00EB4B5F" w:rsidP="00FE1B93">
      <w:pPr>
        <w:pStyle w:val="a0"/>
        <w:spacing w:line="276" w:lineRule="auto"/>
      </w:pPr>
    </w:p>
    <w:p w:rsidR="00BA05C5" w:rsidRPr="00EB4B5F" w:rsidRDefault="00BA05C5" w:rsidP="00FE1B93">
      <w:pPr>
        <w:rPr>
          <w:b/>
        </w:rPr>
      </w:pPr>
      <w:r w:rsidRPr="00EB4B5F">
        <w:rPr>
          <w:b/>
        </w:rPr>
        <w:t>Дезагрегация:</w:t>
      </w:r>
    </w:p>
    <w:p w:rsidR="00EA60C7" w:rsidRDefault="00EB4B5F" w:rsidP="00FE1B93">
      <w:r>
        <w:t>По полу.</w:t>
      </w:r>
    </w:p>
    <w:p w:rsidR="00EB4B5F" w:rsidRPr="00EB4B5F" w:rsidRDefault="00EB4B5F" w:rsidP="00FE1B93">
      <w:pPr>
        <w:pStyle w:val="a0"/>
        <w:spacing w:line="276" w:lineRule="auto"/>
      </w:pPr>
    </w:p>
    <w:p w:rsidR="002E15F9" w:rsidRPr="00A343D5" w:rsidRDefault="002E15F9" w:rsidP="00FE1B93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A343D5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A343D5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5A0EA5" w:rsidRPr="00300749" w:rsidRDefault="005A0EA5" w:rsidP="00FE1B93">
      <w:pPr>
        <w:rPr>
          <w:b/>
          <w:lang w:eastAsia="en-GB"/>
        </w:rPr>
      </w:pPr>
      <w:r w:rsidRPr="00300749">
        <w:rPr>
          <w:b/>
          <w:lang w:eastAsia="en-GB"/>
        </w:rPr>
        <w:t>Источники расхождений:</w:t>
      </w:r>
    </w:p>
    <w:p w:rsidR="005A0EA5" w:rsidRDefault="005A0EA5" w:rsidP="00FE1B93">
      <w:pPr>
        <w:rPr>
          <w:lang w:eastAsia="en-GB"/>
        </w:rPr>
      </w:pPr>
      <w:r>
        <w:rPr>
          <w:lang w:eastAsia="en-GB"/>
        </w:rPr>
        <w:t>Оценки, составленные и представленные на глобальном уровне, основаны непосредственно на данных, подготовленных на национальном уровне, и не корректируются и не пересчитываются.</w:t>
      </w:r>
    </w:p>
    <w:p w:rsidR="00300749" w:rsidRPr="00300749" w:rsidRDefault="00300749" w:rsidP="00FE1B93">
      <w:pPr>
        <w:pStyle w:val="a0"/>
        <w:spacing w:line="276" w:lineRule="auto"/>
        <w:rPr>
          <w:lang w:eastAsia="en-GB"/>
        </w:rPr>
      </w:pPr>
    </w:p>
    <w:p w:rsidR="00040034" w:rsidRPr="00A343D5" w:rsidRDefault="00040034" w:rsidP="00FE1B93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A343D5">
        <w:rPr>
          <w:rFonts w:eastAsia="Times New Roman" w:cs="Times New Roman"/>
          <w:b/>
          <w:szCs w:val="24"/>
          <w:lang w:eastAsia="en-GB"/>
        </w:rPr>
        <w:t>7. Ссылки и документы</w:t>
      </w:r>
    </w:p>
    <w:p w:rsidR="005A0EA5" w:rsidRDefault="005A0EA5" w:rsidP="00FE1B93">
      <w:pPr>
        <w:pStyle w:val="MText"/>
        <w:rPr>
          <w:b/>
          <w:color w:val="auto"/>
          <w:sz w:val="24"/>
          <w:szCs w:val="24"/>
          <w:lang w:val="ru-RU"/>
        </w:rPr>
      </w:pPr>
      <w:r w:rsidRPr="00300749">
        <w:rPr>
          <w:b/>
          <w:color w:val="auto"/>
          <w:sz w:val="24"/>
          <w:szCs w:val="24"/>
          <w:lang w:val="en-US"/>
        </w:rPr>
        <w:t>URL</w:t>
      </w:r>
      <w:r w:rsidRPr="00300749">
        <w:rPr>
          <w:b/>
          <w:color w:val="auto"/>
          <w:sz w:val="24"/>
          <w:szCs w:val="24"/>
          <w:lang w:val="ru-RU"/>
        </w:rPr>
        <w:t>:</w:t>
      </w:r>
    </w:p>
    <w:p w:rsidR="00300749" w:rsidRPr="00300749" w:rsidRDefault="00300749" w:rsidP="00FE1B93">
      <w:pPr>
        <w:pStyle w:val="MText"/>
        <w:rPr>
          <w:b/>
          <w:color w:val="auto"/>
          <w:sz w:val="24"/>
          <w:szCs w:val="24"/>
          <w:lang w:val="ru-RU"/>
        </w:rPr>
      </w:pPr>
    </w:p>
    <w:p w:rsidR="005A0EA5" w:rsidRDefault="00300749" w:rsidP="00FE1B93">
      <w:pPr>
        <w:pStyle w:val="MText"/>
        <w:rPr>
          <w:color w:val="auto"/>
          <w:sz w:val="24"/>
          <w:szCs w:val="24"/>
          <w:lang w:val="ru-RU"/>
        </w:rPr>
      </w:pPr>
      <w:r w:rsidRPr="00300749">
        <w:rPr>
          <w:color w:val="auto"/>
          <w:sz w:val="24"/>
          <w:szCs w:val="24"/>
          <w:lang w:val="en-US"/>
        </w:rPr>
        <w:t>data</w:t>
      </w:r>
      <w:r w:rsidRPr="00B140AF">
        <w:rPr>
          <w:color w:val="auto"/>
          <w:sz w:val="24"/>
          <w:szCs w:val="24"/>
          <w:lang w:val="ru-RU"/>
        </w:rPr>
        <w:t>.</w:t>
      </w:r>
      <w:proofErr w:type="spellStart"/>
      <w:r w:rsidRPr="00300749">
        <w:rPr>
          <w:color w:val="auto"/>
          <w:sz w:val="24"/>
          <w:szCs w:val="24"/>
          <w:lang w:val="en-US"/>
        </w:rPr>
        <w:t>unicef</w:t>
      </w:r>
      <w:proofErr w:type="spellEnd"/>
      <w:r w:rsidRPr="00B140AF">
        <w:rPr>
          <w:color w:val="auto"/>
          <w:sz w:val="24"/>
          <w:szCs w:val="24"/>
          <w:lang w:val="ru-RU"/>
        </w:rPr>
        <w:t>.</w:t>
      </w:r>
      <w:r w:rsidRPr="00300749">
        <w:rPr>
          <w:color w:val="auto"/>
          <w:sz w:val="24"/>
          <w:szCs w:val="24"/>
          <w:lang w:val="en-US"/>
        </w:rPr>
        <w:t>org</w:t>
      </w:r>
    </w:p>
    <w:p w:rsidR="00300749" w:rsidRPr="00300749" w:rsidRDefault="00300749" w:rsidP="00FE1B93">
      <w:pPr>
        <w:pStyle w:val="MText"/>
        <w:rPr>
          <w:color w:val="auto"/>
          <w:sz w:val="24"/>
          <w:szCs w:val="24"/>
          <w:lang w:val="ru-RU"/>
        </w:rPr>
      </w:pPr>
    </w:p>
    <w:p w:rsidR="005A0EA5" w:rsidRDefault="00300749" w:rsidP="00FE1B93">
      <w:pPr>
        <w:pStyle w:val="MText"/>
        <w:rPr>
          <w:b/>
          <w:color w:val="auto"/>
          <w:sz w:val="24"/>
          <w:szCs w:val="24"/>
          <w:lang w:val="ru-RU"/>
        </w:rPr>
      </w:pPr>
      <w:r w:rsidRPr="00300749">
        <w:rPr>
          <w:b/>
          <w:color w:val="auto"/>
          <w:sz w:val="24"/>
          <w:szCs w:val="24"/>
          <w:lang w:val="ru-RU"/>
        </w:rPr>
        <w:t>Ссылки:</w:t>
      </w:r>
    </w:p>
    <w:p w:rsidR="00300749" w:rsidRPr="00300749" w:rsidRDefault="00300749" w:rsidP="00FE1B93">
      <w:pPr>
        <w:pStyle w:val="MText"/>
        <w:rPr>
          <w:b/>
          <w:color w:val="auto"/>
          <w:sz w:val="24"/>
          <w:szCs w:val="24"/>
          <w:lang w:val="ru-RU"/>
        </w:rPr>
      </w:pPr>
    </w:p>
    <w:p w:rsidR="00D31F63" w:rsidRPr="00300749" w:rsidRDefault="00570F51" w:rsidP="00FE1B93">
      <w:pPr>
        <w:pStyle w:val="MText"/>
        <w:rPr>
          <w:color w:val="auto"/>
          <w:sz w:val="24"/>
          <w:szCs w:val="24"/>
          <w:lang w:val="ru-RU"/>
        </w:rPr>
      </w:pPr>
      <w:hyperlink r:id="rId9" w:history="1">
        <w:r w:rsidR="00300749" w:rsidRPr="00962EBE">
          <w:rPr>
            <w:rStyle w:val="ad"/>
            <w:sz w:val="24"/>
            <w:szCs w:val="24"/>
            <w:lang w:val="en-US"/>
          </w:rPr>
          <w:t>http</w:t>
        </w:r>
        <w:r w:rsidR="00300749" w:rsidRPr="00962EBE">
          <w:rPr>
            <w:rStyle w:val="ad"/>
            <w:sz w:val="24"/>
            <w:szCs w:val="24"/>
            <w:lang w:val="ru-RU"/>
          </w:rPr>
          <w:t>://</w:t>
        </w:r>
        <w:r w:rsidR="00300749" w:rsidRPr="00962EBE">
          <w:rPr>
            <w:rStyle w:val="ad"/>
            <w:sz w:val="24"/>
            <w:szCs w:val="24"/>
            <w:lang w:val="en-US"/>
          </w:rPr>
          <w:t>data</w:t>
        </w:r>
        <w:r w:rsidR="00300749" w:rsidRPr="00962EBE">
          <w:rPr>
            <w:rStyle w:val="ad"/>
            <w:sz w:val="24"/>
            <w:szCs w:val="24"/>
            <w:lang w:val="ru-RU"/>
          </w:rPr>
          <w:t>.</w:t>
        </w:r>
        <w:proofErr w:type="spellStart"/>
        <w:r w:rsidR="00300749" w:rsidRPr="00962EBE">
          <w:rPr>
            <w:rStyle w:val="ad"/>
            <w:sz w:val="24"/>
            <w:szCs w:val="24"/>
            <w:lang w:val="en-US"/>
          </w:rPr>
          <w:t>unicef</w:t>
        </w:r>
        <w:proofErr w:type="spellEnd"/>
        <w:r w:rsidR="00300749" w:rsidRPr="00962EBE">
          <w:rPr>
            <w:rStyle w:val="ad"/>
            <w:sz w:val="24"/>
            <w:szCs w:val="24"/>
            <w:lang w:val="ru-RU"/>
          </w:rPr>
          <w:t>.</w:t>
        </w:r>
        <w:r w:rsidR="00300749" w:rsidRPr="00962EBE">
          <w:rPr>
            <w:rStyle w:val="ad"/>
            <w:sz w:val="24"/>
            <w:szCs w:val="24"/>
            <w:lang w:val="en-US"/>
          </w:rPr>
          <w:t>org</w:t>
        </w:r>
        <w:r w:rsidR="00300749" w:rsidRPr="00962EBE">
          <w:rPr>
            <w:rStyle w:val="ad"/>
            <w:sz w:val="24"/>
            <w:szCs w:val="24"/>
            <w:lang w:val="ru-RU"/>
          </w:rPr>
          <w:t>/</w:t>
        </w:r>
        <w:proofErr w:type="spellStart"/>
        <w:r w:rsidR="00300749" w:rsidRPr="00962EBE">
          <w:rPr>
            <w:rStyle w:val="ad"/>
            <w:sz w:val="24"/>
            <w:szCs w:val="24"/>
            <w:lang w:val="en-US"/>
          </w:rPr>
          <w:t>ecd</w:t>
        </w:r>
        <w:proofErr w:type="spellEnd"/>
        <w:r w:rsidR="00300749" w:rsidRPr="00962EBE">
          <w:rPr>
            <w:rStyle w:val="ad"/>
            <w:sz w:val="24"/>
            <w:szCs w:val="24"/>
            <w:lang w:val="ru-RU"/>
          </w:rPr>
          <w:t>/</w:t>
        </w:r>
        <w:r w:rsidR="00300749" w:rsidRPr="00962EBE">
          <w:rPr>
            <w:rStyle w:val="ad"/>
            <w:sz w:val="24"/>
            <w:szCs w:val="24"/>
            <w:lang w:val="en-US"/>
          </w:rPr>
          <w:t>development</w:t>
        </w:r>
        <w:r w:rsidR="00300749" w:rsidRPr="00962EBE">
          <w:rPr>
            <w:rStyle w:val="ad"/>
            <w:sz w:val="24"/>
            <w:szCs w:val="24"/>
            <w:lang w:val="ru-RU"/>
          </w:rPr>
          <w:t>-</w:t>
        </w:r>
        <w:r w:rsidR="00300749" w:rsidRPr="00962EBE">
          <w:rPr>
            <w:rStyle w:val="ad"/>
            <w:sz w:val="24"/>
            <w:szCs w:val="24"/>
            <w:lang w:val="en-US"/>
          </w:rPr>
          <w:t>status</w:t>
        </w:r>
        <w:r w:rsidR="00300749" w:rsidRPr="00962EBE">
          <w:rPr>
            <w:rStyle w:val="ad"/>
            <w:sz w:val="24"/>
            <w:szCs w:val="24"/>
            <w:lang w:val="ru-RU"/>
          </w:rPr>
          <w:t>.</w:t>
        </w:r>
        <w:r w:rsidR="00300749" w:rsidRPr="00962EBE">
          <w:rPr>
            <w:rStyle w:val="ad"/>
            <w:sz w:val="24"/>
            <w:szCs w:val="24"/>
            <w:lang w:val="en-US"/>
          </w:rPr>
          <w:t>html</w:t>
        </w:r>
      </w:hyperlink>
    </w:p>
    <w:sectPr w:rsidR="00D31F63" w:rsidRPr="003007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84" w:rsidRDefault="00947684" w:rsidP="00F73DBC">
      <w:pPr>
        <w:spacing w:after="0" w:line="240" w:lineRule="auto"/>
      </w:pPr>
      <w:r>
        <w:separator/>
      </w:r>
    </w:p>
  </w:endnote>
  <w:endnote w:type="continuationSeparator" w:id="0">
    <w:p w:rsidR="00947684" w:rsidRDefault="00947684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84" w:rsidRDefault="00947684" w:rsidP="00F73DBC">
      <w:pPr>
        <w:spacing w:after="0" w:line="240" w:lineRule="auto"/>
      </w:pPr>
      <w:r>
        <w:separator/>
      </w:r>
    </w:p>
  </w:footnote>
  <w:footnote w:type="continuationSeparator" w:id="0">
    <w:p w:rsidR="00947684" w:rsidRDefault="00947684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3A5" w:rsidRDefault="00FE53A5" w:rsidP="009508D1">
    <w:pPr>
      <w:pStyle w:val="af"/>
      <w:jc w:val="right"/>
      <w:rPr>
        <w:i/>
      </w:rPr>
    </w:pPr>
    <w:r w:rsidRPr="009508D1">
      <w:rPr>
        <w:i/>
      </w:rPr>
      <w:t>Неофициальный перевод</w:t>
    </w:r>
    <w:r>
      <w:rPr>
        <w:i/>
      </w:rPr>
      <w:t xml:space="preserve"> </w:t>
    </w:r>
  </w:p>
  <w:p w:rsidR="00FE53A5" w:rsidRPr="00195569" w:rsidRDefault="00FE53A5" w:rsidP="009508D1">
    <w:pPr>
      <w:pStyle w:val="af"/>
      <w:jc w:val="right"/>
    </w:pPr>
    <w:r>
      <w:t xml:space="preserve">Последнее обновление: </w:t>
    </w:r>
    <w:r w:rsidR="00B140AF">
      <w:t>июнь</w:t>
    </w:r>
    <w:r w:rsidR="00195569">
      <w:t xml:space="preserve"> 202</w:t>
    </w:r>
    <w:r w:rsidR="00B140AF">
      <w:t>4</w:t>
    </w:r>
  </w:p>
  <w:p w:rsidR="00FE53A5" w:rsidRDefault="00FE53A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19F"/>
    <w:multiLevelType w:val="hybridMultilevel"/>
    <w:tmpl w:val="263AE4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3DF5"/>
    <w:multiLevelType w:val="hybridMultilevel"/>
    <w:tmpl w:val="583085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32A88"/>
    <w:multiLevelType w:val="hybridMultilevel"/>
    <w:tmpl w:val="0310C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4833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0B0C"/>
    <w:multiLevelType w:val="hybridMultilevel"/>
    <w:tmpl w:val="963E2F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1FC6"/>
    <w:multiLevelType w:val="hybridMultilevel"/>
    <w:tmpl w:val="3BCA43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F20A5"/>
    <w:multiLevelType w:val="hybridMultilevel"/>
    <w:tmpl w:val="08A27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60379"/>
    <w:multiLevelType w:val="hybridMultilevel"/>
    <w:tmpl w:val="12AE00E4"/>
    <w:lvl w:ilvl="0" w:tplc="4C7208D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B05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530A"/>
    <w:multiLevelType w:val="hybridMultilevel"/>
    <w:tmpl w:val="F6EA05B4"/>
    <w:lvl w:ilvl="0" w:tplc="196A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B25C7"/>
    <w:multiLevelType w:val="hybridMultilevel"/>
    <w:tmpl w:val="6F9E7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EBA6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53845"/>
    <w:multiLevelType w:val="hybridMultilevel"/>
    <w:tmpl w:val="D06A144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F67AA"/>
    <w:multiLevelType w:val="hybridMultilevel"/>
    <w:tmpl w:val="6F30E0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D6AAA"/>
    <w:multiLevelType w:val="hybridMultilevel"/>
    <w:tmpl w:val="E9121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677D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D3BA1"/>
    <w:multiLevelType w:val="hybridMultilevel"/>
    <w:tmpl w:val="8870B1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D63B6"/>
    <w:multiLevelType w:val="hybridMultilevel"/>
    <w:tmpl w:val="03E4A948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32D0"/>
    <w:multiLevelType w:val="hybridMultilevel"/>
    <w:tmpl w:val="2BD85E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201E0"/>
    <w:multiLevelType w:val="hybridMultilevel"/>
    <w:tmpl w:val="3D7E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02403"/>
    <w:multiLevelType w:val="hybridMultilevel"/>
    <w:tmpl w:val="8840A6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A52F5"/>
    <w:multiLevelType w:val="hybridMultilevel"/>
    <w:tmpl w:val="5DF04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40CDF"/>
    <w:multiLevelType w:val="hybridMultilevel"/>
    <w:tmpl w:val="E21CF0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11EBE"/>
    <w:multiLevelType w:val="hybridMultilevel"/>
    <w:tmpl w:val="0BDC344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E44B1"/>
    <w:multiLevelType w:val="hybridMultilevel"/>
    <w:tmpl w:val="EEF81F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F174D"/>
    <w:multiLevelType w:val="hybridMultilevel"/>
    <w:tmpl w:val="5524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E48DD"/>
    <w:multiLevelType w:val="hybridMultilevel"/>
    <w:tmpl w:val="01DEEE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C0B0A"/>
    <w:multiLevelType w:val="hybridMultilevel"/>
    <w:tmpl w:val="4B5E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D437F"/>
    <w:multiLevelType w:val="hybridMultilevel"/>
    <w:tmpl w:val="47D4F1F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F94B1B"/>
    <w:multiLevelType w:val="hybridMultilevel"/>
    <w:tmpl w:val="2B6C235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26A5B"/>
    <w:multiLevelType w:val="hybridMultilevel"/>
    <w:tmpl w:val="DAF20506"/>
    <w:lvl w:ilvl="0" w:tplc="69DCAF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4091E"/>
    <w:multiLevelType w:val="hybridMultilevel"/>
    <w:tmpl w:val="FB86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61750"/>
    <w:multiLevelType w:val="hybridMultilevel"/>
    <w:tmpl w:val="AA0C2536"/>
    <w:lvl w:ilvl="0" w:tplc="69DCAFD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4242B"/>
    <w:multiLevelType w:val="hybridMultilevel"/>
    <w:tmpl w:val="2E1691CA"/>
    <w:lvl w:ilvl="0" w:tplc="C9B24C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03307"/>
    <w:multiLevelType w:val="multilevel"/>
    <w:tmpl w:val="EC8C5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DD508BB"/>
    <w:multiLevelType w:val="multilevel"/>
    <w:tmpl w:val="6A0CA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>
    <w:nsid w:val="627029C3"/>
    <w:multiLevelType w:val="hybridMultilevel"/>
    <w:tmpl w:val="AD9240B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63A9A"/>
    <w:multiLevelType w:val="hybridMultilevel"/>
    <w:tmpl w:val="39FE4122"/>
    <w:lvl w:ilvl="0" w:tplc="10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41077E0"/>
    <w:multiLevelType w:val="hybridMultilevel"/>
    <w:tmpl w:val="372C22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E2EC0"/>
    <w:multiLevelType w:val="hybridMultilevel"/>
    <w:tmpl w:val="7E447D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15DF2"/>
    <w:multiLevelType w:val="multilevel"/>
    <w:tmpl w:val="BC6AE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B6B316B"/>
    <w:multiLevelType w:val="hybridMultilevel"/>
    <w:tmpl w:val="17EE7E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2F7A58"/>
    <w:multiLevelType w:val="hybridMultilevel"/>
    <w:tmpl w:val="F254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A32812"/>
    <w:multiLevelType w:val="hybridMultilevel"/>
    <w:tmpl w:val="F3129A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8374BE"/>
    <w:multiLevelType w:val="hybridMultilevel"/>
    <w:tmpl w:val="BA4EB6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F50DE"/>
    <w:multiLevelType w:val="hybridMultilevel"/>
    <w:tmpl w:val="10AE637E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61BE6"/>
    <w:multiLevelType w:val="hybridMultilevel"/>
    <w:tmpl w:val="EED400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00FA7"/>
    <w:multiLevelType w:val="multilevel"/>
    <w:tmpl w:val="06044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3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3"/>
  </w:num>
  <w:num w:numId="3">
    <w:abstractNumId w:val="24"/>
  </w:num>
  <w:num w:numId="4">
    <w:abstractNumId w:val="31"/>
  </w:num>
  <w:num w:numId="5">
    <w:abstractNumId w:val="9"/>
  </w:num>
  <w:num w:numId="6">
    <w:abstractNumId w:val="12"/>
  </w:num>
  <w:num w:numId="7">
    <w:abstractNumId w:val="21"/>
  </w:num>
  <w:num w:numId="8">
    <w:abstractNumId w:val="19"/>
  </w:num>
  <w:num w:numId="9">
    <w:abstractNumId w:val="27"/>
  </w:num>
  <w:num w:numId="10">
    <w:abstractNumId w:val="7"/>
  </w:num>
  <w:num w:numId="11">
    <w:abstractNumId w:val="10"/>
  </w:num>
  <w:num w:numId="12">
    <w:abstractNumId w:val="18"/>
  </w:num>
  <w:num w:numId="13">
    <w:abstractNumId w:val="39"/>
  </w:num>
  <w:num w:numId="14">
    <w:abstractNumId w:val="41"/>
  </w:num>
  <w:num w:numId="15">
    <w:abstractNumId w:val="44"/>
  </w:num>
  <w:num w:numId="16">
    <w:abstractNumId w:val="40"/>
  </w:num>
  <w:num w:numId="17">
    <w:abstractNumId w:val="16"/>
  </w:num>
  <w:num w:numId="18">
    <w:abstractNumId w:val="11"/>
  </w:num>
  <w:num w:numId="19">
    <w:abstractNumId w:val="0"/>
  </w:num>
  <w:num w:numId="20">
    <w:abstractNumId w:val="43"/>
  </w:num>
  <w:num w:numId="21">
    <w:abstractNumId w:val="17"/>
  </w:num>
  <w:num w:numId="22">
    <w:abstractNumId w:val="47"/>
  </w:num>
  <w:num w:numId="23">
    <w:abstractNumId w:val="23"/>
  </w:num>
  <w:num w:numId="24">
    <w:abstractNumId w:val="37"/>
  </w:num>
  <w:num w:numId="25">
    <w:abstractNumId w:val="5"/>
  </w:num>
  <w:num w:numId="26">
    <w:abstractNumId w:val="34"/>
  </w:num>
  <w:num w:numId="27">
    <w:abstractNumId w:val="13"/>
  </w:num>
  <w:num w:numId="28">
    <w:abstractNumId w:val="26"/>
  </w:num>
  <w:num w:numId="29">
    <w:abstractNumId w:val="20"/>
  </w:num>
  <w:num w:numId="30">
    <w:abstractNumId w:val="35"/>
  </w:num>
  <w:num w:numId="31">
    <w:abstractNumId w:val="46"/>
  </w:num>
  <w:num w:numId="32">
    <w:abstractNumId w:val="14"/>
  </w:num>
  <w:num w:numId="33">
    <w:abstractNumId w:val="45"/>
  </w:num>
  <w:num w:numId="34">
    <w:abstractNumId w:val="1"/>
  </w:num>
  <w:num w:numId="35">
    <w:abstractNumId w:val="38"/>
  </w:num>
  <w:num w:numId="36">
    <w:abstractNumId w:val="15"/>
  </w:num>
  <w:num w:numId="37">
    <w:abstractNumId w:val="36"/>
  </w:num>
  <w:num w:numId="38">
    <w:abstractNumId w:val="3"/>
  </w:num>
  <w:num w:numId="39">
    <w:abstractNumId w:val="32"/>
  </w:num>
  <w:num w:numId="40">
    <w:abstractNumId w:val="8"/>
  </w:num>
  <w:num w:numId="41">
    <w:abstractNumId w:val="29"/>
  </w:num>
  <w:num w:numId="42">
    <w:abstractNumId w:val="6"/>
  </w:num>
  <w:num w:numId="43">
    <w:abstractNumId w:val="2"/>
  </w:num>
  <w:num w:numId="44">
    <w:abstractNumId w:val="30"/>
  </w:num>
  <w:num w:numId="45">
    <w:abstractNumId w:val="28"/>
  </w:num>
  <w:num w:numId="46">
    <w:abstractNumId w:val="25"/>
  </w:num>
  <w:num w:numId="47">
    <w:abstractNumId w:val="2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6140"/>
    <w:rsid w:val="00017B67"/>
    <w:rsid w:val="00040034"/>
    <w:rsid w:val="00042638"/>
    <w:rsid w:val="00053D20"/>
    <w:rsid w:val="00062184"/>
    <w:rsid w:val="00066024"/>
    <w:rsid w:val="000A210D"/>
    <w:rsid w:val="000A229E"/>
    <w:rsid w:val="000A47E6"/>
    <w:rsid w:val="000C3DC0"/>
    <w:rsid w:val="0011581A"/>
    <w:rsid w:val="00116248"/>
    <w:rsid w:val="00120E95"/>
    <w:rsid w:val="00122608"/>
    <w:rsid w:val="00133E22"/>
    <w:rsid w:val="00146B30"/>
    <w:rsid w:val="00146FDC"/>
    <w:rsid w:val="001470A2"/>
    <w:rsid w:val="001505DD"/>
    <w:rsid w:val="00162B33"/>
    <w:rsid w:val="00165896"/>
    <w:rsid w:val="00195569"/>
    <w:rsid w:val="001A163A"/>
    <w:rsid w:val="001E2FC9"/>
    <w:rsid w:val="00220DFC"/>
    <w:rsid w:val="002B2508"/>
    <w:rsid w:val="002E122C"/>
    <w:rsid w:val="002E15F9"/>
    <w:rsid w:val="002E2DAB"/>
    <w:rsid w:val="002F63E5"/>
    <w:rsid w:val="00300749"/>
    <w:rsid w:val="00303D71"/>
    <w:rsid w:val="003143BC"/>
    <w:rsid w:val="003746BC"/>
    <w:rsid w:val="00376FE6"/>
    <w:rsid w:val="00397764"/>
    <w:rsid w:val="003A389C"/>
    <w:rsid w:val="003B2CF2"/>
    <w:rsid w:val="003B340F"/>
    <w:rsid w:val="003E03CC"/>
    <w:rsid w:val="004066A3"/>
    <w:rsid w:val="00407E4E"/>
    <w:rsid w:val="004143B4"/>
    <w:rsid w:val="00422DE3"/>
    <w:rsid w:val="004439E8"/>
    <w:rsid w:val="00453CF8"/>
    <w:rsid w:val="00480D4F"/>
    <w:rsid w:val="004B638C"/>
    <w:rsid w:val="004B6FA0"/>
    <w:rsid w:val="004D283B"/>
    <w:rsid w:val="004E087E"/>
    <w:rsid w:val="00504CD2"/>
    <w:rsid w:val="005226FC"/>
    <w:rsid w:val="00543050"/>
    <w:rsid w:val="00570F51"/>
    <w:rsid w:val="00577C9B"/>
    <w:rsid w:val="005974D1"/>
    <w:rsid w:val="005A0EA5"/>
    <w:rsid w:val="005C123D"/>
    <w:rsid w:val="005E2ABC"/>
    <w:rsid w:val="005E47BD"/>
    <w:rsid w:val="005F5D78"/>
    <w:rsid w:val="006120E1"/>
    <w:rsid w:val="00623607"/>
    <w:rsid w:val="006308D5"/>
    <w:rsid w:val="00647C5F"/>
    <w:rsid w:val="00654380"/>
    <w:rsid w:val="00694160"/>
    <w:rsid w:val="006B260E"/>
    <w:rsid w:val="006B3939"/>
    <w:rsid w:val="006D7049"/>
    <w:rsid w:val="006E66FC"/>
    <w:rsid w:val="006F1198"/>
    <w:rsid w:val="00702333"/>
    <w:rsid w:val="00704A8D"/>
    <w:rsid w:val="00705161"/>
    <w:rsid w:val="00715ADB"/>
    <w:rsid w:val="007235FA"/>
    <w:rsid w:val="00730580"/>
    <w:rsid w:val="0075371E"/>
    <w:rsid w:val="00780F08"/>
    <w:rsid w:val="0078233F"/>
    <w:rsid w:val="0078726E"/>
    <w:rsid w:val="007B0CFD"/>
    <w:rsid w:val="007B0D42"/>
    <w:rsid w:val="007C27E0"/>
    <w:rsid w:val="007C6471"/>
    <w:rsid w:val="007D1185"/>
    <w:rsid w:val="007D49DE"/>
    <w:rsid w:val="007E6317"/>
    <w:rsid w:val="0082082A"/>
    <w:rsid w:val="008501F4"/>
    <w:rsid w:val="00853C09"/>
    <w:rsid w:val="008616D9"/>
    <w:rsid w:val="00873534"/>
    <w:rsid w:val="00881054"/>
    <w:rsid w:val="008D2806"/>
    <w:rsid w:val="00900860"/>
    <w:rsid w:val="0094218F"/>
    <w:rsid w:val="0094718C"/>
    <w:rsid w:val="00947684"/>
    <w:rsid w:val="009508D1"/>
    <w:rsid w:val="009558D8"/>
    <w:rsid w:val="00957A62"/>
    <w:rsid w:val="00964BE9"/>
    <w:rsid w:val="00980F79"/>
    <w:rsid w:val="009843DD"/>
    <w:rsid w:val="00990634"/>
    <w:rsid w:val="009917DD"/>
    <w:rsid w:val="00995788"/>
    <w:rsid w:val="009B3820"/>
    <w:rsid w:val="009B6CB3"/>
    <w:rsid w:val="009B78A2"/>
    <w:rsid w:val="009D078D"/>
    <w:rsid w:val="009E707C"/>
    <w:rsid w:val="009F0769"/>
    <w:rsid w:val="009F4A17"/>
    <w:rsid w:val="00A343D5"/>
    <w:rsid w:val="00A41B68"/>
    <w:rsid w:val="00A44394"/>
    <w:rsid w:val="00A618FC"/>
    <w:rsid w:val="00A71EC6"/>
    <w:rsid w:val="00A73CA7"/>
    <w:rsid w:val="00A91FDE"/>
    <w:rsid w:val="00B0378B"/>
    <w:rsid w:val="00B140AF"/>
    <w:rsid w:val="00B17F13"/>
    <w:rsid w:val="00B51BC3"/>
    <w:rsid w:val="00B62ECD"/>
    <w:rsid w:val="00B72F77"/>
    <w:rsid w:val="00BA05C5"/>
    <w:rsid w:val="00BD29EC"/>
    <w:rsid w:val="00BE4D76"/>
    <w:rsid w:val="00BE70C8"/>
    <w:rsid w:val="00C00312"/>
    <w:rsid w:val="00C25229"/>
    <w:rsid w:val="00C34D1D"/>
    <w:rsid w:val="00C645C4"/>
    <w:rsid w:val="00C74767"/>
    <w:rsid w:val="00C83435"/>
    <w:rsid w:val="00C8596F"/>
    <w:rsid w:val="00C909FE"/>
    <w:rsid w:val="00C95868"/>
    <w:rsid w:val="00CA1CB1"/>
    <w:rsid w:val="00CF7625"/>
    <w:rsid w:val="00D006C1"/>
    <w:rsid w:val="00D05466"/>
    <w:rsid w:val="00D062FA"/>
    <w:rsid w:val="00D1082C"/>
    <w:rsid w:val="00D127E0"/>
    <w:rsid w:val="00D27196"/>
    <w:rsid w:val="00D273C6"/>
    <w:rsid w:val="00D31F63"/>
    <w:rsid w:val="00D50F75"/>
    <w:rsid w:val="00D54600"/>
    <w:rsid w:val="00D604B3"/>
    <w:rsid w:val="00D636C1"/>
    <w:rsid w:val="00D644B9"/>
    <w:rsid w:val="00D65EF2"/>
    <w:rsid w:val="00D71A86"/>
    <w:rsid w:val="00DD4453"/>
    <w:rsid w:val="00DF63B6"/>
    <w:rsid w:val="00E206E6"/>
    <w:rsid w:val="00E21B43"/>
    <w:rsid w:val="00E27922"/>
    <w:rsid w:val="00E33CA8"/>
    <w:rsid w:val="00E55C4C"/>
    <w:rsid w:val="00E75828"/>
    <w:rsid w:val="00E834AD"/>
    <w:rsid w:val="00E90BD4"/>
    <w:rsid w:val="00EA489E"/>
    <w:rsid w:val="00EA60C7"/>
    <w:rsid w:val="00EB1910"/>
    <w:rsid w:val="00EB389E"/>
    <w:rsid w:val="00EB4B5F"/>
    <w:rsid w:val="00EB4CBB"/>
    <w:rsid w:val="00EE3914"/>
    <w:rsid w:val="00EE3BB4"/>
    <w:rsid w:val="00F10B0A"/>
    <w:rsid w:val="00F6371F"/>
    <w:rsid w:val="00F66E7B"/>
    <w:rsid w:val="00F73DBC"/>
    <w:rsid w:val="00F84FF1"/>
    <w:rsid w:val="00FA09D2"/>
    <w:rsid w:val="00FE1B93"/>
    <w:rsid w:val="00FE35CF"/>
    <w:rsid w:val="00FE53A5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2B33"/>
    <w:pPr>
      <w:spacing w:after="8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31F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5">
    <w:name w:val="footnote text"/>
    <w:basedOn w:val="a"/>
    <w:link w:val="a6"/>
    <w:uiPriority w:val="99"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F73DBC"/>
    <w:rPr>
      <w:sz w:val="20"/>
      <w:szCs w:val="20"/>
    </w:rPr>
  </w:style>
  <w:style w:type="character" w:styleId="a7">
    <w:name w:val="footnote reference"/>
    <w:basedOn w:val="a1"/>
    <w:uiPriority w:val="99"/>
    <w:unhideWhenUsed/>
    <w:rsid w:val="00F73DBC"/>
    <w:rPr>
      <w:vertAlign w:val="superscript"/>
    </w:rPr>
  </w:style>
  <w:style w:type="character" w:styleId="a8">
    <w:name w:val="Placeholder Text"/>
    <w:basedOn w:val="a1"/>
    <w:uiPriority w:val="99"/>
    <w:semiHidden/>
    <w:rsid w:val="005E47B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d">
    <w:name w:val="Hyperlink"/>
    <w:basedOn w:val="a1"/>
    <w:uiPriority w:val="99"/>
    <w:unhideWhenUsed/>
    <w:rsid w:val="00EB389E"/>
    <w:rPr>
      <w:color w:val="0000FF" w:themeColor="hyperlink"/>
      <w:u w:val="single"/>
    </w:rPr>
  </w:style>
  <w:style w:type="table" w:styleId="ae">
    <w:name w:val="Light Shading"/>
    <w:basedOn w:val="a2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">
    <w:name w:val="header"/>
    <w:basedOn w:val="a"/>
    <w:link w:val="af0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508D1"/>
  </w:style>
  <w:style w:type="paragraph" w:styleId="af1">
    <w:name w:val="footer"/>
    <w:basedOn w:val="a"/>
    <w:link w:val="af2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508D1"/>
  </w:style>
  <w:style w:type="paragraph" w:styleId="af3">
    <w:name w:val="annotation text"/>
    <w:basedOn w:val="a"/>
    <w:link w:val="af4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4">
    <w:name w:val="Текст примечания Знак"/>
    <w:basedOn w:val="a1"/>
    <w:link w:val="af3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1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2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1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character" w:styleId="af5">
    <w:name w:val="FollowedHyperlink"/>
    <w:basedOn w:val="a1"/>
    <w:uiPriority w:val="99"/>
    <w:semiHidden/>
    <w:unhideWhenUsed/>
    <w:rsid w:val="00422DE3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D31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af6">
    <w:name w:val="annotation reference"/>
    <w:basedOn w:val="a1"/>
    <w:uiPriority w:val="99"/>
    <w:semiHidden/>
    <w:unhideWhenUsed/>
    <w:rsid w:val="00D31F63"/>
    <w:rPr>
      <w:sz w:val="16"/>
      <w:szCs w:val="16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31F63"/>
    <w:pPr>
      <w:jc w:val="left"/>
    </w:pPr>
    <w:rPr>
      <w:rFonts w:asciiTheme="minorHAnsi" w:hAnsiTheme="minorHAnsi"/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31F63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MSubHeader">
    <w:name w:val="M.Sub.Header"/>
    <w:basedOn w:val="a"/>
    <w:link w:val="MSubHeaderChar"/>
    <w:qFormat/>
    <w:rsid w:val="00D31F63"/>
    <w:pPr>
      <w:shd w:val="clear" w:color="auto" w:fill="FFFFFF"/>
      <w:spacing w:after="0"/>
      <w:jc w:val="left"/>
    </w:pPr>
    <w:rPr>
      <w:rFonts w:asciiTheme="minorHAnsi" w:eastAsia="Times New Roman" w:hAnsiTheme="minorHAnsi" w:cs="Times New Roman"/>
      <w:b/>
      <w:bCs/>
      <w:color w:val="4A4A4A"/>
      <w:sz w:val="21"/>
      <w:szCs w:val="21"/>
      <w:lang w:val="en-GB" w:eastAsia="en-GB"/>
    </w:rPr>
  </w:style>
  <w:style w:type="paragraph" w:customStyle="1" w:styleId="MGTHeader">
    <w:name w:val="M.G+T.Header"/>
    <w:basedOn w:val="a"/>
    <w:link w:val="MGTHeaderChar"/>
    <w:qFormat/>
    <w:rsid w:val="00D31F63"/>
    <w:pPr>
      <w:shd w:val="clear" w:color="auto" w:fill="F5F5F5"/>
      <w:spacing w:after="0"/>
      <w:jc w:val="left"/>
      <w:outlineLvl w:val="4"/>
    </w:pPr>
    <w:rPr>
      <w:rFonts w:asciiTheme="minorHAnsi" w:eastAsia="Times New Roman" w:hAnsiTheme="minorHAnsi" w:cs="Times New Roman"/>
      <w:color w:val="333333"/>
      <w:sz w:val="21"/>
      <w:szCs w:val="21"/>
      <w:lang w:val="en-GB" w:eastAsia="en-GB"/>
    </w:rPr>
  </w:style>
  <w:style w:type="character" w:customStyle="1" w:styleId="MSubHeaderChar">
    <w:name w:val="M.Sub.Header Char"/>
    <w:basedOn w:val="a1"/>
    <w:link w:val="MSubHeader"/>
    <w:rsid w:val="00D31F63"/>
    <w:rPr>
      <w:rFonts w:eastAsia="Times New Roman" w:cs="Times New Roman"/>
      <w:b/>
      <w:bCs/>
      <w:color w:val="4A4A4A"/>
      <w:sz w:val="21"/>
      <w:szCs w:val="21"/>
      <w:shd w:val="clear" w:color="auto" w:fill="FFFFFF"/>
      <w:lang w:val="en-GB" w:eastAsia="en-GB"/>
    </w:rPr>
  </w:style>
  <w:style w:type="paragraph" w:customStyle="1" w:styleId="MIndHeader">
    <w:name w:val="M.Ind.Header"/>
    <w:basedOn w:val="a"/>
    <w:link w:val="MIndHeaderChar"/>
    <w:qFormat/>
    <w:rsid w:val="00D31F63"/>
    <w:pPr>
      <w:shd w:val="clear" w:color="auto" w:fill="F5F5F5"/>
      <w:spacing w:after="0"/>
      <w:jc w:val="left"/>
      <w:outlineLvl w:val="1"/>
    </w:pPr>
    <w:rPr>
      <w:rFonts w:asciiTheme="minorHAnsi" w:eastAsia="Times New Roman" w:hAnsiTheme="minorHAnsi" w:cs="Times New Roman"/>
      <w:color w:val="1C75BC"/>
      <w:sz w:val="22"/>
      <w:lang w:val="en-GB" w:eastAsia="en-GB"/>
    </w:rPr>
  </w:style>
  <w:style w:type="character" w:customStyle="1" w:styleId="MGTHeaderChar">
    <w:name w:val="M.G+T.Header Char"/>
    <w:basedOn w:val="a1"/>
    <w:link w:val="MGTHeader"/>
    <w:rsid w:val="00D31F63"/>
    <w:rPr>
      <w:rFonts w:eastAsia="Times New Roman" w:cs="Times New Roman"/>
      <w:color w:val="333333"/>
      <w:sz w:val="21"/>
      <w:szCs w:val="21"/>
      <w:shd w:val="clear" w:color="auto" w:fill="F5F5F5"/>
      <w:lang w:val="en-GB" w:eastAsia="en-GB"/>
    </w:rPr>
  </w:style>
  <w:style w:type="character" w:customStyle="1" w:styleId="MIndHeaderChar">
    <w:name w:val="M.Ind.Header Char"/>
    <w:basedOn w:val="a1"/>
    <w:link w:val="MIndHeader"/>
    <w:rsid w:val="00D31F63"/>
    <w:rPr>
      <w:rFonts w:eastAsia="Times New Roman" w:cs="Times New Roman"/>
      <w:color w:val="1C75BC"/>
      <w:shd w:val="clear" w:color="auto" w:fill="F5F5F5"/>
      <w:lang w:val="en-GB" w:eastAsia="en-GB"/>
    </w:rPr>
  </w:style>
  <w:style w:type="paragraph" w:styleId="af9">
    <w:name w:val="Body Text"/>
    <w:basedOn w:val="a"/>
    <w:link w:val="afa"/>
    <w:uiPriority w:val="1"/>
    <w:qFormat/>
    <w:rsid w:val="00D31F63"/>
    <w:pPr>
      <w:widowControl w:val="0"/>
      <w:autoSpaceDE w:val="0"/>
      <w:autoSpaceDN w:val="0"/>
      <w:adjustRightInd w:val="0"/>
      <w:spacing w:before="64" w:after="0" w:line="240" w:lineRule="auto"/>
      <w:ind w:left="845"/>
      <w:jc w:val="left"/>
    </w:pPr>
    <w:rPr>
      <w:rFonts w:ascii="Arial" w:eastAsiaTheme="minorEastAsia" w:hAnsi="Arial" w:cs="Arial"/>
      <w:sz w:val="19"/>
      <w:szCs w:val="19"/>
      <w:lang w:val="en-GB" w:eastAsia="en-GB"/>
    </w:rPr>
  </w:style>
  <w:style w:type="character" w:customStyle="1" w:styleId="afa">
    <w:name w:val="Основной текст Знак"/>
    <w:basedOn w:val="a1"/>
    <w:link w:val="af9"/>
    <w:uiPriority w:val="1"/>
    <w:rsid w:val="00D31F63"/>
    <w:rPr>
      <w:rFonts w:ascii="Arial" w:eastAsiaTheme="minorEastAsia" w:hAnsi="Arial" w:cs="Arial"/>
      <w:sz w:val="19"/>
      <w:szCs w:val="19"/>
      <w:lang w:val="en-GB" w:eastAsia="en-GB"/>
    </w:rPr>
  </w:style>
  <w:style w:type="paragraph" w:styleId="HTML">
    <w:name w:val="HTML Preformatted"/>
    <w:basedOn w:val="a"/>
    <w:link w:val="HTML0"/>
    <w:uiPriority w:val="99"/>
    <w:semiHidden/>
    <w:unhideWhenUsed/>
    <w:rsid w:val="00D31F63"/>
    <w:pPr>
      <w:spacing w:after="0" w:line="240" w:lineRule="auto"/>
      <w:jc w:val="left"/>
    </w:pPr>
    <w:rPr>
      <w:rFonts w:ascii="Consolas" w:eastAsiaTheme="minorEastAsia" w:hAnsi="Consolas"/>
      <w:sz w:val="20"/>
      <w:szCs w:val="20"/>
      <w:lang w:val="en-GB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31F63"/>
    <w:rPr>
      <w:rFonts w:ascii="Consolas" w:eastAsiaTheme="minorEastAsia" w:hAnsi="Consolas"/>
      <w:sz w:val="20"/>
      <w:szCs w:val="20"/>
      <w:lang w:val="en-GB" w:eastAsia="zh-CN"/>
    </w:rPr>
  </w:style>
  <w:style w:type="paragraph" w:styleId="afb">
    <w:name w:val="Normal (Web)"/>
    <w:basedOn w:val="a"/>
    <w:uiPriority w:val="99"/>
    <w:semiHidden/>
    <w:unhideWhenUsed/>
    <w:rsid w:val="00D31F63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fr-CH" w:eastAsia="fr-CH"/>
    </w:rPr>
  </w:style>
  <w:style w:type="table" w:customStyle="1" w:styleId="GridTableLight">
    <w:name w:val="Grid Table Light"/>
    <w:basedOn w:val="a2"/>
    <w:uiPriority w:val="40"/>
    <w:rsid w:val="00BA05C5"/>
    <w:pPr>
      <w:spacing w:after="0" w:line="240" w:lineRule="auto"/>
    </w:pPr>
    <w:rPr>
      <w:rFonts w:eastAsiaTheme="minorEastAsia"/>
      <w:lang w:val="en-GB" w:eastAsia="zh-CN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0">
    <w:name w:val="No Spacing"/>
    <w:uiPriority w:val="1"/>
    <w:qFormat/>
    <w:rsid w:val="009558D8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ata.unicef.org/ecd/development-stat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E09F-404F-440D-B23C-24D98B20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30</cp:revision>
  <dcterms:created xsi:type="dcterms:W3CDTF">2021-08-11T14:51:00Z</dcterms:created>
  <dcterms:modified xsi:type="dcterms:W3CDTF">2024-08-09T13:03:00Z</dcterms:modified>
</cp:coreProperties>
</file>