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FD" w:rsidRPr="00F02379" w:rsidRDefault="00A232E8" w:rsidP="006C4BFD">
      <w:pPr>
        <w:spacing w:after="0"/>
        <w:jc w:val="center"/>
        <w:rPr>
          <w:rFonts w:cs="Calibri"/>
          <w:lang w:val="ru-RU"/>
        </w:rPr>
      </w:pPr>
      <w:r w:rsidRPr="00A232E8">
        <w:rPr>
          <w:rFonts w:eastAsia="Times New Roman" w:cs="Calibri"/>
          <w:color w:val="1C75BC"/>
          <w:sz w:val="36"/>
          <w:szCs w:val="36"/>
          <w:lang w:val="ru-RU" w:eastAsia="en-GB"/>
        </w:rPr>
        <w:t>Метаданные показателя ЦУР</w:t>
      </w:r>
      <w:r>
        <w:rPr>
          <w:rFonts w:eastAsia="Times New Roman" w:cs="Calibri"/>
          <w:color w:val="1C75BC"/>
          <w:sz w:val="36"/>
          <w:szCs w:val="36"/>
          <w:lang w:val="ru-RU" w:eastAsia="en-GB"/>
        </w:rPr>
        <w:t xml:space="preserve"> </w:t>
      </w:r>
    </w:p>
    <w:p w:rsidR="006C4BFD" w:rsidRPr="00A232E8" w:rsidRDefault="00A232E8" w:rsidP="006C4BFD">
      <w:pPr>
        <w:spacing w:after="0"/>
        <w:jc w:val="center"/>
        <w:rPr>
          <w:rFonts w:eastAsia="Times New Roman" w:cs="Calibri"/>
          <w:b/>
          <w:bCs/>
          <w:color w:val="4A4A4A"/>
          <w:sz w:val="21"/>
          <w:szCs w:val="21"/>
          <w:lang w:val="ru-RU" w:eastAsia="en-GB"/>
        </w:rPr>
      </w:pPr>
      <w:r w:rsidRPr="00A232E8">
        <w:rPr>
          <w:rFonts w:eastAsia="Times New Roman" w:cs="Calibri"/>
          <w:b/>
          <w:bCs/>
          <w:color w:val="4A4A4A"/>
          <w:sz w:val="21"/>
          <w:szCs w:val="21"/>
          <w:lang w:val="ru-RU" w:eastAsia="en-GB"/>
        </w:rPr>
        <w:t>(Гармонизированный шаблон метаданных – формат версии 1.1)</w:t>
      </w:r>
    </w:p>
    <w:p w:rsidR="006C4BFD" w:rsidRPr="00A232E8" w:rsidRDefault="006C4BFD" w:rsidP="006C4BFD">
      <w:pPr>
        <w:spacing w:after="0"/>
        <w:rPr>
          <w:rFonts w:eastAsia="Times New Roman" w:cs="Times New Roman"/>
          <w:b/>
          <w:bCs/>
          <w:color w:val="4A4A4A"/>
          <w:sz w:val="21"/>
          <w:szCs w:val="21"/>
          <w:lang w:val="ru-RU" w:eastAsia="en-GB"/>
        </w:rPr>
      </w:pPr>
    </w:p>
    <w:p w:rsidR="00B31E2C" w:rsidRPr="00A232E8" w:rsidRDefault="00B31E2C" w:rsidP="00EA05D3">
      <w:pPr>
        <w:pStyle w:val="MIndHeader2"/>
        <w:rPr>
          <w:lang w:val="ru-RU"/>
        </w:rPr>
      </w:pPr>
      <w:r w:rsidRPr="00A232E8">
        <w:rPr>
          <w:lang w:val="ru-RU"/>
        </w:rPr>
        <w:t xml:space="preserve">0. </w:t>
      </w:r>
      <w:r w:rsidR="00A232E8">
        <w:rPr>
          <w:lang w:val="ru-RU"/>
        </w:rPr>
        <w:t>Информация о показателе</w:t>
      </w:r>
      <w:r w:rsidRPr="00A232E8">
        <w:rPr>
          <w:lang w:val="ru-RU"/>
        </w:rPr>
        <w:t xml:space="preserve"> </w:t>
      </w:r>
      <w:r w:rsidRPr="00A232E8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SDG</w:t>
      </w:r>
      <w:r w:rsidRPr="00A232E8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INDICATOR</w:t>
      </w:r>
      <w:r w:rsidRPr="00A232E8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INFO</w:t>
      </w:r>
      <w:r w:rsidRPr="00A232E8">
        <w:rPr>
          <w:color w:val="B4B4B4"/>
          <w:sz w:val="20"/>
          <w:lang w:val="ru-RU"/>
        </w:rPr>
        <w:t>)</w:t>
      </w:r>
    </w:p>
    <w:p w:rsidR="00D24330" w:rsidRPr="009166AC" w:rsidRDefault="00D24330" w:rsidP="00EA05D3">
      <w:pPr>
        <w:pStyle w:val="MIndHeader"/>
        <w:rPr>
          <w:color w:val="333333"/>
          <w:sz w:val="21"/>
          <w:lang w:val="ru-RU"/>
        </w:rPr>
      </w:pPr>
      <w:r w:rsidRPr="009166AC">
        <w:rPr>
          <w:lang w:val="ru-RU"/>
        </w:rPr>
        <w:t>0.</w:t>
      </w:r>
      <w:r w:rsidRPr="00A96255">
        <w:t>a</w:t>
      </w:r>
      <w:r w:rsidRPr="009166AC">
        <w:rPr>
          <w:lang w:val="ru-RU"/>
        </w:rPr>
        <w:t xml:space="preserve">. </w:t>
      </w:r>
      <w:r w:rsidR="00A232E8">
        <w:rPr>
          <w:lang w:val="ru-RU"/>
        </w:rPr>
        <w:t>Цель</w:t>
      </w:r>
      <w:r w:rsidR="00A232E8" w:rsidRPr="009166AC">
        <w:rPr>
          <w:lang w:val="ru-RU"/>
        </w:rPr>
        <w:t xml:space="preserve"> </w:t>
      </w:r>
      <w:r w:rsidRPr="009166AC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SDG</w:t>
      </w:r>
      <w:r w:rsidRPr="009166AC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GOAL</w:t>
      </w:r>
      <w:r w:rsidRPr="009166AC">
        <w:rPr>
          <w:color w:val="B4B4B4"/>
          <w:sz w:val="20"/>
          <w:lang w:val="ru-RU"/>
        </w:rPr>
        <w:t>)</w:t>
      </w:r>
      <w:r w:rsidR="000F77D0" w:rsidRPr="009166AC">
        <w:rPr>
          <w:color w:val="333333"/>
          <w:sz w:val="21"/>
          <w:lang w:val="ru-RU"/>
        </w:rPr>
        <w:t xml:space="preserve"> </w:t>
      </w:r>
    </w:p>
    <w:p w:rsidR="00234862" w:rsidRPr="00234862" w:rsidRDefault="00234862" w:rsidP="00234862">
      <w:pPr>
        <w:pStyle w:val="MGTHeader"/>
        <w:rPr>
          <w:rFonts w:eastAsia="Arial Unicode MS"/>
          <w:bdr w:val="nil"/>
          <w:lang w:val="ru-RU"/>
        </w:rPr>
      </w:pPr>
      <w:r w:rsidRPr="00234862">
        <w:rPr>
          <w:rFonts w:eastAsia="Arial Unicode MS"/>
          <w:bdr w:val="nil"/>
          <w:lang w:val="ru-RU"/>
        </w:rPr>
        <w:t>Цель 2: Ликвидация голода, обеспечение продовольственной безопасности и улучшения питания и содействие устойчиво</w:t>
      </w:r>
      <w:r w:rsidR="00D97F80">
        <w:rPr>
          <w:rFonts w:eastAsia="Arial Unicode MS"/>
          <w:bdr w:val="nil"/>
          <w:lang w:val="ru-RU"/>
        </w:rPr>
        <w:t>му развитию сельского хозяйства</w:t>
      </w:r>
    </w:p>
    <w:p w:rsidR="00D24330" w:rsidRPr="009166AC" w:rsidRDefault="00D24330" w:rsidP="00D24330">
      <w:pPr>
        <w:pStyle w:val="MIndHeader"/>
        <w:rPr>
          <w:color w:val="B4B4B4"/>
          <w:sz w:val="20"/>
          <w:lang w:val="ru-RU"/>
        </w:rPr>
      </w:pPr>
      <w:r w:rsidRPr="009166AC">
        <w:rPr>
          <w:lang w:val="ru-RU"/>
        </w:rPr>
        <w:t>0.</w:t>
      </w:r>
      <w:r w:rsidRPr="00A96255">
        <w:t>b</w:t>
      </w:r>
      <w:r w:rsidRPr="009166AC">
        <w:rPr>
          <w:lang w:val="ru-RU"/>
        </w:rPr>
        <w:t xml:space="preserve">. </w:t>
      </w:r>
      <w:r w:rsidR="005B711E">
        <w:rPr>
          <w:lang w:val="ru-RU"/>
        </w:rPr>
        <w:t>Задача</w:t>
      </w:r>
      <w:r w:rsidRPr="009166AC">
        <w:rPr>
          <w:lang w:val="ru-RU"/>
        </w:rPr>
        <w:t xml:space="preserve"> </w:t>
      </w:r>
      <w:r w:rsidRPr="009166AC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SDG</w:t>
      </w:r>
      <w:r w:rsidRPr="009166AC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TARGET</w:t>
      </w:r>
      <w:r w:rsidRPr="009166AC">
        <w:rPr>
          <w:color w:val="B4B4B4"/>
          <w:sz w:val="20"/>
          <w:lang w:val="ru-RU"/>
        </w:rPr>
        <w:t>)</w:t>
      </w:r>
    </w:p>
    <w:p w:rsidR="00234862" w:rsidRPr="00234862" w:rsidRDefault="00234862" w:rsidP="00234862">
      <w:pPr>
        <w:pStyle w:val="MGTHeader"/>
        <w:rPr>
          <w:lang w:val="ru-RU"/>
        </w:rPr>
      </w:pPr>
      <w:r w:rsidRPr="00234862">
        <w:rPr>
          <w:lang w:val="ru-RU"/>
        </w:rPr>
        <w:t>2.</w:t>
      </w:r>
      <w:r>
        <w:rPr>
          <w:lang w:val="en-US"/>
        </w:rPr>
        <w:t>a</w:t>
      </w:r>
      <w:r w:rsidRPr="00234862">
        <w:rPr>
          <w:lang w:val="ru-RU"/>
        </w:rPr>
        <w:t xml:space="preserve">. Увеличить инвестирование, в том числе посредством активизации международного сотрудничества, в сельскую инфраструктуру, сельскохозяйственные исследования и </w:t>
      </w:r>
      <w:proofErr w:type="spellStart"/>
      <w:r w:rsidRPr="00234862">
        <w:rPr>
          <w:lang w:val="ru-RU"/>
        </w:rPr>
        <w:t>агропропаганду</w:t>
      </w:r>
      <w:proofErr w:type="spellEnd"/>
      <w:r w:rsidRPr="00234862">
        <w:rPr>
          <w:lang w:val="ru-RU"/>
        </w:rPr>
        <w:t>, развитие технологий и создание генетических банков растений и животных в целях укрепления потенциала развивающихся стран, особенно наименее развитых стран, в области сельскохозяйственного прои</w:t>
      </w:r>
      <w:r w:rsidR="00D97F80">
        <w:rPr>
          <w:lang w:val="ru-RU"/>
        </w:rPr>
        <w:t>зводства</w:t>
      </w:r>
    </w:p>
    <w:p w:rsidR="00D24330" w:rsidRDefault="00D24330" w:rsidP="00D24330">
      <w:pPr>
        <w:pStyle w:val="MIndHeader"/>
        <w:rPr>
          <w:color w:val="B4B4B4"/>
          <w:sz w:val="20"/>
          <w:lang w:val="ru-RU"/>
        </w:rPr>
      </w:pPr>
      <w:r w:rsidRPr="00F02379">
        <w:rPr>
          <w:lang w:val="ru-RU"/>
        </w:rPr>
        <w:t>0.</w:t>
      </w:r>
      <w:r w:rsidRPr="00A96255">
        <w:t>c</w:t>
      </w:r>
      <w:r w:rsidRPr="00F02379">
        <w:rPr>
          <w:lang w:val="ru-RU"/>
        </w:rPr>
        <w:t xml:space="preserve">. </w:t>
      </w:r>
      <w:r w:rsidR="005B711E">
        <w:rPr>
          <w:lang w:val="ru-RU"/>
        </w:rPr>
        <w:t>Показатель</w:t>
      </w:r>
      <w:r w:rsidRPr="00F02379">
        <w:rPr>
          <w:lang w:val="ru-RU"/>
        </w:rPr>
        <w:t xml:space="preserve"> </w:t>
      </w:r>
      <w:r w:rsidRPr="00F02379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SDG</w:t>
      </w:r>
      <w:r w:rsidRPr="00F02379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INDICATOR</w:t>
      </w:r>
      <w:r w:rsidRPr="00F02379">
        <w:rPr>
          <w:color w:val="B4B4B4"/>
          <w:sz w:val="20"/>
          <w:lang w:val="ru-RU"/>
        </w:rPr>
        <w:t>)</w:t>
      </w:r>
    </w:p>
    <w:p w:rsidR="00234862" w:rsidRPr="00234862" w:rsidRDefault="00234862" w:rsidP="00234862">
      <w:pPr>
        <w:pStyle w:val="MGTHeader"/>
        <w:rPr>
          <w:lang w:val="ru-RU"/>
        </w:rPr>
      </w:pPr>
      <w:r w:rsidRPr="00234862">
        <w:rPr>
          <w:lang w:val="ru-RU"/>
        </w:rPr>
        <w:t>Показатель 2.</w:t>
      </w:r>
      <w:r>
        <w:rPr>
          <w:lang w:val="en-US"/>
        </w:rPr>
        <w:t>a</w:t>
      </w:r>
      <w:r w:rsidRPr="00234862">
        <w:rPr>
          <w:lang w:val="ru-RU"/>
        </w:rPr>
        <w:t>.1 Индекс ориентированности на сельское хозяйство, определяемый по структуре государственных расходов</w:t>
      </w:r>
    </w:p>
    <w:p w:rsidR="00D24330" w:rsidRPr="000F77D0" w:rsidRDefault="00D24330" w:rsidP="00D24330">
      <w:pPr>
        <w:pStyle w:val="MIndHeader"/>
        <w:rPr>
          <w:color w:val="B4B4B4"/>
          <w:sz w:val="20"/>
          <w:lang w:val="en-US"/>
        </w:rPr>
      </w:pPr>
      <w:proofErr w:type="gramStart"/>
      <w:r w:rsidRPr="00A96255">
        <w:t>0.d</w:t>
      </w:r>
      <w:proofErr w:type="gramEnd"/>
      <w:r w:rsidRPr="00A96255">
        <w:t xml:space="preserve">. </w:t>
      </w:r>
      <w:r w:rsidR="005B711E">
        <w:rPr>
          <w:lang w:val="ru-RU"/>
        </w:rPr>
        <w:t>Ряды</w:t>
      </w:r>
      <w:r w:rsidRPr="00A96255">
        <w:t xml:space="preserve"> </w:t>
      </w:r>
      <w:r>
        <w:rPr>
          <w:color w:val="B4B4B4"/>
          <w:sz w:val="20"/>
        </w:rPr>
        <w:t>(SDG_SERIES_DESCR)</w:t>
      </w:r>
    </w:p>
    <w:p w:rsidR="00234862" w:rsidRPr="00234862" w:rsidRDefault="00234862" w:rsidP="00234862">
      <w:pPr>
        <w:pStyle w:val="MGTHeader"/>
        <w:rPr>
          <w:lang w:val="ru-RU"/>
        </w:rPr>
      </w:pPr>
      <w:r>
        <w:rPr>
          <w:lang w:val="ru-RU"/>
        </w:rPr>
        <w:t>Основной</w:t>
      </w:r>
      <w:r w:rsidRPr="00234862">
        <w:rPr>
          <w:lang w:val="ru-RU"/>
        </w:rPr>
        <w:t xml:space="preserve"> </w:t>
      </w:r>
      <w:r>
        <w:rPr>
          <w:lang w:val="ru-RU"/>
        </w:rPr>
        <w:t>ряд</w:t>
      </w:r>
      <w:r w:rsidRPr="00234862">
        <w:rPr>
          <w:lang w:val="ru-RU"/>
        </w:rPr>
        <w:t>:</w:t>
      </w:r>
    </w:p>
    <w:p w:rsidR="00234862" w:rsidRPr="00234862" w:rsidRDefault="00D97F80" w:rsidP="00234862">
      <w:pPr>
        <w:pStyle w:val="MGTHeader"/>
        <w:rPr>
          <w:lang w:val="ru-RU"/>
        </w:rPr>
      </w:pPr>
      <w:r>
        <w:rPr>
          <w:lang w:val="ru-RU"/>
        </w:rPr>
        <w:t>AG_PRD_AGVAS -</w:t>
      </w:r>
      <w:r w:rsidR="00234862" w:rsidRPr="00234862">
        <w:rPr>
          <w:lang w:val="ru-RU"/>
        </w:rPr>
        <w:t xml:space="preserve"> Доля добавленной стоимости сельского хозяйства в ВВП [2.a.1]</w:t>
      </w:r>
    </w:p>
    <w:p w:rsidR="00234862" w:rsidRPr="00234862" w:rsidRDefault="00234862" w:rsidP="00234862">
      <w:pPr>
        <w:pStyle w:val="MGTHeader"/>
        <w:rPr>
          <w:lang w:val="ru-RU"/>
        </w:rPr>
      </w:pPr>
      <w:r>
        <w:rPr>
          <w:lang w:val="ru-RU"/>
        </w:rPr>
        <w:t>Дополнительные</w:t>
      </w:r>
      <w:r w:rsidRPr="00234862">
        <w:rPr>
          <w:lang w:val="ru-RU"/>
        </w:rPr>
        <w:t xml:space="preserve"> </w:t>
      </w:r>
      <w:r>
        <w:rPr>
          <w:lang w:val="ru-RU"/>
        </w:rPr>
        <w:t>ряды</w:t>
      </w:r>
      <w:r w:rsidRPr="00234862">
        <w:rPr>
          <w:lang w:val="ru-RU"/>
        </w:rPr>
        <w:t>:</w:t>
      </w:r>
    </w:p>
    <w:p w:rsidR="00234862" w:rsidRPr="00234862" w:rsidRDefault="00D97F80" w:rsidP="00234862">
      <w:pPr>
        <w:pStyle w:val="MGTHeader"/>
        <w:rPr>
          <w:lang w:val="ru-RU"/>
        </w:rPr>
      </w:pPr>
      <w:r>
        <w:rPr>
          <w:lang w:val="ru-RU"/>
        </w:rPr>
        <w:t>AG_PRD_ORTIND -</w:t>
      </w:r>
      <w:r w:rsidR="00234862" w:rsidRPr="00234862">
        <w:rPr>
          <w:lang w:val="ru-RU"/>
        </w:rPr>
        <w:t xml:space="preserve"> Индекс ориентац</w:t>
      </w:r>
      <w:r w:rsidR="00EF21C7">
        <w:rPr>
          <w:lang w:val="ru-RU"/>
        </w:rPr>
        <w:t>ии</w:t>
      </w:r>
      <w:r w:rsidR="00234862" w:rsidRPr="00234862">
        <w:rPr>
          <w:lang w:val="ru-RU"/>
        </w:rPr>
        <w:t xml:space="preserve"> государственных расходов </w:t>
      </w:r>
      <w:r w:rsidR="00EF21C7">
        <w:rPr>
          <w:lang w:val="ru-RU"/>
        </w:rPr>
        <w:t xml:space="preserve">на сельское хозяйство </w:t>
      </w:r>
      <w:r w:rsidR="00234862" w:rsidRPr="00234862">
        <w:rPr>
          <w:lang w:val="ru-RU"/>
        </w:rPr>
        <w:t>[2.a.1]</w:t>
      </w:r>
    </w:p>
    <w:p w:rsidR="00234862" w:rsidRPr="00234862" w:rsidRDefault="00D97F80" w:rsidP="00EF21C7">
      <w:pPr>
        <w:pStyle w:val="MGTHeader"/>
        <w:rPr>
          <w:rFonts w:eastAsia="Arial Unicode MS"/>
          <w:szCs w:val="24"/>
          <w:bdr w:val="nil"/>
          <w:lang w:val="ru-RU" w:eastAsia="ru-RU"/>
        </w:rPr>
      </w:pPr>
      <w:r>
        <w:rPr>
          <w:lang w:val="ru-RU"/>
        </w:rPr>
        <w:t>AG_XPD_AGSGB -</w:t>
      </w:r>
      <w:r w:rsidR="00234862" w:rsidRPr="00234862">
        <w:rPr>
          <w:lang w:val="ru-RU"/>
        </w:rPr>
        <w:t xml:space="preserve"> Доля сельского хозяйства в государственных расходах [2.a.1]</w:t>
      </w:r>
    </w:p>
    <w:p w:rsidR="00D24330" w:rsidRPr="00234862" w:rsidRDefault="00D24330" w:rsidP="00D24330">
      <w:pPr>
        <w:pStyle w:val="MIndHeader"/>
        <w:rPr>
          <w:color w:val="B4B4B4"/>
          <w:sz w:val="20"/>
          <w:lang w:val="ru-RU"/>
        </w:rPr>
      </w:pPr>
      <w:r w:rsidRPr="00450736">
        <w:rPr>
          <w:lang w:val="it-IT"/>
        </w:rPr>
        <w:t xml:space="preserve">0.e. </w:t>
      </w:r>
      <w:r w:rsidR="005B711E">
        <w:rPr>
          <w:lang w:val="ru-RU"/>
        </w:rPr>
        <w:t>Обновление метаданных</w:t>
      </w:r>
      <w:r w:rsidRPr="00450736">
        <w:rPr>
          <w:lang w:val="it-IT"/>
        </w:rPr>
        <w:t xml:space="preserve"> </w:t>
      </w:r>
      <w:r w:rsidRPr="005B711E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META</w:t>
      </w:r>
      <w:r w:rsidRPr="005B711E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LAST</w:t>
      </w:r>
      <w:r w:rsidRPr="005B711E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UPDATE</w:t>
      </w:r>
      <w:r w:rsidRPr="005B711E">
        <w:rPr>
          <w:color w:val="B4B4B4"/>
          <w:sz w:val="20"/>
          <w:lang w:val="ru-RU"/>
        </w:rPr>
        <w:t>)</w:t>
      </w:r>
    </w:p>
    <w:p w:rsidR="000F77D0" w:rsidRPr="00450736" w:rsidRDefault="00234862" w:rsidP="00902105">
      <w:pPr>
        <w:pStyle w:val="MGTHeader"/>
        <w:rPr>
          <w:lang w:val="it-IT"/>
        </w:rPr>
      </w:pPr>
      <w:r>
        <w:rPr>
          <w:lang w:val="ru-RU"/>
        </w:rPr>
        <w:t>29.07.2024</w:t>
      </w:r>
    </w:p>
    <w:p w:rsidR="00D24330" w:rsidRDefault="00D24330" w:rsidP="00D24330">
      <w:pPr>
        <w:pStyle w:val="MIndHeader"/>
        <w:rPr>
          <w:color w:val="B4B4B4"/>
          <w:sz w:val="20"/>
          <w:lang w:val="ru-RU"/>
        </w:rPr>
      </w:pPr>
      <w:r w:rsidRPr="005B711E">
        <w:rPr>
          <w:lang w:val="ru-RU"/>
        </w:rPr>
        <w:t>0.</w:t>
      </w:r>
      <w:r w:rsidRPr="00A96255">
        <w:t>f</w:t>
      </w:r>
      <w:r w:rsidRPr="005B711E">
        <w:rPr>
          <w:lang w:val="ru-RU"/>
        </w:rPr>
        <w:t xml:space="preserve">. </w:t>
      </w:r>
      <w:r w:rsidR="005B711E">
        <w:rPr>
          <w:lang w:val="ru-RU"/>
        </w:rPr>
        <w:t>Связанные показатели</w:t>
      </w:r>
      <w:r w:rsidRPr="005B711E">
        <w:rPr>
          <w:lang w:val="ru-RU"/>
        </w:rPr>
        <w:t xml:space="preserve"> </w:t>
      </w:r>
      <w:r w:rsidRPr="005B711E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SDG</w:t>
      </w:r>
      <w:r w:rsidRPr="005B711E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RELATED</w:t>
      </w:r>
      <w:r w:rsidRPr="005B711E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INDICATORS</w:t>
      </w:r>
      <w:r w:rsidRPr="005B711E">
        <w:rPr>
          <w:color w:val="B4B4B4"/>
          <w:sz w:val="20"/>
          <w:lang w:val="ru-RU"/>
        </w:rPr>
        <w:t>)</w:t>
      </w:r>
    </w:p>
    <w:p w:rsidR="00D649D2" w:rsidRPr="00D649D2" w:rsidRDefault="00D649D2" w:rsidP="00D649D2">
      <w:pPr>
        <w:pStyle w:val="MGTHeader"/>
        <w:rPr>
          <w:rFonts w:eastAsia="Arial Unicode MS"/>
          <w:bdr w:val="nil"/>
          <w:lang w:val="ru-RU"/>
        </w:rPr>
      </w:pPr>
      <w:r>
        <w:rPr>
          <w:rFonts w:eastAsia="Arial Unicode MS"/>
          <w:bdr w:val="nil"/>
          <w:lang w:val="ru-RU"/>
        </w:rPr>
        <w:t>Показатели 17.1.1 и 17.1.2 также применяют методологию</w:t>
      </w:r>
      <w:r w:rsidRPr="00D649D2">
        <w:rPr>
          <w:rFonts w:eastAsia="Arial Unicode MS"/>
          <w:bdr w:val="nil"/>
          <w:lang w:val="ru-RU"/>
        </w:rPr>
        <w:t xml:space="preserve"> СГФ (</w:t>
      </w:r>
      <w:r w:rsidRPr="00682399">
        <w:rPr>
          <w:rFonts w:eastAsia="Arial Unicode MS"/>
          <w:bdr w:val="nil"/>
        </w:rPr>
        <w:t>GFS</w:t>
      </w:r>
      <w:r w:rsidRPr="00D649D2">
        <w:rPr>
          <w:rFonts w:eastAsia="Arial Unicode MS"/>
          <w:bdr w:val="nil"/>
          <w:lang w:val="ru-RU"/>
        </w:rPr>
        <w:t>) МВФ.</w:t>
      </w:r>
    </w:p>
    <w:p w:rsidR="00D24330" w:rsidRDefault="00D24330" w:rsidP="00D24330">
      <w:pPr>
        <w:pStyle w:val="MIndHeader"/>
        <w:rPr>
          <w:color w:val="B4B4B4"/>
          <w:sz w:val="20"/>
          <w:lang w:val="ru-RU"/>
        </w:rPr>
      </w:pPr>
      <w:r w:rsidRPr="005B711E">
        <w:rPr>
          <w:lang w:val="ru-RU"/>
        </w:rPr>
        <w:t>0.</w:t>
      </w:r>
      <w:r w:rsidRPr="00A96255">
        <w:t>g</w:t>
      </w:r>
      <w:r w:rsidRPr="005B711E">
        <w:rPr>
          <w:lang w:val="ru-RU"/>
        </w:rPr>
        <w:t xml:space="preserve">. </w:t>
      </w:r>
      <w:r w:rsidR="005B711E">
        <w:rPr>
          <w:lang w:val="ru-RU"/>
        </w:rPr>
        <w:t xml:space="preserve">Международные организации, ответственные за глобальный мониторинг </w:t>
      </w:r>
      <w:r w:rsidRPr="005B711E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SDG</w:t>
      </w:r>
      <w:r w:rsidRPr="005B711E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CUSTODIAN</w:t>
      </w:r>
      <w:r w:rsidRPr="005B711E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AGENCIES</w:t>
      </w:r>
      <w:r w:rsidRPr="005B711E">
        <w:rPr>
          <w:color w:val="B4B4B4"/>
          <w:sz w:val="20"/>
          <w:lang w:val="ru-RU"/>
        </w:rPr>
        <w:t>)</w:t>
      </w:r>
    </w:p>
    <w:p w:rsidR="00D649D2" w:rsidRDefault="00D649D2" w:rsidP="00D649D2">
      <w:pPr>
        <w:pStyle w:val="MGTHeader"/>
        <w:rPr>
          <w:lang w:val="ru-RU"/>
        </w:rPr>
      </w:pPr>
      <w:r w:rsidRPr="00D649D2">
        <w:rPr>
          <w:lang w:val="ru-RU"/>
        </w:rPr>
        <w:t>Продовольственная и сельскохозяйственная организация Объединенных Наций (ФАО)</w:t>
      </w:r>
    </w:p>
    <w:p w:rsidR="00D649D2" w:rsidRPr="00D649D2" w:rsidRDefault="00D649D2" w:rsidP="00902105">
      <w:pPr>
        <w:pStyle w:val="MText"/>
      </w:pPr>
    </w:p>
    <w:p w:rsidR="00B31E2C" w:rsidRPr="000F77D0" w:rsidRDefault="00B31E2C" w:rsidP="00EA05D3">
      <w:pPr>
        <w:pStyle w:val="MHeader"/>
        <w:rPr>
          <w:lang w:val="ru-RU"/>
        </w:rPr>
      </w:pPr>
      <w:bookmarkStart w:id="0" w:name="_Toc37932744"/>
      <w:bookmarkStart w:id="1" w:name="_Toc36813072"/>
      <w:bookmarkStart w:id="2" w:name="_Toc36812685"/>
      <w:bookmarkStart w:id="3" w:name="_Toc36812572"/>
      <w:bookmarkStart w:id="4" w:name="_Toc36655609"/>
      <w:r w:rsidRPr="000F77D0">
        <w:rPr>
          <w:lang w:val="ru-RU"/>
        </w:rPr>
        <w:t xml:space="preserve">1. </w:t>
      </w:r>
      <w:bookmarkEnd w:id="0"/>
      <w:bookmarkEnd w:id="1"/>
      <w:bookmarkEnd w:id="2"/>
      <w:bookmarkEnd w:id="3"/>
      <w:bookmarkEnd w:id="4"/>
      <w:r w:rsidR="005B711E">
        <w:rPr>
          <w:lang w:val="ru-RU"/>
        </w:rPr>
        <w:t xml:space="preserve">Данные предоставлены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CONTACT</w:t>
      </w:r>
      <w:r w:rsidRPr="000F77D0">
        <w:rPr>
          <w:color w:val="B4B4B4"/>
          <w:sz w:val="20"/>
          <w:lang w:val="ru-RU"/>
        </w:rPr>
        <w:t>)</w:t>
      </w:r>
    </w:p>
    <w:p w:rsidR="00576CFA" w:rsidRPr="000F77D0" w:rsidRDefault="00576CFA" w:rsidP="00F719A8">
      <w:pPr>
        <w:pStyle w:val="MHeader2"/>
        <w:rPr>
          <w:lang w:val="ru-RU"/>
        </w:rPr>
      </w:pPr>
      <w:r w:rsidRPr="000F77D0">
        <w:rPr>
          <w:lang w:val="ru-RU"/>
        </w:rPr>
        <w:t>1.</w:t>
      </w:r>
      <w:r w:rsidRPr="00A96255">
        <w:t>a</w:t>
      </w:r>
      <w:r w:rsidRPr="000F77D0">
        <w:rPr>
          <w:lang w:val="ru-RU"/>
        </w:rPr>
        <w:t xml:space="preserve">. </w:t>
      </w:r>
      <w:r w:rsidR="005B711E">
        <w:rPr>
          <w:lang w:val="ru-RU"/>
        </w:rPr>
        <w:t>Организация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CONTACT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ORGANISATION</w:t>
      </w:r>
      <w:r w:rsidRPr="000F77D0">
        <w:rPr>
          <w:color w:val="B4B4B4"/>
          <w:sz w:val="20"/>
          <w:lang w:val="ru-RU"/>
        </w:rPr>
        <w:t>)</w:t>
      </w:r>
    </w:p>
    <w:p w:rsidR="00D649D2" w:rsidRPr="00D649D2" w:rsidRDefault="00D649D2" w:rsidP="00D649D2">
      <w:pPr>
        <w:pStyle w:val="MText"/>
      </w:pPr>
      <w:r w:rsidRPr="00D649D2">
        <w:t>Продовольственная и сельскохозяйственная организация Объединенных Наций (ФАО)</w:t>
      </w:r>
    </w:p>
    <w:p w:rsidR="00F719A8" w:rsidRPr="000F77D0" w:rsidRDefault="00F719A8" w:rsidP="00576CFA">
      <w:pPr>
        <w:pStyle w:val="MText"/>
      </w:pPr>
    </w:p>
    <w:p w:rsidR="00B31E2C" w:rsidRPr="000F77D0" w:rsidRDefault="00B31E2C" w:rsidP="008B0AC7">
      <w:pPr>
        <w:pStyle w:val="MHeader"/>
        <w:rPr>
          <w:lang w:val="ru-RU"/>
        </w:rPr>
      </w:pPr>
      <w:r w:rsidRPr="000F77D0">
        <w:rPr>
          <w:lang w:val="ru-RU"/>
        </w:rPr>
        <w:t xml:space="preserve">2. </w:t>
      </w:r>
      <w:r w:rsidR="000F77D0">
        <w:rPr>
          <w:lang w:val="ru-RU"/>
        </w:rPr>
        <w:t>Определения, понятия, классификации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IND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DEF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CON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CLASS</w:t>
      </w:r>
      <w:r w:rsidRPr="000F77D0">
        <w:rPr>
          <w:color w:val="B4B4B4"/>
          <w:sz w:val="20"/>
          <w:lang w:val="ru-RU"/>
        </w:rPr>
        <w:t>)</w:t>
      </w:r>
    </w:p>
    <w:p w:rsidR="008B0AC7" w:rsidRPr="005B711E" w:rsidRDefault="008B0AC7" w:rsidP="00F719A8">
      <w:pPr>
        <w:pStyle w:val="MHeader2"/>
        <w:rPr>
          <w:lang w:val="ru-RU"/>
        </w:rPr>
      </w:pPr>
      <w:r w:rsidRPr="005B711E">
        <w:rPr>
          <w:lang w:val="ru-RU"/>
        </w:rPr>
        <w:t>2.</w:t>
      </w:r>
      <w:r w:rsidRPr="00A96255">
        <w:t>a</w:t>
      </w:r>
      <w:r w:rsidRPr="005B711E">
        <w:rPr>
          <w:lang w:val="ru-RU"/>
        </w:rPr>
        <w:t xml:space="preserve">. </w:t>
      </w:r>
      <w:r w:rsidR="005B711E">
        <w:rPr>
          <w:lang w:val="ru-RU"/>
        </w:rPr>
        <w:t xml:space="preserve">Определения и понятия </w:t>
      </w:r>
      <w:r w:rsidRPr="005B711E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STAT</w:t>
      </w:r>
      <w:r w:rsidRPr="005B711E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CONC</w:t>
      </w:r>
      <w:r w:rsidRPr="005B711E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DEF</w:t>
      </w:r>
      <w:r w:rsidRPr="005B711E">
        <w:rPr>
          <w:color w:val="B4B4B4"/>
          <w:sz w:val="20"/>
          <w:lang w:val="ru-RU"/>
        </w:rPr>
        <w:t>)</w:t>
      </w:r>
    </w:p>
    <w:p w:rsidR="00F904E9" w:rsidRPr="00F904E9" w:rsidRDefault="00F904E9" w:rsidP="00F904E9">
      <w:pPr>
        <w:pStyle w:val="MSubHeader"/>
        <w:rPr>
          <w:lang w:val="ru-RU"/>
        </w:rPr>
      </w:pPr>
      <w:r w:rsidRPr="00F904E9">
        <w:rPr>
          <w:lang w:val="ru-RU"/>
        </w:rPr>
        <w:t>Определение:</w:t>
      </w:r>
    </w:p>
    <w:p w:rsidR="00EF21C7" w:rsidRPr="00EF21C7" w:rsidRDefault="00EF21C7" w:rsidP="00EF21C7">
      <w:pPr>
        <w:pStyle w:val="MText"/>
      </w:pPr>
      <w:r w:rsidRPr="00EF21C7">
        <w:t xml:space="preserve">Индекс </w:t>
      </w:r>
      <w:r w:rsidR="00F904E9">
        <w:t>ориентированности</w:t>
      </w:r>
      <w:r w:rsidRPr="00EF21C7">
        <w:t xml:space="preserve"> на сельское хозяйство (</w:t>
      </w:r>
      <w:r w:rsidRPr="00EF21C7">
        <w:rPr>
          <w:lang w:val="en-GB"/>
        </w:rPr>
        <w:t>AOI</w:t>
      </w:r>
      <w:r w:rsidRPr="00EF21C7">
        <w:t xml:space="preserve">) для государственных расходов определяется как доля сельского хозяйства в государственных расходах, деленная на долю </w:t>
      </w:r>
      <w:r w:rsidRPr="00EF21C7">
        <w:lastRenderedPageBreak/>
        <w:t>добавленной стоимости сельско</w:t>
      </w:r>
      <w:r w:rsidR="00F904E9">
        <w:t>го хозяйства в ВВП, где под сельским хозяйством</w:t>
      </w:r>
      <w:r w:rsidRPr="00EF21C7">
        <w:t xml:space="preserve"> </w:t>
      </w:r>
      <w:r w:rsidR="00F904E9">
        <w:t>понимается сектор земледельческого хозяйства, лесного хозяйства, рыболовства и охоты</w:t>
      </w:r>
      <w:r w:rsidRPr="00EF21C7">
        <w:t xml:space="preserve">. </w:t>
      </w:r>
      <w:r w:rsidR="00F904E9" w:rsidRPr="00F904E9">
        <w:t xml:space="preserve">Валюта в данном индексе не учитывается, поскольку он рассчитывается как соотношение двух долей. </w:t>
      </w:r>
      <w:r w:rsidRPr="00EF21C7">
        <w:t xml:space="preserve"> Национальным правительствам предлагается составлять государстве</w:t>
      </w:r>
      <w:r w:rsidR="00F904E9">
        <w:t>нные расходы в соответствии со С</w:t>
      </w:r>
      <w:r w:rsidRPr="00EF21C7">
        <w:t>татистикой государственных финансов (</w:t>
      </w:r>
      <w:r w:rsidRPr="00EF21C7">
        <w:rPr>
          <w:lang w:val="en-GB"/>
        </w:rPr>
        <w:t>GFS</w:t>
      </w:r>
      <w:r w:rsidR="00F904E9">
        <w:t>) и К</w:t>
      </w:r>
      <w:r w:rsidRPr="00EF21C7">
        <w:t>лассификацией функций органов государственного управления (</w:t>
      </w:r>
      <w:r w:rsidRPr="00EF21C7">
        <w:rPr>
          <w:lang w:val="en-GB"/>
        </w:rPr>
        <w:t>COFOG</w:t>
      </w:r>
      <w:r w:rsidR="00F904E9">
        <w:t>);</w:t>
      </w:r>
      <w:r w:rsidRPr="00EF21C7">
        <w:t xml:space="preserve"> а долю добавленной стоимости сельского хозяйства в ВВП — </w:t>
      </w:r>
      <w:r w:rsidR="00F904E9">
        <w:t xml:space="preserve">предлагается составлять </w:t>
      </w:r>
      <w:r w:rsidRPr="00EF21C7">
        <w:t>в соответствии с Системой национальных счетов (</w:t>
      </w:r>
      <w:r w:rsidR="00D97F80">
        <w:rPr>
          <w:lang w:val="en-US"/>
        </w:rPr>
        <w:t>SNA</w:t>
      </w:r>
      <w:r w:rsidRPr="00EF21C7">
        <w:t>).</w:t>
      </w:r>
    </w:p>
    <w:p w:rsidR="00EF21C7" w:rsidRPr="00EF21C7" w:rsidRDefault="00EF21C7" w:rsidP="00EF21C7">
      <w:pPr>
        <w:pStyle w:val="MText"/>
      </w:pPr>
    </w:p>
    <w:p w:rsidR="00EF21C7" w:rsidRPr="00F904E9" w:rsidRDefault="00EF21C7" w:rsidP="00F904E9">
      <w:pPr>
        <w:pStyle w:val="MSubHeader"/>
        <w:rPr>
          <w:lang w:val="ru-RU"/>
        </w:rPr>
      </w:pPr>
      <w:r w:rsidRPr="00F904E9">
        <w:rPr>
          <w:lang w:val="ru-RU"/>
        </w:rPr>
        <w:t>Понятия:</w:t>
      </w:r>
    </w:p>
    <w:p w:rsidR="00EF21C7" w:rsidRPr="00F84049" w:rsidRDefault="00EF21C7" w:rsidP="00F84049">
      <w:pPr>
        <w:pStyle w:val="MText"/>
      </w:pPr>
      <w:r w:rsidRPr="00F84049">
        <w:t xml:space="preserve">Сельское хозяйство </w:t>
      </w:r>
      <w:r w:rsidR="00F904E9" w:rsidRPr="00F84049">
        <w:t>включает в себя</w:t>
      </w:r>
      <w:r w:rsidRPr="00F84049">
        <w:t xml:space="preserve"> </w:t>
      </w:r>
      <w:r w:rsidR="00F904E9" w:rsidRPr="00F84049">
        <w:t>земледельческое хозяйство, лесное хозяйство, рыболовство и охоту, иными словами раздел</w:t>
      </w:r>
      <w:r w:rsidRPr="00F84049">
        <w:t xml:space="preserve"> A </w:t>
      </w:r>
      <w:r w:rsidR="00F904E9" w:rsidRPr="00F84049">
        <w:t>Международной стандартной отраслевой классификации всех видов экономической деятельности (МСОК) Ред. 4 (соответствует разделам</w:t>
      </w:r>
      <w:r w:rsidRPr="00F84049">
        <w:t xml:space="preserve"> A+B МСОК</w:t>
      </w:r>
      <w:proofErr w:type="gramStart"/>
      <w:r w:rsidRPr="00F84049">
        <w:t xml:space="preserve"> </w:t>
      </w:r>
      <w:r w:rsidR="00F904E9" w:rsidRPr="00F84049">
        <w:t>Р</w:t>
      </w:r>
      <w:proofErr w:type="gramEnd"/>
      <w:r w:rsidR="00F904E9" w:rsidRPr="00F84049">
        <w:t>ед.</w:t>
      </w:r>
      <w:r w:rsidRPr="00F84049">
        <w:t xml:space="preserve"> 3.2).</w:t>
      </w:r>
    </w:p>
    <w:p w:rsidR="00F84049" w:rsidRPr="00F84049" w:rsidRDefault="00F84049" w:rsidP="00F84049">
      <w:pPr>
        <w:pStyle w:val="MText"/>
      </w:pPr>
    </w:p>
    <w:p w:rsidR="00EF21C7" w:rsidRPr="00F84049" w:rsidRDefault="00F904E9" w:rsidP="00F84049">
      <w:pPr>
        <w:pStyle w:val="MText"/>
      </w:pPr>
      <w:r w:rsidRPr="00F84049">
        <w:t xml:space="preserve">Государственные расходы – это все </w:t>
      </w:r>
      <w:r w:rsidR="00EF21C7" w:rsidRPr="00F84049">
        <w:t xml:space="preserve">расходы и приобретение нефинансовых активов, связанных с поддержкой определенного сектора, как определено в Руководстве по статистике государственных финансов (GFSM) 2014, разработанном Международным валютным фондом (МВФ). ПРИМЕЧАНИЕ: Операции с активами и обязательствами, такие как </w:t>
      </w:r>
      <w:r w:rsidR="004A7E0D" w:rsidRPr="00F84049">
        <w:t xml:space="preserve">кредиты </w:t>
      </w:r>
      <w:r w:rsidR="00EF21C7" w:rsidRPr="00F84049">
        <w:t>единиц</w:t>
      </w:r>
      <w:r w:rsidR="004A7E0D" w:rsidRPr="00F84049">
        <w:t xml:space="preserve"> </w:t>
      </w:r>
      <w:r w:rsidR="00EF21C7" w:rsidRPr="00F84049">
        <w:t xml:space="preserve">государственного управления (выплаты и погашения), исключаются при составлении данных COFOG для целей отчетности </w:t>
      </w:r>
      <w:r w:rsidR="004A7E0D" w:rsidRPr="00F84049">
        <w:t>СГФ</w:t>
      </w:r>
      <w:r w:rsidR="00EF21C7" w:rsidRPr="00F84049">
        <w:t>.</w:t>
      </w:r>
    </w:p>
    <w:p w:rsidR="00F84049" w:rsidRPr="00F84049" w:rsidRDefault="00F84049" w:rsidP="00F84049">
      <w:pPr>
        <w:pStyle w:val="MText"/>
      </w:pPr>
    </w:p>
    <w:p w:rsidR="00EF21C7" w:rsidRPr="00F84049" w:rsidRDefault="00EF21C7" w:rsidP="00F84049">
      <w:pPr>
        <w:pStyle w:val="MText"/>
      </w:pPr>
      <w:r w:rsidRPr="00F84049">
        <w:t>Государственные расходы классифицируются в соответствии с Классификацией функций органов государственного управления (COFOG</w:t>
      </w:r>
      <w:r w:rsidR="00F84049" w:rsidRPr="00F84049">
        <w:t>)</w:t>
      </w:r>
      <w:r w:rsidRPr="00F84049">
        <w:t>, разработанной Организацией экономического сотрудничества и развития (ОЭСР) и опубликованной Статистическим отделом Организации Объединенных Наций (СОООН).</w:t>
      </w:r>
    </w:p>
    <w:p w:rsidR="00EF21C7" w:rsidRPr="00F84049" w:rsidRDefault="00EF21C7" w:rsidP="00F84049">
      <w:pPr>
        <w:pStyle w:val="MText"/>
      </w:pPr>
    </w:p>
    <w:p w:rsidR="00EC2915" w:rsidRPr="00F84049" w:rsidRDefault="00EF21C7" w:rsidP="00F84049">
      <w:pPr>
        <w:pStyle w:val="MText"/>
      </w:pPr>
      <w:r w:rsidRPr="00F84049">
        <w:t>Добавленная стоимость в с</w:t>
      </w:r>
      <w:r w:rsidR="00F84049" w:rsidRPr="00F84049">
        <w:t>ельском хозяйстве и ВВП основана</w:t>
      </w:r>
      <w:r w:rsidRPr="00F84049">
        <w:t xml:space="preserve"> на Системе национальных счетов (СНС).</w:t>
      </w:r>
    </w:p>
    <w:p w:rsidR="00EF21C7" w:rsidRPr="00EF21C7" w:rsidRDefault="00EF21C7" w:rsidP="00EF21C7">
      <w:pPr>
        <w:pStyle w:val="MText"/>
      </w:pPr>
    </w:p>
    <w:p w:rsidR="008B0AC7" w:rsidRDefault="00576CFA" w:rsidP="00F719A8">
      <w:pPr>
        <w:pStyle w:val="MHeader2"/>
        <w:rPr>
          <w:color w:val="B4B4B4"/>
          <w:sz w:val="20"/>
          <w:lang w:val="ru-RU"/>
        </w:rPr>
      </w:pPr>
      <w:r w:rsidRPr="005B711E">
        <w:rPr>
          <w:lang w:val="ru-RU"/>
        </w:rPr>
        <w:t>2.</w:t>
      </w:r>
      <w:r w:rsidRPr="00A96255">
        <w:t>b</w:t>
      </w:r>
      <w:r w:rsidRPr="005B711E">
        <w:rPr>
          <w:lang w:val="ru-RU"/>
        </w:rPr>
        <w:t xml:space="preserve">. </w:t>
      </w:r>
      <w:r w:rsidR="005B711E">
        <w:rPr>
          <w:lang w:val="ru-RU"/>
        </w:rPr>
        <w:t>Единицы измерения</w:t>
      </w:r>
      <w:r w:rsidRPr="005B711E">
        <w:rPr>
          <w:lang w:val="ru-RU"/>
        </w:rPr>
        <w:t xml:space="preserve"> </w:t>
      </w:r>
      <w:r w:rsidRPr="005B711E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UNIT</w:t>
      </w:r>
      <w:r w:rsidRPr="005B711E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MEASURE</w:t>
      </w:r>
      <w:r w:rsidRPr="005B711E">
        <w:rPr>
          <w:color w:val="B4B4B4"/>
          <w:sz w:val="20"/>
          <w:lang w:val="ru-RU"/>
        </w:rPr>
        <w:t>)</w:t>
      </w:r>
    </w:p>
    <w:p w:rsidR="00F84049" w:rsidRPr="00F84049" w:rsidRDefault="00F84049" w:rsidP="00F84049">
      <w:pPr>
        <w:pStyle w:val="MText"/>
      </w:pPr>
      <w:r w:rsidRPr="00F84049">
        <w:t>Индекс</w:t>
      </w:r>
    </w:p>
    <w:p w:rsidR="00F84049" w:rsidRPr="00F84049" w:rsidRDefault="00F84049" w:rsidP="00F84049">
      <w:pPr>
        <w:pStyle w:val="MText"/>
      </w:pPr>
      <w:r w:rsidRPr="00F84049">
        <w:t>См. 4.с. Метод расчета ниже.</w:t>
      </w:r>
    </w:p>
    <w:p w:rsidR="00254415" w:rsidRDefault="00254415" w:rsidP="00254415">
      <w:pPr>
        <w:pStyle w:val="MText"/>
      </w:pPr>
    </w:p>
    <w:p w:rsidR="00DA615C" w:rsidRPr="00F02379" w:rsidRDefault="008B0AC7" w:rsidP="00F719A8">
      <w:pPr>
        <w:pStyle w:val="MHeader2"/>
        <w:rPr>
          <w:lang w:val="ru-RU"/>
        </w:rPr>
      </w:pPr>
      <w:r w:rsidRPr="00F02379">
        <w:rPr>
          <w:lang w:val="ru-RU"/>
        </w:rPr>
        <w:t>2.</w:t>
      </w:r>
      <w:r w:rsidRPr="00A96255">
        <w:t>c</w:t>
      </w:r>
      <w:r w:rsidRPr="00F02379">
        <w:rPr>
          <w:lang w:val="ru-RU"/>
        </w:rPr>
        <w:t xml:space="preserve">. </w:t>
      </w:r>
      <w:r w:rsidR="008A7751">
        <w:rPr>
          <w:lang w:val="ru-RU"/>
        </w:rPr>
        <w:t>Классификации</w:t>
      </w:r>
      <w:r w:rsidRPr="00F02379">
        <w:rPr>
          <w:lang w:val="ru-RU"/>
        </w:rPr>
        <w:t xml:space="preserve"> </w:t>
      </w:r>
      <w:r w:rsidRPr="00F02379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CLASS</w:t>
      </w:r>
      <w:r w:rsidRPr="00F02379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SYSTEM</w:t>
      </w:r>
      <w:r w:rsidRPr="00F02379">
        <w:rPr>
          <w:color w:val="B4B4B4"/>
          <w:sz w:val="20"/>
          <w:lang w:val="ru-RU"/>
        </w:rPr>
        <w:t>)</w:t>
      </w:r>
    </w:p>
    <w:p w:rsidR="00F84049" w:rsidRPr="00D97F80" w:rsidRDefault="00F84049" w:rsidP="00902105">
      <w:pPr>
        <w:pStyle w:val="MText"/>
        <w:rPr>
          <w:lang w:val="en-US"/>
        </w:rPr>
      </w:pPr>
      <w:r w:rsidRPr="00F31C01">
        <w:t>Классификаци</w:t>
      </w:r>
      <w:r>
        <w:t>я</w:t>
      </w:r>
      <w:r w:rsidRPr="00F31C01">
        <w:t xml:space="preserve"> функций органов государственного управления (</w:t>
      </w:r>
      <w:r>
        <w:t>COFOG</w:t>
      </w:r>
      <w:r w:rsidRPr="00F31C01">
        <w:t>)</w:t>
      </w:r>
      <w:r w:rsidRPr="00E46FE0">
        <w:t xml:space="preserve"> представляет собой подробную классификацию функций или социально-экономических целей, которы</w:t>
      </w:r>
      <w:r>
        <w:t>х</w:t>
      </w:r>
      <w:r w:rsidRPr="00E46FE0">
        <w:t xml:space="preserve"> </w:t>
      </w:r>
      <w:r w:rsidR="00902105">
        <w:t>единицы</w:t>
      </w:r>
      <w:r w:rsidRPr="00E46FE0">
        <w:t xml:space="preserve"> государственного управления стремятся достичь посредством </w:t>
      </w:r>
      <w:r w:rsidRPr="00902105">
        <w:t>различных</w:t>
      </w:r>
      <w:r w:rsidRPr="00E46FE0">
        <w:t xml:space="preserve"> видов расходов. Функции классифицируются по трехуровневой схеме в соответствии с Международной стандартной отраслевой классификацией всех видов экономической деятельности (МСОК), </w:t>
      </w:r>
      <w:r w:rsidR="00902105">
        <w:t xml:space="preserve">Ред. </w:t>
      </w:r>
      <w:r w:rsidRPr="00E46FE0">
        <w:t>4. В частности, схема включает:</w:t>
      </w:r>
    </w:p>
    <w:p w:rsidR="00902105" w:rsidRPr="00E46FE0" w:rsidRDefault="00902105" w:rsidP="00DA0445">
      <w:pPr>
        <w:pStyle w:val="MText"/>
        <w:numPr>
          <w:ilvl w:val="0"/>
          <w:numId w:val="18"/>
        </w:numPr>
      </w:pPr>
      <w:r w:rsidRPr="00E46FE0">
        <w:t>10 категорий первого уровня или двухзначных категорий</w:t>
      </w:r>
      <w:r>
        <w:t>, именуемых разделами, включая «Экономические вопросы» (04) и «О</w:t>
      </w:r>
      <w:r w:rsidRPr="00E46FE0">
        <w:t>храну окружающей среды</w:t>
      </w:r>
      <w:r>
        <w:t>»</w:t>
      </w:r>
      <w:r w:rsidRPr="00E46FE0">
        <w:t xml:space="preserve"> (05);</w:t>
      </w:r>
    </w:p>
    <w:p w:rsidR="00902105" w:rsidRPr="005B3783" w:rsidRDefault="00902105" w:rsidP="00DA0445">
      <w:pPr>
        <w:pStyle w:val="MText"/>
        <w:numPr>
          <w:ilvl w:val="0"/>
          <w:numId w:val="18"/>
        </w:numPr>
      </w:pPr>
      <w:r w:rsidRPr="005B3783">
        <w:t>в каждом разделе 2 или более трехзначных категорий, именуемых группами, например, «Сельское хозяйство», «Лесное хозяйство», «Рыболовство и охота» (042) и «Охрана биоразнообразия и ландшафтов» (054); и</w:t>
      </w:r>
    </w:p>
    <w:p w:rsidR="005B3783" w:rsidRDefault="00DA0445" w:rsidP="00DA0445">
      <w:pPr>
        <w:pStyle w:val="MText"/>
        <w:numPr>
          <w:ilvl w:val="0"/>
          <w:numId w:val="18"/>
        </w:numPr>
      </w:pPr>
      <w:proofErr w:type="gramStart"/>
      <w:r>
        <w:lastRenderedPageBreak/>
        <w:t>в каждой группе</w:t>
      </w:r>
      <w:r w:rsidR="005B3783" w:rsidRPr="00E46FE0">
        <w:t xml:space="preserve"> одна или несколько четырехзначных категорий, именуемых классами, например «Сельское хозяйство» (0421), «Лесное хозяйство» (0422)</w:t>
      </w:r>
      <w:r w:rsidR="005B3783">
        <w:t xml:space="preserve"> и «Рыболовство и охота» (0423), </w:t>
      </w:r>
      <w:r>
        <w:t>а также связанные с ними «И</w:t>
      </w:r>
      <w:r w:rsidR="005B3783" w:rsidRPr="00F31C01">
        <w:t>сследования и разработки</w:t>
      </w:r>
      <w:r>
        <w:t>»</w:t>
      </w:r>
      <w:r w:rsidR="005B3783" w:rsidRPr="00F31C01">
        <w:t xml:space="preserve"> (0482), охватывающие администрирование и функционирование государственных учреждений, занимающихся прикладными исследованиями и экспериментальными разработками, связанными с сектором, включая те, которые проводятся неправительственными органами, такими как научно-исследовательские институты и университеты, финансируемые за</w:t>
      </w:r>
      <w:proofErr w:type="gramEnd"/>
      <w:r w:rsidR="005B3783" w:rsidRPr="00F31C01">
        <w:t xml:space="preserve"> счет государственных грантов и субсидий</w:t>
      </w:r>
      <w:r w:rsidR="005B3783">
        <w:t>.</w:t>
      </w:r>
    </w:p>
    <w:p w:rsidR="00F84049" w:rsidRDefault="00F84049" w:rsidP="00F84049">
      <w:pPr>
        <w:pStyle w:val="MText"/>
      </w:pPr>
    </w:p>
    <w:p w:rsidR="00F84049" w:rsidRDefault="00F84049" w:rsidP="00F84049">
      <w:pPr>
        <w:pStyle w:val="MText"/>
      </w:pPr>
      <w:r>
        <w:t>Вопросник Международного валютного фонда (МВФ) по статистике государственных финансов (СГФ) собирает ежегодные данные по первым двум уровням (</w:t>
      </w:r>
      <w:r w:rsidR="00DA0445">
        <w:t>разделы</w:t>
      </w:r>
      <w:r>
        <w:t xml:space="preserve"> и группы). Вопросник ФАО направлен на сбор информации по классам, а также </w:t>
      </w:r>
      <w:r w:rsidR="00DA0445">
        <w:t xml:space="preserve">на </w:t>
      </w:r>
      <w:r>
        <w:t>разбивку соответствующих расходов на текущие и капитальные расходы. Три уровня классификации и соде</w:t>
      </w:r>
      <w:r w:rsidR="00DA0445">
        <w:t>ржание каждого класса описаны в Руководстве СГФ</w:t>
      </w:r>
      <w:r>
        <w:t xml:space="preserve"> 2014</w:t>
      </w:r>
      <w:r w:rsidR="00DA0445">
        <w:t xml:space="preserve"> года</w:t>
      </w:r>
      <w:r>
        <w:t xml:space="preserve">, доступном по адресу </w:t>
      </w:r>
      <w:hyperlink r:id="rId12" w:history="1">
        <w:r w:rsidR="00DA0445" w:rsidRPr="00332204">
          <w:rPr>
            <w:rStyle w:val="ab"/>
          </w:rPr>
          <w:t>https://www.imf.org/external/Pubs/FT/GFS/Manual/2014/GFSM_2014_rus.pdf</w:t>
        </w:r>
      </w:hyperlink>
      <w:r>
        <w:t>.</w:t>
      </w:r>
    </w:p>
    <w:p w:rsidR="00F84049" w:rsidRDefault="00F84049" w:rsidP="00F84049">
      <w:pPr>
        <w:pStyle w:val="MText"/>
      </w:pPr>
    </w:p>
    <w:p w:rsidR="00F719A8" w:rsidRDefault="00F84049" w:rsidP="00F84049">
      <w:pPr>
        <w:pStyle w:val="MText"/>
      </w:pPr>
      <w:r>
        <w:t xml:space="preserve">Географическая классификация </w:t>
      </w:r>
      <w:r w:rsidR="008E19FC">
        <w:t>ФАОСТАТ</w:t>
      </w:r>
      <w:r>
        <w:t xml:space="preserve"> используется для агрегирования показателей по группам стран (</w:t>
      </w:r>
      <w:hyperlink r:id="rId13" w:anchor="definitions" w:history="1">
        <w:r w:rsidR="008E19FC" w:rsidRPr="00332204">
          <w:rPr>
            <w:rStyle w:val="ab"/>
          </w:rPr>
          <w:t>http://www.fao.org/faostat/</w:t>
        </w:r>
        <w:proofErr w:type="spellStart"/>
        <w:r w:rsidR="008E19FC" w:rsidRPr="00332204">
          <w:rPr>
            <w:rStyle w:val="ab"/>
            <w:lang w:val="en-US"/>
          </w:rPr>
          <w:t>ru</w:t>
        </w:r>
        <w:proofErr w:type="spellEnd"/>
        <w:r w:rsidR="008E19FC" w:rsidRPr="00332204">
          <w:rPr>
            <w:rStyle w:val="ab"/>
          </w:rPr>
          <w:t>/#</w:t>
        </w:r>
        <w:proofErr w:type="spellStart"/>
        <w:r w:rsidR="008E19FC" w:rsidRPr="00332204">
          <w:rPr>
            <w:rStyle w:val="ab"/>
          </w:rPr>
          <w:t>definitions</w:t>
        </w:r>
        <w:proofErr w:type="spellEnd"/>
      </w:hyperlink>
      <w:r>
        <w:t>).</w:t>
      </w:r>
    </w:p>
    <w:p w:rsidR="00DA0445" w:rsidRPr="00F02379" w:rsidRDefault="00DA0445" w:rsidP="00F84049">
      <w:pPr>
        <w:pStyle w:val="MText"/>
      </w:pPr>
    </w:p>
    <w:p w:rsidR="00B31E2C" w:rsidRPr="000F77D0" w:rsidRDefault="00B31E2C" w:rsidP="00F719A8">
      <w:pPr>
        <w:pStyle w:val="MHeader"/>
        <w:rPr>
          <w:lang w:val="ru-RU"/>
        </w:rPr>
      </w:pPr>
      <w:r w:rsidRPr="000F77D0">
        <w:rPr>
          <w:lang w:val="ru-RU"/>
        </w:rPr>
        <w:t xml:space="preserve">3. </w:t>
      </w:r>
      <w:r w:rsidR="000F77D0" w:rsidRPr="000F77D0">
        <w:rPr>
          <w:lang w:val="ru-RU"/>
        </w:rPr>
        <w:t>Тип источника данных и метод сбора данных</w:t>
      </w:r>
      <w:r w:rsidR="000F77D0" w:rsidRPr="000F77D0">
        <w:rPr>
          <w:color w:val="B4B4B4"/>
          <w:sz w:val="20"/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SRC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TYPE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COLL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METHOD</w:t>
      </w:r>
      <w:r w:rsidRPr="000F77D0">
        <w:rPr>
          <w:color w:val="B4B4B4"/>
          <w:sz w:val="20"/>
          <w:lang w:val="ru-RU"/>
        </w:rPr>
        <w:t>)</w:t>
      </w:r>
    </w:p>
    <w:p w:rsidR="008B0AC7" w:rsidRPr="000F77D0" w:rsidRDefault="008B0AC7" w:rsidP="00F719A8">
      <w:pPr>
        <w:pStyle w:val="MHeader2"/>
        <w:rPr>
          <w:lang w:val="ru-RU"/>
        </w:rPr>
      </w:pPr>
      <w:r w:rsidRPr="000F77D0">
        <w:rPr>
          <w:lang w:val="ru-RU"/>
        </w:rPr>
        <w:t>3.</w:t>
      </w:r>
      <w:r w:rsidRPr="00A96255">
        <w:t>a</w:t>
      </w:r>
      <w:r w:rsidRPr="000F77D0">
        <w:rPr>
          <w:lang w:val="ru-RU"/>
        </w:rPr>
        <w:t xml:space="preserve">. </w:t>
      </w:r>
      <w:r w:rsidR="000F77D0">
        <w:rPr>
          <w:lang w:val="ru-RU"/>
        </w:rPr>
        <w:t>Источники данных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SOURCE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TYPE</w:t>
      </w:r>
      <w:r w:rsidRPr="000F77D0">
        <w:rPr>
          <w:color w:val="B4B4B4"/>
          <w:sz w:val="20"/>
          <w:lang w:val="ru-RU"/>
        </w:rPr>
        <w:t>)</w:t>
      </w:r>
    </w:p>
    <w:p w:rsidR="008E19FC" w:rsidRDefault="008E19FC" w:rsidP="008E19FC">
      <w:pPr>
        <w:pStyle w:val="MText"/>
      </w:pPr>
      <w:r>
        <w:t>Данные о государственных расходах собираются в странах с помощью ежегодного вопросника, курируемого ФАО.</w:t>
      </w:r>
      <w:r w:rsidR="00577848">
        <w:t xml:space="preserve"> Эти данные не подвержены ошибке выборки, поскольку страны обычно составляют вопросники ФАО на основе своих финансовых и бухгалтерских систем, используя административную информацию на основе доступности и полноты исходных данных. </w:t>
      </w:r>
      <w:r>
        <w:t xml:space="preserve">Для некоторых стран, которые не предоставляют данные напрямую в ФАО, ключевые </w:t>
      </w:r>
      <w:r w:rsidR="00577848">
        <w:t xml:space="preserve">агрегированные показатели </w:t>
      </w:r>
      <w:r>
        <w:t xml:space="preserve">расходов, необходимые для расчета показателя 2.a.1, берутся либо из базы данных </w:t>
      </w:r>
      <w:r w:rsidR="00577848">
        <w:t>СГФ (</w:t>
      </w:r>
      <w:r>
        <w:t>GFS</w:t>
      </w:r>
      <w:r w:rsidR="00577848">
        <w:t>)</w:t>
      </w:r>
      <w:r>
        <w:t xml:space="preserve"> МВФ, либо из других </w:t>
      </w:r>
      <w:r w:rsidR="00577848">
        <w:t xml:space="preserve">региональных организаций, либо </w:t>
      </w:r>
      <w:proofErr w:type="gramStart"/>
      <w:r w:rsidR="00577848">
        <w:t>из</w:t>
      </w:r>
      <w:proofErr w:type="gramEnd"/>
      <w:r>
        <w:t xml:space="preserve"> официальных национальных правительственных веб-сайтов.</w:t>
      </w:r>
    </w:p>
    <w:p w:rsidR="008E19FC" w:rsidRDefault="008E19FC" w:rsidP="008E19FC">
      <w:pPr>
        <w:pStyle w:val="MText"/>
      </w:pPr>
    </w:p>
    <w:p w:rsidR="00EC2915" w:rsidRPr="008E19FC" w:rsidRDefault="008E19FC" w:rsidP="008E19FC">
      <w:pPr>
        <w:pStyle w:val="MText"/>
      </w:pPr>
      <w:r>
        <w:t>Данные о добавленной стоимости в сельском хозяйстве и ВВП поступают из Статистического отдела ООН, который предоставляет оценки национальных счетов для 220 стран и территорий.</w:t>
      </w:r>
    </w:p>
    <w:p w:rsidR="008E19FC" w:rsidRPr="008E19FC" w:rsidRDefault="008E19FC" w:rsidP="008E19FC">
      <w:pPr>
        <w:pStyle w:val="MText"/>
      </w:pPr>
    </w:p>
    <w:p w:rsidR="008B0AC7" w:rsidRPr="000F77D0" w:rsidRDefault="00576CFA" w:rsidP="00F719A8">
      <w:pPr>
        <w:pStyle w:val="MHeader2"/>
        <w:rPr>
          <w:lang w:val="ru-RU"/>
        </w:rPr>
      </w:pPr>
      <w:r w:rsidRPr="000F77D0">
        <w:rPr>
          <w:lang w:val="ru-RU"/>
        </w:rPr>
        <w:t>3.</w:t>
      </w:r>
      <w:r w:rsidRPr="00A96255">
        <w:t>b</w:t>
      </w:r>
      <w:r w:rsidRPr="000F77D0">
        <w:rPr>
          <w:lang w:val="ru-RU"/>
        </w:rPr>
        <w:t xml:space="preserve">. </w:t>
      </w:r>
      <w:r w:rsidR="000F77D0">
        <w:rPr>
          <w:lang w:val="ru-RU"/>
        </w:rPr>
        <w:t>Метод сбора данных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COLL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METHOD</w:t>
      </w:r>
      <w:r w:rsidRPr="000F77D0">
        <w:rPr>
          <w:color w:val="B4B4B4"/>
          <w:sz w:val="20"/>
          <w:lang w:val="ru-RU"/>
        </w:rPr>
        <w:t>)</w:t>
      </w:r>
    </w:p>
    <w:p w:rsidR="00577848" w:rsidRPr="00577848" w:rsidRDefault="00577848" w:rsidP="00577848">
      <w:pPr>
        <w:pStyle w:val="MText"/>
      </w:pPr>
      <w:r w:rsidRPr="00577848">
        <w:t>Данные для знаменателя ежегодно собираются в странах, заполняющих разработанный в сотрудничестве с МВФ вопросник ФАО по государственным расходам на сельское хозяйство (</w:t>
      </w:r>
      <w:r w:rsidRPr="00FA64D7">
        <w:t>GEA</w:t>
      </w:r>
      <w:r w:rsidRPr="00577848">
        <w:t xml:space="preserve">). Для стран, в которых отсутствует информация, данные дополняются данными, собранными МВФ, региональными организациями или данными, опубликованными </w:t>
      </w:r>
      <w:proofErr w:type="gramStart"/>
      <w:r w:rsidRPr="00577848">
        <w:t>на</w:t>
      </w:r>
      <w:proofErr w:type="gramEnd"/>
      <w:r w:rsidRPr="00577848">
        <w:t xml:space="preserve"> официальных национальных правительственных веб-сайтах. Официальными партнерами на </w:t>
      </w:r>
      <w:proofErr w:type="spellStart"/>
      <w:r w:rsidRPr="00577848">
        <w:t>страновом</w:t>
      </w:r>
      <w:proofErr w:type="spellEnd"/>
      <w:r w:rsidRPr="00577848">
        <w:t xml:space="preserve"> уровне, в зависимости от страны, являются представители национальной статистической службы, министерства финансов (или другого центрального ведомства по планированию) или министерства сельского хозяйства. Проверки и консультации проводились в рамках различных комиссий и комитетов ФАО, включая две комиссии по сельскохозяйственной статистике в Африке и в Азиатско-Тихоокеанском регионе, Комитет по статистике сельского хозяйства и животноводства в Латинской Америке и Карибском бассейне, и Комитет по сельскому хозяйству</w:t>
      </w:r>
      <w:r>
        <w:t xml:space="preserve"> ФАО</w:t>
      </w:r>
      <w:r w:rsidRPr="00577848">
        <w:t>.</w:t>
      </w:r>
    </w:p>
    <w:p w:rsidR="00577848" w:rsidRDefault="00577848" w:rsidP="00576CFA">
      <w:pPr>
        <w:pStyle w:val="MText"/>
      </w:pPr>
    </w:p>
    <w:p w:rsidR="00E46D96" w:rsidRPr="000F77D0" w:rsidRDefault="00E46D96" w:rsidP="00F719A8">
      <w:pPr>
        <w:pStyle w:val="MHeader2"/>
        <w:rPr>
          <w:lang w:val="ru-RU"/>
        </w:rPr>
      </w:pPr>
      <w:r w:rsidRPr="000F77D0">
        <w:rPr>
          <w:lang w:val="ru-RU"/>
        </w:rPr>
        <w:t>3.</w:t>
      </w:r>
      <w:r w:rsidRPr="00A96255">
        <w:t>c</w:t>
      </w:r>
      <w:r w:rsidRPr="000F77D0">
        <w:rPr>
          <w:lang w:val="ru-RU"/>
        </w:rPr>
        <w:t xml:space="preserve">. </w:t>
      </w:r>
      <w:r w:rsidR="000F77D0">
        <w:rPr>
          <w:lang w:val="ru-RU"/>
        </w:rPr>
        <w:t>Календарь сбора данных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FREQ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COLL</w:t>
      </w:r>
      <w:r w:rsidRPr="000F77D0">
        <w:rPr>
          <w:color w:val="B4B4B4"/>
          <w:sz w:val="20"/>
          <w:lang w:val="ru-RU"/>
        </w:rPr>
        <w:t>)</w:t>
      </w:r>
    </w:p>
    <w:p w:rsidR="00577848" w:rsidRDefault="00577848" w:rsidP="00577848">
      <w:pPr>
        <w:pStyle w:val="MText"/>
      </w:pPr>
      <w:r w:rsidRPr="00577848">
        <w:t xml:space="preserve">Цикл сбора данных за отчетный год </w:t>
      </w:r>
      <w:r w:rsidRPr="00607521">
        <w:t>t</w:t>
      </w:r>
      <w:r>
        <w:t>-1 для Г</w:t>
      </w:r>
      <w:r w:rsidRPr="00577848">
        <w:t>осударственных расходов на сельское хозяйство (</w:t>
      </w:r>
      <w:r w:rsidRPr="00607521">
        <w:t>GEA</w:t>
      </w:r>
      <w:r w:rsidRPr="00577848">
        <w:t xml:space="preserve">) начнется в марте/апреле года </w:t>
      </w:r>
      <w:r w:rsidRPr="00607521">
        <w:t>t</w:t>
      </w:r>
      <w:r w:rsidRPr="00577848">
        <w:t>. Из-за времени, необходимого для сбора, компиляции и публикации национальных данных, страны могут столкнуться с задержками в представлении своевременных данных.</w:t>
      </w:r>
    </w:p>
    <w:p w:rsidR="00577848" w:rsidRPr="00577848" w:rsidRDefault="00577848" w:rsidP="00577848">
      <w:pPr>
        <w:rPr>
          <w:lang w:val="ru-RU"/>
        </w:rPr>
      </w:pPr>
    </w:p>
    <w:p w:rsidR="00E46D96" w:rsidRPr="000F77D0" w:rsidRDefault="00E46D96" w:rsidP="00F719A8">
      <w:pPr>
        <w:pStyle w:val="MHeader2"/>
        <w:rPr>
          <w:lang w:val="ru-RU"/>
        </w:rPr>
      </w:pPr>
      <w:r w:rsidRPr="000F77D0">
        <w:rPr>
          <w:lang w:val="ru-RU"/>
        </w:rPr>
        <w:t>3.</w:t>
      </w:r>
      <w:r w:rsidRPr="00A96255">
        <w:t>d</w:t>
      </w:r>
      <w:r w:rsidRPr="000F77D0">
        <w:rPr>
          <w:lang w:val="ru-RU"/>
        </w:rPr>
        <w:t xml:space="preserve">. </w:t>
      </w:r>
      <w:r w:rsidR="000F77D0">
        <w:rPr>
          <w:lang w:val="ru-RU"/>
        </w:rPr>
        <w:t>Календарь выпуска данных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REL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CAL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POLICY</w:t>
      </w:r>
      <w:r w:rsidRPr="000F77D0">
        <w:rPr>
          <w:color w:val="B4B4B4"/>
          <w:sz w:val="20"/>
          <w:lang w:val="ru-RU"/>
        </w:rPr>
        <w:t>)</w:t>
      </w:r>
    </w:p>
    <w:p w:rsidR="00264F34" w:rsidRPr="00264F34" w:rsidRDefault="00264F34" w:rsidP="00264F34">
      <w:pPr>
        <w:pStyle w:val="MText"/>
      </w:pPr>
      <w:r w:rsidRPr="00264F34">
        <w:t xml:space="preserve">Поскольку данные </w:t>
      </w:r>
      <w:r>
        <w:t>COFOG</w:t>
      </w:r>
      <w:r w:rsidRPr="00264F34">
        <w:t xml:space="preserve"> в основном собираются ежегодно, этот показатель публикуется каждый год в марте и охватывает данные до отчетного года </w:t>
      </w:r>
      <w:r w:rsidRPr="00607521">
        <w:t>t</w:t>
      </w:r>
      <w:r w:rsidRPr="00264F34">
        <w:t xml:space="preserve">-2 (для стран, по которым сбор, компиляция и публикация данных являются более своевременными). </w:t>
      </w:r>
    </w:p>
    <w:p w:rsidR="00EC2915" w:rsidRPr="000F77D0" w:rsidRDefault="00EC2915" w:rsidP="00576CFA">
      <w:pPr>
        <w:pStyle w:val="MText"/>
      </w:pPr>
    </w:p>
    <w:p w:rsidR="00E46D96" w:rsidRPr="00450736" w:rsidRDefault="00E46D96" w:rsidP="00F719A8">
      <w:pPr>
        <w:pStyle w:val="MHeader2"/>
        <w:rPr>
          <w:lang w:val="it-IT"/>
        </w:rPr>
      </w:pPr>
      <w:r w:rsidRPr="00450736">
        <w:rPr>
          <w:lang w:val="it-IT"/>
        </w:rPr>
        <w:t xml:space="preserve">3.e. </w:t>
      </w:r>
      <w:r w:rsidR="000F77D0">
        <w:rPr>
          <w:lang w:val="ru-RU"/>
        </w:rPr>
        <w:t>Поставщики данных</w:t>
      </w:r>
      <w:r w:rsidRPr="00450736">
        <w:rPr>
          <w:lang w:val="it-IT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DATA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SOURCE</w:t>
      </w:r>
      <w:r w:rsidRPr="000F77D0">
        <w:rPr>
          <w:color w:val="B4B4B4"/>
          <w:sz w:val="20"/>
          <w:lang w:val="ru-RU"/>
        </w:rPr>
        <w:t>)</w:t>
      </w:r>
    </w:p>
    <w:p w:rsidR="00EC2915" w:rsidRDefault="00264F34" w:rsidP="00576CFA">
      <w:pPr>
        <w:pStyle w:val="MText"/>
      </w:pPr>
      <w:r w:rsidRPr="00264F34">
        <w:t xml:space="preserve">Министерство финансов, Центральное </w:t>
      </w:r>
      <w:r>
        <w:t>учреждение</w:t>
      </w:r>
      <w:r w:rsidRPr="00264F34">
        <w:t xml:space="preserve"> планирован</w:t>
      </w:r>
      <w:r>
        <w:t xml:space="preserve">ия, Национальное статистическая служба, </w:t>
      </w:r>
      <w:r w:rsidRPr="00264F34">
        <w:t>и/или Министерство сельского хозяйства</w:t>
      </w:r>
      <w:r>
        <w:t>.</w:t>
      </w:r>
    </w:p>
    <w:p w:rsidR="00264F34" w:rsidRPr="000F77D0" w:rsidRDefault="00264F34" w:rsidP="00576CFA">
      <w:pPr>
        <w:pStyle w:val="MText"/>
      </w:pPr>
    </w:p>
    <w:p w:rsidR="00E46D96" w:rsidRPr="000F77D0" w:rsidRDefault="00E46D96" w:rsidP="00F719A8">
      <w:pPr>
        <w:pStyle w:val="MHeader2"/>
        <w:rPr>
          <w:lang w:val="ru-RU"/>
        </w:rPr>
      </w:pPr>
      <w:r w:rsidRPr="000F77D0">
        <w:rPr>
          <w:lang w:val="ru-RU"/>
        </w:rPr>
        <w:t>3.</w:t>
      </w:r>
      <w:r w:rsidRPr="00A96255">
        <w:t>f</w:t>
      </w:r>
      <w:r w:rsidRPr="000F77D0">
        <w:rPr>
          <w:lang w:val="ru-RU"/>
        </w:rPr>
        <w:t xml:space="preserve">. </w:t>
      </w:r>
      <w:r w:rsidR="000F77D0">
        <w:rPr>
          <w:lang w:val="ru-RU"/>
        </w:rPr>
        <w:t>Составители данных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COMPILING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ORG</w:t>
      </w:r>
      <w:r w:rsidRPr="000F77D0">
        <w:rPr>
          <w:color w:val="B4B4B4"/>
          <w:sz w:val="20"/>
          <w:lang w:val="ru-RU"/>
        </w:rPr>
        <w:t>)</w:t>
      </w:r>
    </w:p>
    <w:p w:rsidR="00264F34" w:rsidRDefault="00264F34" w:rsidP="00264F34">
      <w:pPr>
        <w:pStyle w:val="MText"/>
      </w:pPr>
      <w:r w:rsidRPr="00264F34">
        <w:t>Продовольственная и сельскохозяйственная организация ООН (ФАО)</w:t>
      </w:r>
      <w:r>
        <w:t>.</w:t>
      </w:r>
    </w:p>
    <w:p w:rsidR="00264F34" w:rsidRPr="00264F34" w:rsidRDefault="00264F34" w:rsidP="00264F34">
      <w:pPr>
        <w:pStyle w:val="MText"/>
      </w:pPr>
    </w:p>
    <w:p w:rsidR="00E46D96" w:rsidRPr="000F77D0" w:rsidRDefault="00E46D96" w:rsidP="00F719A8">
      <w:pPr>
        <w:pStyle w:val="MHeader2"/>
        <w:rPr>
          <w:lang w:val="ru-RU"/>
        </w:rPr>
      </w:pPr>
      <w:r w:rsidRPr="000F77D0">
        <w:rPr>
          <w:lang w:val="ru-RU"/>
        </w:rPr>
        <w:t>3.</w:t>
      </w:r>
      <w:r w:rsidRPr="00A96255">
        <w:t>g</w:t>
      </w:r>
      <w:r w:rsidRPr="000F77D0">
        <w:rPr>
          <w:lang w:val="ru-RU"/>
        </w:rPr>
        <w:t xml:space="preserve">. </w:t>
      </w:r>
      <w:r w:rsidR="000F77D0">
        <w:rPr>
          <w:lang w:val="ru-RU"/>
        </w:rPr>
        <w:t xml:space="preserve">Институциональный мандат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INST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MANDATE</w:t>
      </w:r>
      <w:r w:rsidRPr="000F77D0">
        <w:rPr>
          <w:color w:val="B4B4B4"/>
          <w:sz w:val="20"/>
          <w:lang w:val="ru-RU"/>
        </w:rPr>
        <w:t>)</w:t>
      </w:r>
    </w:p>
    <w:p w:rsidR="00264F34" w:rsidRPr="00264F34" w:rsidRDefault="00264F34" w:rsidP="00254415">
      <w:pPr>
        <w:pStyle w:val="MText"/>
      </w:pPr>
      <w:r w:rsidRPr="00264F34">
        <w:t xml:space="preserve">Статья </w:t>
      </w:r>
      <w:r w:rsidRPr="003E34C6">
        <w:t>I</w:t>
      </w:r>
      <w:r w:rsidRPr="00264F34">
        <w:t xml:space="preserve"> Устава ФАО требует, чтобы Организация «собирала, анализировала, интерпретировала и распространяла информацию, касающуюся питания, продовольствия и сельского хозяйства» (</w:t>
      </w:r>
      <w:r w:rsidRPr="003E34C6">
        <w:t>http</w:t>
      </w:r>
      <w:r w:rsidRPr="00264F34">
        <w:t>://</w:t>
      </w:r>
      <w:r w:rsidRPr="003E34C6">
        <w:t>www</w:t>
      </w:r>
      <w:r w:rsidRPr="00264F34">
        <w:t>.</w:t>
      </w:r>
      <w:r w:rsidRPr="003E34C6">
        <w:t>fao</w:t>
      </w:r>
      <w:r w:rsidRPr="00264F34">
        <w:t>.</w:t>
      </w:r>
      <w:r w:rsidRPr="003E34C6">
        <w:t>org</w:t>
      </w:r>
      <w:r w:rsidRPr="00264F34">
        <w:t>/</w:t>
      </w:r>
      <w:r w:rsidRPr="003E34C6">
        <w:t>docrep</w:t>
      </w:r>
      <w:r w:rsidRPr="00264F34">
        <w:t>/</w:t>
      </w:r>
      <w:r w:rsidRPr="003E34C6">
        <w:t>x</w:t>
      </w:r>
      <w:r w:rsidRPr="00264F34">
        <w:t>5584</w:t>
      </w:r>
      <w:r w:rsidRPr="003E34C6">
        <w:t>e</w:t>
      </w:r>
      <w:r w:rsidRPr="00264F34">
        <w:t>/</w:t>
      </w:r>
      <w:r w:rsidRPr="003E34C6">
        <w:t>x</w:t>
      </w:r>
      <w:r w:rsidRPr="00264F34">
        <w:t>5584</w:t>
      </w:r>
      <w:r w:rsidRPr="003E34C6">
        <w:t>e</w:t>
      </w:r>
      <w:r w:rsidRPr="00264F34">
        <w:t>00.</w:t>
      </w:r>
      <w:r w:rsidRPr="003E34C6">
        <w:t>htm</w:t>
      </w:r>
      <w:r w:rsidRPr="00264F34">
        <w:t xml:space="preserve">). Страны-члены подтвердили этот мандат в 2000 году. В рамках статистической программы работы ФАО страны-члены одобрили разработку области инвестиционной статистики, включая текущую работу по государственным расходам на сельское хозяйство, на заседаниях трех уставных органов: </w:t>
      </w:r>
      <w:proofErr w:type="gramStart"/>
      <w:r w:rsidRPr="00264F34">
        <w:t xml:space="preserve">Азиатско-тихоокеанской комиссии по </w:t>
      </w:r>
      <w:r>
        <w:t xml:space="preserve">сельскохозяйственной статистике </w:t>
      </w:r>
      <w:r w:rsidRPr="00264F34">
        <w:t>(</w:t>
      </w:r>
      <w:r w:rsidRPr="003E34C6">
        <w:t>APCAS</w:t>
      </w:r>
      <w:r w:rsidR="00254415">
        <w:t xml:space="preserve">) в </w:t>
      </w:r>
      <w:r w:rsidRPr="00264F34">
        <w:t xml:space="preserve">во Вьетнаме в </w:t>
      </w:r>
      <w:r w:rsidR="00254415">
        <w:t>2014 г.; Африканской комиссии</w:t>
      </w:r>
      <w:r w:rsidRPr="00264F34">
        <w:t xml:space="preserve"> по сельскохозяйственной статистике (</w:t>
      </w:r>
      <w:r w:rsidRPr="003E34C6">
        <w:t>AFCAS</w:t>
      </w:r>
      <w:r w:rsidR="00254415">
        <w:t xml:space="preserve">) </w:t>
      </w:r>
      <w:r w:rsidRPr="00264F34">
        <w:t xml:space="preserve">в Марокко в 2013 </w:t>
      </w:r>
      <w:r w:rsidR="00254415">
        <w:t>г.; и рабочей группы</w:t>
      </w:r>
      <w:r w:rsidRPr="00264F34">
        <w:t xml:space="preserve"> </w:t>
      </w:r>
      <w:r w:rsidRPr="00D11311">
        <w:t>IICA</w:t>
      </w:r>
      <w:r w:rsidRPr="00264F34">
        <w:t xml:space="preserve"> по статистике сельского хозяйства и животноводства для Латинской Америки и Карибского бассейна</w:t>
      </w:r>
      <w:r w:rsidR="00254415">
        <w:t xml:space="preserve"> </w:t>
      </w:r>
      <w:r w:rsidRPr="00264F34">
        <w:t xml:space="preserve"> в </w:t>
      </w:r>
      <w:r w:rsidR="00254415">
        <w:t xml:space="preserve">Тринидаде и Тобаго в </w:t>
      </w:r>
      <w:r w:rsidRPr="00264F34">
        <w:t>2013 г.</w:t>
      </w:r>
      <w:proofErr w:type="gramEnd"/>
    </w:p>
    <w:p w:rsidR="00EC2915" w:rsidRPr="000F77D0" w:rsidRDefault="00EC2915" w:rsidP="00576CFA">
      <w:pPr>
        <w:pStyle w:val="MText"/>
      </w:pPr>
    </w:p>
    <w:p w:rsidR="00B31E2C" w:rsidRPr="000F77D0" w:rsidRDefault="00B31E2C" w:rsidP="00AF5ED1">
      <w:pPr>
        <w:pStyle w:val="MHeader"/>
        <w:rPr>
          <w:lang w:val="ru-RU"/>
        </w:rPr>
      </w:pPr>
      <w:r w:rsidRPr="000F77D0">
        <w:rPr>
          <w:lang w:val="ru-RU"/>
        </w:rPr>
        <w:t xml:space="preserve">4. </w:t>
      </w:r>
      <w:r w:rsidR="000F77D0">
        <w:rPr>
          <w:lang w:val="ru-RU"/>
        </w:rPr>
        <w:t>Иные</w:t>
      </w:r>
      <w:r w:rsidR="000F77D0" w:rsidRPr="000F77D0">
        <w:rPr>
          <w:lang w:val="ru-RU"/>
        </w:rPr>
        <w:t xml:space="preserve"> </w:t>
      </w:r>
      <w:r w:rsidR="000F77D0">
        <w:rPr>
          <w:lang w:val="ru-RU"/>
        </w:rPr>
        <w:t>методологические</w:t>
      </w:r>
      <w:r w:rsidR="000F77D0" w:rsidRPr="000F77D0">
        <w:rPr>
          <w:lang w:val="ru-RU"/>
        </w:rPr>
        <w:t xml:space="preserve"> </w:t>
      </w:r>
      <w:r w:rsidR="000F77D0">
        <w:rPr>
          <w:lang w:val="ru-RU"/>
        </w:rPr>
        <w:t>соображения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OTHER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METHOD</w:t>
      </w:r>
      <w:r w:rsidRPr="000F77D0">
        <w:rPr>
          <w:color w:val="B4B4B4"/>
          <w:sz w:val="20"/>
          <w:lang w:val="ru-RU"/>
        </w:rPr>
        <w:t>)</w:t>
      </w:r>
    </w:p>
    <w:p w:rsidR="00AF5ED1" w:rsidRPr="000F77D0" w:rsidRDefault="00576CFA" w:rsidP="00F719A8">
      <w:pPr>
        <w:pStyle w:val="MHeader2"/>
        <w:rPr>
          <w:lang w:val="ru-RU"/>
        </w:rPr>
      </w:pPr>
      <w:r w:rsidRPr="000F77D0">
        <w:rPr>
          <w:lang w:val="ru-RU"/>
        </w:rPr>
        <w:t>4.</w:t>
      </w:r>
      <w:r w:rsidRPr="00A96255">
        <w:t>a</w:t>
      </w:r>
      <w:r w:rsidRPr="000F77D0">
        <w:rPr>
          <w:lang w:val="ru-RU"/>
        </w:rPr>
        <w:t xml:space="preserve">. </w:t>
      </w:r>
      <w:r w:rsidR="000F77D0">
        <w:rPr>
          <w:lang w:val="ru-RU"/>
        </w:rPr>
        <w:t>Обоснование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RATIONALE</w:t>
      </w:r>
      <w:r w:rsidRPr="000F77D0">
        <w:rPr>
          <w:color w:val="B4B4B4"/>
          <w:sz w:val="20"/>
          <w:lang w:val="ru-RU"/>
        </w:rPr>
        <w:t>)</w:t>
      </w:r>
    </w:p>
    <w:p w:rsidR="00254415" w:rsidRDefault="00254415" w:rsidP="000979EC">
      <w:pPr>
        <w:pStyle w:val="MText"/>
      </w:pPr>
      <w:r w:rsidRPr="00254415">
        <w:t xml:space="preserve">Индекс ориентации на сельское хозяйство (AOI) больше 1 отражает более высокую ориентацию на сельскохозяйственный сектор, который получает более высокую долю государственных расходов относительно его вклада в экономическую добавленную стоимость. </w:t>
      </w:r>
      <w:proofErr w:type="gramStart"/>
      <w:r w:rsidRPr="00254415">
        <w:t>AOI меньше 1 отражает более низкую ориентацию на сельское хозяйство, в то время как AOI, равный 1, отражает нейтральность в ориентации правительства на сельскохозяйственный сектор.</w:t>
      </w:r>
      <w:proofErr w:type="gramEnd"/>
    </w:p>
    <w:p w:rsidR="000979EC" w:rsidRDefault="000979EC" w:rsidP="000979EC">
      <w:pPr>
        <w:pStyle w:val="MText"/>
      </w:pPr>
    </w:p>
    <w:p w:rsidR="00B221C0" w:rsidRDefault="00B221C0" w:rsidP="000979EC">
      <w:pPr>
        <w:pStyle w:val="MText"/>
      </w:pPr>
      <w:proofErr w:type="gramStart"/>
      <w:r w:rsidRPr="00B221C0">
        <w:t xml:space="preserve">Государственные расходы в сельском хозяйстве включают расходы на </w:t>
      </w:r>
      <w:r>
        <w:t>отраслевую</w:t>
      </w:r>
      <w:r w:rsidRPr="00B221C0">
        <w:t xml:space="preserve"> политику и программы; улучшение почвы и контроль деградации почвы; орошение и водохранилища для сельскохозяйственного использования; управление здоровьем животных, исследования в области животноводства и обучение в области животноводства; морские/пресноводные биологические исследования; </w:t>
      </w:r>
      <w:r>
        <w:t>лесоразведение</w:t>
      </w:r>
      <w:r w:rsidRPr="00B221C0">
        <w:t xml:space="preserve"> и другие проекты в области лесного хозяйства и т. д.</w:t>
      </w:r>
      <w:proofErr w:type="gramEnd"/>
    </w:p>
    <w:p w:rsidR="000979EC" w:rsidRPr="00254415" w:rsidRDefault="000979EC" w:rsidP="000979EC">
      <w:pPr>
        <w:pStyle w:val="MText"/>
      </w:pPr>
    </w:p>
    <w:p w:rsidR="000979EC" w:rsidRDefault="000979EC" w:rsidP="000979EC">
      <w:pPr>
        <w:pStyle w:val="MText"/>
      </w:pPr>
      <w:r w:rsidRPr="000979EC">
        <w:t xml:space="preserve">Расходы на эти виды сельскохозяйственной деятельности помогают повысить эффективность сектора, производительность и рост доходов за счет увеличения физического или человеческого капитала и/или сокращения </w:t>
      </w:r>
      <w:proofErr w:type="spellStart"/>
      <w:r w:rsidRPr="000979EC">
        <w:t>межвременных</w:t>
      </w:r>
      <w:proofErr w:type="spellEnd"/>
      <w:r w:rsidRPr="000979EC">
        <w:t xml:space="preserve"> бюджетных ограничений.</w:t>
      </w:r>
    </w:p>
    <w:p w:rsidR="000979EC" w:rsidRDefault="000979EC" w:rsidP="000979EC">
      <w:pPr>
        <w:pStyle w:val="MText"/>
      </w:pPr>
    </w:p>
    <w:p w:rsidR="000979EC" w:rsidRPr="000979EC" w:rsidRDefault="000979EC" w:rsidP="005C76B2">
      <w:pPr>
        <w:pStyle w:val="MText"/>
      </w:pPr>
      <w:r>
        <w:t xml:space="preserve">Однако частный сектор, как правило, недостаточно инвестирует </w:t>
      </w:r>
      <w:r w:rsidRPr="000979EC">
        <w:t>в эти виды деятельности из-за наличия сбоев рынка (например, общественно-полезный характер исследований и разработок; положительные внешние эффекты от улучшения состояния почвы и воды; отсутствие доступа к конкурентоспособным кредитам из-за асимметричной информации между производителями и финансовыми учреждениями и т. д.). Аналогичным образом, высокий риск, с которым сталкиваются сельскохозяйственные производители, в частности мелкие землевладельцы, неспособные застраховаться от риска, часто требует вмешательства правительства с точки зрения перераспределения доходов для поддержки мелких землевладельцев, находящихся в бедственном положении после неурожая и потери скота из-за вредителей, засух, наводнений, сбоев инфраструктуры или серьезных изменений цен.</w:t>
      </w:r>
    </w:p>
    <w:p w:rsidR="00576CFA" w:rsidRDefault="00576CFA" w:rsidP="00576CFA">
      <w:pPr>
        <w:pStyle w:val="MText"/>
      </w:pPr>
    </w:p>
    <w:p w:rsidR="005C76B2" w:rsidRDefault="005C76B2" w:rsidP="005C76B2">
      <w:pPr>
        <w:pStyle w:val="MText"/>
      </w:pPr>
      <w:r>
        <w:t xml:space="preserve">Государственные расходы на сельское хозяйство имеют </w:t>
      </w:r>
      <w:proofErr w:type="gramStart"/>
      <w:r>
        <w:t>важное значение</w:t>
      </w:r>
      <w:proofErr w:type="gramEnd"/>
      <w:r>
        <w:t xml:space="preserve"> для устранения этих сбоев рынка и периодической необходимости перераспределения доходов. Это позволяет получить ряд потенциальных </w:t>
      </w:r>
      <w:r w:rsidR="00C630BA">
        <w:t>показателей</w:t>
      </w:r>
      <w:r>
        <w:t xml:space="preserve"> для ЦУР, которые включают: а) уровень государственных расходов на с</w:t>
      </w:r>
      <w:r w:rsidR="00C630BA">
        <w:t>ельское хозяйство (GEA); b) долю</w:t>
      </w:r>
      <w:r>
        <w:t xml:space="preserve"> сельского хозяйства в государственных расходах и c) </w:t>
      </w:r>
      <w:r w:rsidR="00C630BA">
        <w:t>индекс ориентированности государственных расходов на сельское хозяйство (</w:t>
      </w:r>
      <w:r>
        <w:t>AOI</w:t>
      </w:r>
      <w:r w:rsidR="00C630BA">
        <w:t>)</w:t>
      </w:r>
      <w:r>
        <w:t>.</w:t>
      </w:r>
    </w:p>
    <w:p w:rsidR="005C76B2" w:rsidRDefault="005C76B2" w:rsidP="005C76B2">
      <w:pPr>
        <w:pStyle w:val="MText"/>
      </w:pPr>
    </w:p>
    <w:p w:rsidR="005C76B2" w:rsidRDefault="00C630BA" w:rsidP="005C76B2">
      <w:pPr>
        <w:pStyle w:val="MText"/>
      </w:pPr>
      <w:r>
        <w:t>Показатель</w:t>
      </w:r>
      <w:r w:rsidR="005C76B2">
        <w:t xml:space="preserve">, который измеряет уровни </w:t>
      </w:r>
      <w:r>
        <w:t>государственных расходов в сельском хозяйстве (</w:t>
      </w:r>
      <w:r w:rsidR="005C76B2">
        <w:t>GEA</w:t>
      </w:r>
      <w:r>
        <w:t>)</w:t>
      </w:r>
      <w:r w:rsidR="005C76B2">
        <w:t xml:space="preserve">, не учитывает размер экономики. Если две страны, A и B, имеют одинаковый уровень GEA и одинаковый вклад сельского хозяйства в ВВП, но экономика страны A в 10 раз больше, чем у страны B, то установление одинаковых целевых уровней для GEA не </w:t>
      </w:r>
      <w:r>
        <w:t>будет учитывать</w:t>
      </w:r>
      <w:r w:rsidR="005C76B2">
        <w:t xml:space="preserve"> размер экономики.</w:t>
      </w:r>
    </w:p>
    <w:p w:rsidR="00C630BA" w:rsidRDefault="00C630BA" w:rsidP="005C76B2">
      <w:pPr>
        <w:pStyle w:val="MText"/>
      </w:pPr>
    </w:p>
    <w:p w:rsidR="003913F6" w:rsidRPr="003913F6" w:rsidRDefault="003913F6" w:rsidP="003913F6">
      <w:pPr>
        <w:pStyle w:val="MText"/>
      </w:pPr>
      <w:r w:rsidRPr="003913F6">
        <w:t>Показатель, который измеряет долю сельского хозяйства в государственных расходах, не учитывает относительный вклад сельскохозяйственного сектора в В</w:t>
      </w:r>
      <w:proofErr w:type="gramStart"/>
      <w:r w:rsidRPr="003913F6">
        <w:t>ВП стр</w:t>
      </w:r>
      <w:proofErr w:type="gramEnd"/>
      <w:r w:rsidRPr="003913F6">
        <w:t xml:space="preserve">аны. Рассмотрим две страны с одинаковым экономическим размером: </w:t>
      </w:r>
      <w:r w:rsidRPr="00B37428">
        <w:t>C</w:t>
      </w:r>
      <w:r w:rsidRPr="003913F6">
        <w:t xml:space="preserve"> и </w:t>
      </w:r>
      <w:r w:rsidRPr="00B37428">
        <w:t>D</w:t>
      </w:r>
      <w:r w:rsidRPr="003913F6">
        <w:t xml:space="preserve">, где вклад сельского хозяйства составляет 2% и 10% от ВВП соответственно. Если общие государственные расходы равны в обеих странах, то страна </w:t>
      </w:r>
      <w:r w:rsidRPr="00B37428">
        <w:t>C</w:t>
      </w:r>
      <w:r w:rsidRPr="003913F6">
        <w:t xml:space="preserve"> будет иметь более высокие относительные инвестиции в сельское хозяйство, чем страна </w:t>
      </w:r>
      <w:r w:rsidRPr="00B37428">
        <w:t>D</w:t>
      </w:r>
      <w:r w:rsidRPr="003913F6">
        <w:t xml:space="preserve">. </w:t>
      </w:r>
      <w:proofErr w:type="gramStart"/>
      <w:r w:rsidRPr="003913F6">
        <w:t xml:space="preserve">Если общие государственные расходы отличаются друг от друга, то результат может быть преувеличенным или </w:t>
      </w:r>
      <w:r>
        <w:t>размытыми</w:t>
      </w:r>
      <w:r w:rsidRPr="003913F6">
        <w:t>.</w:t>
      </w:r>
      <w:proofErr w:type="gramEnd"/>
    </w:p>
    <w:p w:rsidR="003913F6" w:rsidRDefault="003913F6" w:rsidP="003913F6">
      <w:pPr>
        <w:pStyle w:val="MText"/>
      </w:pPr>
    </w:p>
    <w:p w:rsidR="003913F6" w:rsidRDefault="003913F6" w:rsidP="003913F6">
      <w:pPr>
        <w:pStyle w:val="MText"/>
      </w:pPr>
      <w:r>
        <w:t>Индекс AOI учитывает размер экономики страны, вклад сельского хозяйства в ВВП и общую сумму государственных расходов. Хотя этот показатель не позволяет установить универсальную и достижимую цель, полезно интерпретировать AOI в сочетании с его числителем и знаменателем по отдельности: доля сельского хозяйства в государственных расходах и доля добавленной стоимости сельского хозяйства в ВВП.</w:t>
      </w:r>
    </w:p>
    <w:p w:rsidR="003913F6" w:rsidRDefault="003913F6" w:rsidP="005C76B2">
      <w:pPr>
        <w:pStyle w:val="MText"/>
      </w:pPr>
    </w:p>
    <w:p w:rsidR="003913F6" w:rsidRPr="00424E58" w:rsidRDefault="00E1050F" w:rsidP="00424E58">
      <w:pPr>
        <w:pStyle w:val="MHeader2"/>
        <w:rPr>
          <w:color w:val="4A4A4A"/>
          <w:sz w:val="21"/>
          <w:szCs w:val="21"/>
          <w:lang w:val="ru-RU"/>
        </w:rPr>
      </w:pPr>
      <w:r w:rsidRPr="000F77D0">
        <w:rPr>
          <w:lang w:val="ru-RU"/>
        </w:rPr>
        <w:t>4.</w:t>
      </w:r>
      <w:r w:rsidRPr="00A96255">
        <w:t>b</w:t>
      </w:r>
      <w:r w:rsidRPr="000F77D0">
        <w:rPr>
          <w:lang w:val="ru-RU"/>
        </w:rPr>
        <w:t xml:space="preserve">. </w:t>
      </w:r>
      <w:r w:rsidR="000F77D0">
        <w:rPr>
          <w:lang w:val="ru-RU"/>
        </w:rPr>
        <w:t>Комментарии и ограничения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REC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USE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LIM</w:t>
      </w:r>
      <w:r w:rsidRPr="000F77D0">
        <w:rPr>
          <w:color w:val="B4B4B4"/>
          <w:sz w:val="20"/>
          <w:lang w:val="ru-RU"/>
        </w:rPr>
        <w:t>)</w:t>
      </w:r>
    </w:p>
    <w:p w:rsidR="003913F6" w:rsidRPr="003913F6" w:rsidRDefault="003913F6" w:rsidP="00424E58">
      <w:pPr>
        <w:pStyle w:val="MText"/>
      </w:pPr>
      <w:r w:rsidRPr="003913F6">
        <w:t>Поскольку числитель этих данных основан на финансовых и бухгалтерских системах и административных источниках, данные о государственных расходах не имеют доверительного интервала или стандартной ошибки. Что касается знаменателя, то данные национальных счетов обычно не содержат никакой информации о стандартной ошибке или доверительном интервале.</w:t>
      </w:r>
    </w:p>
    <w:p w:rsidR="003913F6" w:rsidRDefault="003913F6" w:rsidP="003913F6">
      <w:pPr>
        <w:pStyle w:val="MText"/>
      </w:pPr>
    </w:p>
    <w:p w:rsidR="003913F6" w:rsidRDefault="003913F6" w:rsidP="003913F6">
      <w:pPr>
        <w:pStyle w:val="MText"/>
      </w:pPr>
      <w:r>
        <w:t>Основным ограничением этого показателя является то, что консолидированные расходы</w:t>
      </w:r>
      <w:r w:rsidR="00424E58">
        <w:t xml:space="preserve"> сектора государственного управления </w:t>
      </w:r>
      <w:r>
        <w:t xml:space="preserve">— лучшая мера для </w:t>
      </w:r>
      <w:proofErr w:type="spellStart"/>
      <w:r>
        <w:t>межстрановых</w:t>
      </w:r>
      <w:proofErr w:type="spellEnd"/>
      <w:r>
        <w:t xml:space="preserve"> сравнений — доступны не для всех стран, представляющих отчетность. Хотя большинство </w:t>
      </w:r>
      <w:r w:rsidR="00424E58">
        <w:t xml:space="preserve">стран с развитой </w:t>
      </w:r>
      <w:r>
        <w:t>экономик</w:t>
      </w:r>
      <w:r w:rsidR="00424E58">
        <w:t>ой</w:t>
      </w:r>
      <w:r>
        <w:t xml:space="preserve"> — и многие страны с формирующимся рынком — представляют эти данные, многие </w:t>
      </w:r>
      <w:r w:rsidR="00424E58">
        <w:t xml:space="preserve">страны с экономикой </w:t>
      </w:r>
      <w:r>
        <w:t xml:space="preserve">меньшего размера и/или с низким уровнем дохода либо не имеют значительных </w:t>
      </w:r>
      <w:r w:rsidR="00424E58">
        <w:t>денежно-кредитных</w:t>
      </w:r>
      <w:r>
        <w:t xml:space="preserve"> вмешательств в сельское хозяйство на уровне штата/провинции и на местном/муниципальном уровнях; либо не имеют достаточных исходных данных для составления значимых оценок </w:t>
      </w:r>
      <w:r w:rsidR="003409B5">
        <w:t>сектора государственного управления</w:t>
      </w:r>
      <w:r>
        <w:t xml:space="preserve"> для каждого подсектора, в зависимости от ситуации. Учитывая, что в </w:t>
      </w:r>
      <w:r w:rsidR="003409B5">
        <w:t>ряде стран</w:t>
      </w:r>
      <w:r>
        <w:t xml:space="preserve"> значительное вмешательство в сельское хозяйство осуществляется субнациональными органами власти, показатель 2.a.1 рассчитывается с использованием самого высокого уровня </w:t>
      </w:r>
      <w:r w:rsidR="003409B5">
        <w:t>государственного управления</w:t>
      </w:r>
      <w:r>
        <w:t xml:space="preserve">, доступного для страны, представляющей отчетность. Для некоторых стран, таких как Индия, где сектор общего государственного управления определяется для целей фискальной политики как бюджетное центральное правительство плюс правительство штата, </w:t>
      </w:r>
      <w:r w:rsidR="003409B5">
        <w:t>показатель</w:t>
      </w:r>
      <w:r>
        <w:t xml:space="preserve"> будет учитывать это.</w:t>
      </w:r>
    </w:p>
    <w:p w:rsidR="00424E58" w:rsidRDefault="00424E58" w:rsidP="003913F6">
      <w:pPr>
        <w:pStyle w:val="MText"/>
      </w:pPr>
    </w:p>
    <w:p w:rsidR="003409B5" w:rsidRPr="003409B5" w:rsidRDefault="003409B5" w:rsidP="00FB0534">
      <w:pPr>
        <w:pStyle w:val="MText"/>
      </w:pPr>
      <w:r w:rsidRPr="003409B5">
        <w:t xml:space="preserve">В Приложении </w:t>
      </w:r>
      <w:r>
        <w:t>I</w:t>
      </w:r>
      <w:r w:rsidRPr="003409B5">
        <w:t xml:space="preserve"> перечислены страны, предоставившие отчетность, их код </w:t>
      </w:r>
      <w:r>
        <w:t>M</w:t>
      </w:r>
      <w:r w:rsidRPr="003409B5">
        <w:t xml:space="preserve">49, последний год, за который имеются данные, и уровень правительства, за который были предоставлены данные. Используются следующие обозначения уровня государственного управления: </w:t>
      </w:r>
      <w:r w:rsidRPr="00E67FFD">
        <w:t>GG</w:t>
      </w:r>
      <w:r>
        <w:t>: Консолидированный сектор управления</w:t>
      </w:r>
      <w:r w:rsidRPr="003409B5">
        <w:t xml:space="preserve">; </w:t>
      </w:r>
      <w:r w:rsidRPr="00E67FFD">
        <w:t>CG</w:t>
      </w:r>
      <w:r w:rsidRPr="003409B5">
        <w:t xml:space="preserve">: Консолидированное центральное правительство (исключая фонды социального обеспечения): </w:t>
      </w:r>
      <w:r w:rsidRPr="00E67FFD">
        <w:t>CGI</w:t>
      </w:r>
      <w:r w:rsidRPr="003409B5">
        <w:t xml:space="preserve">: Консолидированное центральное правительство (включая фонды социального обеспечения); </w:t>
      </w:r>
      <w:r w:rsidRPr="00E67FFD">
        <w:t>BA</w:t>
      </w:r>
      <w:r w:rsidRPr="003409B5">
        <w:t>: Бюджетное центральное правительство.</w:t>
      </w:r>
    </w:p>
    <w:p w:rsidR="003913F6" w:rsidRPr="000F77D0" w:rsidRDefault="003913F6" w:rsidP="003913F6">
      <w:pPr>
        <w:pStyle w:val="MText"/>
      </w:pPr>
    </w:p>
    <w:p w:rsidR="00E1050F" w:rsidRPr="00A96255" w:rsidRDefault="00E1050F" w:rsidP="00F719A8">
      <w:pPr>
        <w:pStyle w:val="MHeader2"/>
      </w:pPr>
      <w:proofErr w:type="gramStart"/>
      <w:r w:rsidRPr="00A96255">
        <w:t>4.c</w:t>
      </w:r>
      <w:proofErr w:type="gramEnd"/>
      <w:r w:rsidRPr="00A96255">
        <w:t xml:space="preserve">. </w:t>
      </w:r>
      <w:r w:rsidR="000F77D0">
        <w:rPr>
          <w:lang w:val="ru-RU"/>
        </w:rPr>
        <w:t>Метод</w:t>
      </w:r>
      <w:r w:rsidR="000F77D0" w:rsidRPr="000F77D0">
        <w:rPr>
          <w:lang w:val="en-US"/>
        </w:rPr>
        <w:t xml:space="preserve"> </w:t>
      </w:r>
      <w:r w:rsidR="000F77D0">
        <w:rPr>
          <w:lang w:val="ru-RU"/>
        </w:rPr>
        <w:t>расчета</w:t>
      </w:r>
      <w:r w:rsidRPr="00A96255">
        <w:t xml:space="preserve"> </w:t>
      </w:r>
      <w:r>
        <w:rPr>
          <w:color w:val="B4B4B4"/>
          <w:sz w:val="20"/>
        </w:rPr>
        <w:t>(DATA_COMP)</w:t>
      </w:r>
    </w:p>
    <w:p w:rsidR="00FB0534" w:rsidRPr="00B37428" w:rsidRDefault="00FB0534" w:rsidP="00FB0534">
      <w:pPr>
        <w:pStyle w:val="MText"/>
        <w:rPr>
          <w:i/>
          <w:iCs/>
          <w:lang w:val="en-GB"/>
        </w:rPr>
      </w:pPr>
      <m:oMathPara>
        <m:oMath>
          <m:r>
            <w:rPr>
              <w:rFonts w:ascii="Cambria Math" w:hAnsi="Cambria Math"/>
            </w:rPr>
            <m:t xml:space="preserve">AOI = </m:t>
          </m:r>
          <m:f>
            <m:fPr>
              <m:ctrlPr>
                <w:rPr>
                  <w:rFonts w:ascii="Cambria Math" w:hAnsi="Cambria Math"/>
                  <w:i/>
                  <w:iCs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Доля сельского хозяйства в государственных расходах</m:t>
              </m:r>
            </m:num>
            <m:den>
              <m:r>
                <w:rPr>
                  <w:rFonts w:ascii="Cambria Math" w:hAnsi="Cambria Math"/>
                </w:rPr>
                <m:t>Д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оля добавленной стоимости  сельского хозяйства в ВВП</m:t>
              </m:r>
            </m:den>
          </m:f>
        </m:oMath>
      </m:oMathPara>
    </w:p>
    <w:p w:rsidR="00FB0534" w:rsidRPr="00B37428" w:rsidRDefault="00FB0534" w:rsidP="00FB0534">
      <w:pPr>
        <w:pStyle w:val="MText"/>
      </w:pPr>
    </w:p>
    <w:p w:rsidR="00FB0534" w:rsidRPr="00B37428" w:rsidRDefault="00FB0534" w:rsidP="00FB0534">
      <w:pPr>
        <w:pStyle w:val="MText"/>
      </w:pPr>
      <w:r w:rsidRPr="00B37428">
        <w:t>Где:</w:t>
      </w:r>
    </w:p>
    <w:p w:rsidR="00FB0534" w:rsidRPr="00B37428" w:rsidRDefault="00FB0534" w:rsidP="00FB0534">
      <w:pPr>
        <w:pStyle w:val="MText"/>
        <w:rPr>
          <w:lang w:val="en-GB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Д</m:t>
          </m:r>
          <m:r>
            <m:rPr>
              <m:sty m:val="p"/>
            </m:rPr>
            <w:rPr>
              <w:rFonts w:ascii="Cambria Math" w:hAnsi="Cambria Math"/>
            </w:rPr>
            <m:t>оля сельского хозяйства в государственных расходах</m:t>
          </m:r>
          <m:r>
            <w:rPr>
              <w:rFonts w:ascii="Cambria Math" w:hAnsi="Cambria Math"/>
            </w:rPr>
            <m:t>=</m:t>
          </m:r>
        </m:oMath>
      </m:oMathPara>
    </w:p>
    <w:p w:rsidR="00FB0534" w:rsidRPr="00FB0534" w:rsidRDefault="00FB0534" w:rsidP="00FB0534">
      <w:pPr>
        <w:pStyle w:val="MText"/>
      </w:pPr>
    </w:p>
    <w:p w:rsidR="00FB0534" w:rsidRPr="00B37428" w:rsidRDefault="00FB0534" w:rsidP="00FB0534">
      <w:pPr>
        <w:pStyle w:val="MText"/>
        <w:rPr>
          <w:i/>
          <w:lang w:val="en-GB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hAnsi="Cambria Math"/>
                </w:rPr>
                <m:t>Расходы правительства на сельское хозяйство</m:t>
              </m:r>
            </m:num>
            <m:den>
              <m:r>
                <w:rPr>
                  <w:rFonts w:ascii="Cambria Math" w:hAnsi="Cambria Math"/>
                </w:rPr>
                <m:t>Общие расходы правительства</m:t>
              </m:r>
            </m:den>
          </m:f>
          <m:r>
            <w:rPr>
              <w:rFonts w:ascii="Cambria Math" w:hAnsi="Cambria Math"/>
            </w:rPr>
            <m:t>*100</m:t>
          </m:r>
        </m:oMath>
      </m:oMathPara>
    </w:p>
    <w:p w:rsidR="00FB0534" w:rsidRPr="00B37428" w:rsidRDefault="00FB0534" w:rsidP="00FB0534">
      <w:pPr>
        <w:rPr>
          <w:rFonts w:eastAsia="Times New Roman" w:cs="Times New Roman"/>
          <w:lang w:eastAsia="en-GB"/>
        </w:rPr>
      </w:pPr>
    </w:p>
    <w:p w:rsidR="00FB0534" w:rsidRPr="00FB0534" w:rsidRDefault="00FB0534" w:rsidP="00FB0534">
      <w:pPr>
        <w:pStyle w:val="MText"/>
      </w:pPr>
      <w:r w:rsidRPr="00FB0534">
        <w:t xml:space="preserve">Сельское хозяйство относится к категории 042 </w:t>
      </w:r>
      <w:r>
        <w:t>COFOG</w:t>
      </w:r>
      <w:r w:rsidRPr="00FB0534">
        <w:t xml:space="preserve"> (земледельческое хозяйство, лесное хозяйство, рыболовство и охота); и </w:t>
      </w:r>
    </w:p>
    <w:p w:rsidR="00FB0534" w:rsidRPr="00B37428" w:rsidRDefault="00FB0534" w:rsidP="00FB0534">
      <w:pPr>
        <w:pStyle w:val="MText"/>
        <w:rPr>
          <w:lang w:val="en-GB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Д</m:t>
          </m:r>
          <m:r>
            <m:rPr>
              <m:sty m:val="p"/>
            </m:rPr>
            <w:rPr>
              <w:rFonts w:ascii="Cambria Math" w:hAnsi="Cambria Math"/>
            </w:rPr>
            <m:t>оля добавленной стоимости  сельского хозяйства в ВВП</m:t>
          </m:r>
          <m:r>
            <w:rPr>
              <w:rFonts w:ascii="Cambria Math" w:hAnsi="Cambria Math"/>
            </w:rPr>
            <m:t>=</m:t>
          </m:r>
        </m:oMath>
      </m:oMathPara>
    </w:p>
    <w:p w:rsidR="00FB0534" w:rsidRPr="00B37428" w:rsidRDefault="00FB0534" w:rsidP="00FB0534">
      <w:pPr>
        <w:pStyle w:val="MText"/>
        <w:rPr>
          <w:lang w:val="en-GB"/>
        </w:rPr>
      </w:pPr>
    </w:p>
    <w:p w:rsidR="00FB0534" w:rsidRPr="00B37428" w:rsidRDefault="00FB0534" w:rsidP="00FB0534">
      <w:pPr>
        <w:pStyle w:val="MText"/>
        <w:rPr>
          <w:i/>
          <w:lang w:val="en-GB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Добавленная стоимость сельского хозяйства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ВВП</m:t>
              </m:r>
            </m:den>
          </m:f>
          <m:r>
            <w:rPr>
              <w:rFonts w:ascii="Cambria Math" w:hAnsi="Cambria Math"/>
            </w:rPr>
            <m:t>*100</m:t>
          </m:r>
        </m:oMath>
      </m:oMathPara>
    </w:p>
    <w:p w:rsidR="00FB0534" w:rsidRPr="00B37428" w:rsidRDefault="00FB0534" w:rsidP="00FB0534">
      <w:pPr>
        <w:rPr>
          <w:rFonts w:eastAsia="Times New Roman" w:cs="Times New Roman"/>
          <w:lang w:eastAsia="en-GB"/>
        </w:rPr>
      </w:pPr>
    </w:p>
    <w:p w:rsidR="00FB0534" w:rsidRPr="00FB0534" w:rsidRDefault="00FB0534" w:rsidP="00FB0534">
      <w:pPr>
        <w:pStyle w:val="MText"/>
      </w:pPr>
      <w:r w:rsidRPr="00FB0534">
        <w:t>Сельское  хозяйство относится к разделу</w:t>
      </w:r>
      <w:proofErr w:type="gramStart"/>
      <w:r w:rsidRPr="00FB0534">
        <w:t xml:space="preserve"> А</w:t>
      </w:r>
      <w:proofErr w:type="gramEnd"/>
      <w:r w:rsidRPr="00FB0534">
        <w:t xml:space="preserve"> новой редакции МСОК 4 (земледельческое хозяйство, лесное  хозяйство, рыболовство и охота),  который соответствует разделам А и В редакции МСОК 3.2.</w:t>
      </w:r>
    </w:p>
    <w:p w:rsidR="00576CFA" w:rsidRPr="00A96255" w:rsidRDefault="00576CFA" w:rsidP="00576CFA">
      <w:pPr>
        <w:pStyle w:val="MText"/>
      </w:pPr>
    </w:p>
    <w:p w:rsidR="00E1050F" w:rsidRPr="009166AC" w:rsidRDefault="00576CFA" w:rsidP="00F719A8">
      <w:pPr>
        <w:pStyle w:val="MHeader2"/>
        <w:rPr>
          <w:lang w:val="ru-RU"/>
        </w:rPr>
      </w:pPr>
      <w:r w:rsidRPr="009166AC">
        <w:rPr>
          <w:lang w:val="ru-RU"/>
        </w:rPr>
        <w:t>4.</w:t>
      </w:r>
      <w:r w:rsidRPr="00873C70">
        <w:t>d</w:t>
      </w:r>
      <w:r w:rsidRPr="009166AC">
        <w:rPr>
          <w:lang w:val="ru-RU"/>
        </w:rPr>
        <w:t xml:space="preserve">. </w:t>
      </w:r>
      <w:r w:rsidR="000F77D0">
        <w:rPr>
          <w:lang w:val="ru-RU"/>
        </w:rPr>
        <w:t>Валидация</w:t>
      </w:r>
      <w:r w:rsidRPr="009166AC">
        <w:rPr>
          <w:lang w:val="ru-RU"/>
        </w:rPr>
        <w:t xml:space="preserve"> </w:t>
      </w:r>
      <w:r w:rsidRPr="009166AC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DATA</w:t>
      </w:r>
      <w:r w:rsidRPr="009166AC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VALIDATION</w:t>
      </w:r>
      <w:r w:rsidRPr="009166AC">
        <w:rPr>
          <w:color w:val="B4B4B4"/>
          <w:sz w:val="20"/>
          <w:lang w:val="ru-RU"/>
        </w:rPr>
        <w:t>)</w:t>
      </w:r>
    </w:p>
    <w:p w:rsidR="00F719A8" w:rsidRDefault="00FB0534" w:rsidP="00576CFA">
      <w:pPr>
        <w:pStyle w:val="MText"/>
      </w:pPr>
      <w:r w:rsidRPr="00FB0534">
        <w:t xml:space="preserve">Странам предлагается </w:t>
      </w:r>
      <w:r>
        <w:t>подтвердить</w:t>
      </w:r>
      <w:r w:rsidRPr="00FB0534">
        <w:t xml:space="preserve"> и обновить </w:t>
      </w:r>
      <w:r>
        <w:t>ретроспективные</w:t>
      </w:r>
      <w:r w:rsidRPr="00FB0534">
        <w:t xml:space="preserve"> данные </w:t>
      </w:r>
      <w:r>
        <w:t>вопросника</w:t>
      </w:r>
      <w:r w:rsidRPr="00FB0534">
        <w:t xml:space="preserve">, которые </w:t>
      </w:r>
      <w:r>
        <w:t xml:space="preserve">были </w:t>
      </w:r>
      <w:r w:rsidRPr="00FB0534">
        <w:t>предварительно</w:t>
      </w:r>
      <w:r>
        <w:t xml:space="preserve"> заполнены</w:t>
      </w:r>
      <w:r w:rsidRPr="00FB0534">
        <w:t xml:space="preserve">. ФАО проверяет данные по </w:t>
      </w:r>
      <w:r>
        <w:t>ретроспективным (историческим)</w:t>
      </w:r>
      <w:r w:rsidRPr="00FB0534">
        <w:t xml:space="preserve"> рядам, а также по данным, пр</w:t>
      </w:r>
      <w:r w:rsidR="00212434">
        <w:t>едставленным в МВФ, региональные</w:t>
      </w:r>
      <w:r w:rsidRPr="00FB0534">
        <w:t xml:space="preserve"> организации и с веб-сайтов стран.</w:t>
      </w:r>
    </w:p>
    <w:p w:rsidR="00FB0534" w:rsidRPr="00A96255" w:rsidRDefault="00FB0534" w:rsidP="00576CFA">
      <w:pPr>
        <w:pStyle w:val="MText"/>
      </w:pPr>
    </w:p>
    <w:p w:rsidR="00E1050F" w:rsidRPr="000F77D0" w:rsidRDefault="00E1050F" w:rsidP="00F719A8">
      <w:pPr>
        <w:pStyle w:val="MHeader2"/>
        <w:rPr>
          <w:lang w:val="ru-RU"/>
        </w:rPr>
      </w:pPr>
      <w:r w:rsidRPr="000F77D0">
        <w:rPr>
          <w:lang w:val="ru-RU"/>
        </w:rPr>
        <w:t>4.</w:t>
      </w:r>
      <w:r w:rsidRPr="00A96255">
        <w:t>e</w:t>
      </w:r>
      <w:r w:rsidRPr="000F77D0">
        <w:rPr>
          <w:lang w:val="ru-RU"/>
        </w:rPr>
        <w:t xml:space="preserve">. </w:t>
      </w:r>
      <w:r w:rsidR="000F77D0">
        <w:rPr>
          <w:lang w:val="ru-RU"/>
        </w:rPr>
        <w:t>Корректировки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ADJUSTMENT</w:t>
      </w:r>
      <w:r w:rsidRPr="000F77D0">
        <w:rPr>
          <w:color w:val="B4B4B4"/>
          <w:sz w:val="20"/>
          <w:lang w:val="ru-RU"/>
        </w:rPr>
        <w:t>)</w:t>
      </w:r>
    </w:p>
    <w:p w:rsidR="00EC2915" w:rsidRDefault="00212434" w:rsidP="00576CFA">
      <w:pPr>
        <w:pStyle w:val="MText"/>
      </w:pPr>
      <w:r w:rsidRPr="00212434">
        <w:t xml:space="preserve">ФАО пересматривает данные только тогда, когда исторические </w:t>
      </w:r>
      <w:r>
        <w:t>исправления</w:t>
      </w:r>
      <w:r w:rsidRPr="00212434">
        <w:t xml:space="preserve"> или недостающие исторические данные предоставляются странами, МВФ или региональными организациями</w:t>
      </w:r>
      <w:r>
        <w:t>,</w:t>
      </w:r>
      <w:r w:rsidRPr="00212434">
        <w:t xml:space="preserve"> или когда они становятся доступными через веб-сайты национальных органов власти. Например, предварительно заполненные вопросники рассылаются с сообщенными данными для t-2 по t-5, которые странам предлагается </w:t>
      </w:r>
      <w:r>
        <w:t>просмотреть</w:t>
      </w:r>
      <w:r w:rsidRPr="00212434">
        <w:t xml:space="preserve">, </w:t>
      </w:r>
      <w:r>
        <w:t xml:space="preserve">исправить при необходимости и, насколько </w:t>
      </w:r>
      <w:proofErr w:type="gramStart"/>
      <w:r>
        <w:t>это</w:t>
      </w:r>
      <w:proofErr w:type="gramEnd"/>
      <w:r>
        <w:t xml:space="preserve"> возможно, </w:t>
      </w:r>
      <w:r w:rsidRPr="00212434">
        <w:t>заполнить недостающую информацию. Также выполняется преобразование значений в миллионы.</w:t>
      </w:r>
    </w:p>
    <w:p w:rsidR="00212434" w:rsidRPr="000F77D0" w:rsidRDefault="00212434" w:rsidP="00576CFA">
      <w:pPr>
        <w:pStyle w:val="MText"/>
      </w:pPr>
    </w:p>
    <w:p w:rsidR="00E1050F" w:rsidRPr="000F77D0" w:rsidRDefault="00576CFA" w:rsidP="0047190B">
      <w:pPr>
        <w:pStyle w:val="MHeader2"/>
        <w:jc w:val="both"/>
        <w:rPr>
          <w:lang w:val="ru-RU"/>
        </w:rPr>
      </w:pPr>
      <w:r w:rsidRPr="000F77D0">
        <w:rPr>
          <w:lang w:val="ru-RU"/>
        </w:rPr>
        <w:t>4.</w:t>
      </w:r>
      <w:r w:rsidRPr="00A96255">
        <w:t>f</w:t>
      </w:r>
      <w:r w:rsidRPr="000F77D0">
        <w:rPr>
          <w:lang w:val="ru-RU"/>
        </w:rPr>
        <w:t xml:space="preserve">. </w:t>
      </w:r>
      <w:r w:rsidR="000F77D0" w:rsidRPr="000F77D0">
        <w:rPr>
          <w:lang w:val="ru-RU"/>
        </w:rPr>
        <w:t>Обработка отсутствующих значений (</w:t>
      </w:r>
      <w:r w:rsidR="000F77D0" w:rsidRPr="000F77D0">
        <w:t>i</w:t>
      </w:r>
      <w:r w:rsidR="000F77D0" w:rsidRPr="000F77D0">
        <w:rPr>
          <w:lang w:val="ru-RU"/>
        </w:rPr>
        <w:t>) на уровне страны и (</w:t>
      </w:r>
      <w:r w:rsidR="000F77D0" w:rsidRPr="000F77D0">
        <w:t>ii</w:t>
      </w:r>
      <w:r w:rsidR="000F77D0" w:rsidRPr="000F77D0">
        <w:rPr>
          <w:lang w:val="ru-RU"/>
        </w:rPr>
        <w:t>) на региональном уровне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IMPUTATION</w:t>
      </w:r>
      <w:r w:rsidRPr="000F77D0">
        <w:rPr>
          <w:color w:val="B4B4B4"/>
          <w:sz w:val="20"/>
          <w:lang w:val="ru-RU"/>
        </w:rPr>
        <w:t>)</w:t>
      </w:r>
    </w:p>
    <w:p w:rsidR="00212434" w:rsidRDefault="00212434" w:rsidP="00212434">
      <w:pPr>
        <w:pStyle w:val="MSubHeader"/>
        <w:numPr>
          <w:ilvl w:val="0"/>
          <w:numId w:val="22"/>
        </w:numPr>
      </w:pPr>
      <w:proofErr w:type="spellStart"/>
      <w:r>
        <w:t>На</w:t>
      </w:r>
      <w:proofErr w:type="spellEnd"/>
      <w:r>
        <w:t xml:space="preserve"> </w:t>
      </w:r>
      <w:proofErr w:type="spellStart"/>
      <w:r>
        <w:t>уровне</w:t>
      </w:r>
      <w:proofErr w:type="spellEnd"/>
      <w:r>
        <w:t xml:space="preserve"> </w:t>
      </w:r>
      <w:proofErr w:type="spellStart"/>
      <w:r>
        <w:t>страны</w:t>
      </w:r>
      <w:proofErr w:type="spellEnd"/>
    </w:p>
    <w:p w:rsidR="00212434" w:rsidRDefault="00FA7D96" w:rsidP="00212434">
      <w:pPr>
        <w:pStyle w:val="MText"/>
      </w:pPr>
      <w:r>
        <w:t>Недостающие</w:t>
      </w:r>
      <w:r w:rsidR="00212434">
        <w:t xml:space="preserve"> значения государственных расходов на сельское хозяйство прогнозировались с использованием тенденций ВВП и скользящих средних за 3–5 лет доли сельского хозяйства в общих расходах. Прогнозируемые значения используются для расчета региональных и глобальных </w:t>
      </w:r>
      <w:r>
        <w:t>агрегированных показателей</w:t>
      </w:r>
      <w:r w:rsidR="00212434">
        <w:t>, но не представляются на национальном уровне.</w:t>
      </w:r>
    </w:p>
    <w:p w:rsidR="00212434" w:rsidRDefault="00212434" w:rsidP="00212434">
      <w:pPr>
        <w:pStyle w:val="MText"/>
      </w:pPr>
    </w:p>
    <w:p w:rsidR="00212434" w:rsidRDefault="00212434" w:rsidP="00212434">
      <w:pPr>
        <w:pStyle w:val="MSubHeader"/>
        <w:numPr>
          <w:ilvl w:val="0"/>
          <w:numId w:val="21"/>
        </w:numPr>
      </w:pPr>
      <w:proofErr w:type="spellStart"/>
      <w:r>
        <w:t>На</w:t>
      </w:r>
      <w:proofErr w:type="spellEnd"/>
      <w:r>
        <w:t xml:space="preserve"> </w:t>
      </w:r>
      <w:proofErr w:type="spellStart"/>
      <w:r>
        <w:t>региональном</w:t>
      </w:r>
      <w:proofErr w:type="spellEnd"/>
      <w:r>
        <w:t xml:space="preserve"> и </w:t>
      </w:r>
      <w:proofErr w:type="spellStart"/>
      <w:r>
        <w:t>глобальном</w:t>
      </w:r>
      <w:proofErr w:type="spellEnd"/>
      <w:r>
        <w:t xml:space="preserve"> </w:t>
      </w:r>
      <w:proofErr w:type="spellStart"/>
      <w:r>
        <w:t>уровнях</w:t>
      </w:r>
      <w:proofErr w:type="spellEnd"/>
    </w:p>
    <w:p w:rsidR="00EC2915" w:rsidRDefault="00212434" w:rsidP="00212434">
      <w:pPr>
        <w:pStyle w:val="MText"/>
      </w:pPr>
      <w:r>
        <w:t xml:space="preserve">Региональные и глобальные </w:t>
      </w:r>
      <w:r w:rsidR="00FA7D96">
        <w:t>агрегированные данные</w:t>
      </w:r>
      <w:r>
        <w:t xml:space="preserve"> основывались на смеси данных, напрямую предоставленных странами (в ФАО или МВФ), и прогнозов </w:t>
      </w:r>
      <w:r w:rsidR="00FA7D96">
        <w:t>недостающих</w:t>
      </w:r>
      <w:r>
        <w:t xml:space="preserve"> </w:t>
      </w:r>
      <w:r w:rsidR="00FA7D96">
        <w:t>значений. Для периода временных рядов</w:t>
      </w:r>
      <w:r>
        <w:t xml:space="preserve"> региональные и глобальные </w:t>
      </w:r>
      <w:r w:rsidR="00FA7D96">
        <w:t xml:space="preserve">агрегированные показатели рассчитываются </w:t>
      </w:r>
      <w:r>
        <w:t>на основе данных, предоставленных странами,</w:t>
      </w:r>
      <w:bookmarkStart w:id="5" w:name="_GoBack"/>
      <w:bookmarkEnd w:id="5"/>
      <w:r>
        <w:t xml:space="preserve"> и интерполяции отсутствующих значений.</w:t>
      </w:r>
    </w:p>
    <w:p w:rsidR="00212434" w:rsidRPr="000F77D0" w:rsidRDefault="00212434" w:rsidP="00212434">
      <w:pPr>
        <w:pStyle w:val="MText"/>
      </w:pPr>
    </w:p>
    <w:p w:rsidR="00E1050F" w:rsidRPr="000F77D0" w:rsidRDefault="00E1050F" w:rsidP="00F719A8">
      <w:pPr>
        <w:pStyle w:val="MHeader2"/>
        <w:rPr>
          <w:lang w:val="ru-RU"/>
        </w:rPr>
      </w:pPr>
      <w:r w:rsidRPr="000F77D0">
        <w:rPr>
          <w:lang w:val="ru-RU"/>
        </w:rPr>
        <w:t>4.</w:t>
      </w:r>
      <w:r w:rsidRPr="00A96255">
        <w:t>g</w:t>
      </w:r>
      <w:r w:rsidRPr="000F77D0">
        <w:rPr>
          <w:lang w:val="ru-RU"/>
        </w:rPr>
        <w:t xml:space="preserve">. </w:t>
      </w:r>
      <w:r w:rsidR="000F77D0">
        <w:rPr>
          <w:lang w:val="ru-RU"/>
        </w:rPr>
        <w:t>Региональное</w:t>
      </w:r>
      <w:r w:rsidR="000F77D0" w:rsidRPr="000F77D0">
        <w:rPr>
          <w:lang w:val="ru-RU"/>
        </w:rPr>
        <w:t xml:space="preserve"> </w:t>
      </w:r>
      <w:r w:rsidR="000F77D0">
        <w:rPr>
          <w:lang w:val="ru-RU"/>
        </w:rPr>
        <w:t>агрегирование</w:t>
      </w:r>
      <w:r w:rsidR="000F77D0"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REG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AGG</w:t>
      </w:r>
      <w:r w:rsidRPr="000F77D0">
        <w:rPr>
          <w:color w:val="B4B4B4"/>
          <w:sz w:val="20"/>
          <w:lang w:val="ru-RU"/>
        </w:rPr>
        <w:t>)</w:t>
      </w:r>
    </w:p>
    <w:p w:rsidR="00EC2915" w:rsidRDefault="00D234A2" w:rsidP="00576CFA">
      <w:pPr>
        <w:pStyle w:val="MText"/>
      </w:pPr>
      <w:r w:rsidRPr="00D234A2">
        <w:t>Глобальные и региональные оценки составляются путем отдельного суммирования по странам четырех индивидуальных компонентов индекса: государственны</w:t>
      </w:r>
      <w:r>
        <w:t>е расходы на сельское хозяйство; общие государственные расходы;</w:t>
      </w:r>
      <w:r w:rsidRPr="00D234A2">
        <w:t xml:space="preserve"> добавленная стоимость сельского хозяйства и ВВП. Они добавляются только для тех стран в регионе (или в мире), для которых доступны все компоненты, а затем индекс рассчитывается для этого более крупного региона.</w:t>
      </w:r>
    </w:p>
    <w:p w:rsidR="00D234A2" w:rsidRPr="000F77D0" w:rsidRDefault="00D234A2" w:rsidP="00576CFA">
      <w:pPr>
        <w:pStyle w:val="MText"/>
      </w:pPr>
    </w:p>
    <w:p w:rsidR="00E1050F" w:rsidRPr="000F77D0" w:rsidRDefault="00576CFA" w:rsidP="00F719A8">
      <w:pPr>
        <w:pStyle w:val="MHeader2"/>
        <w:rPr>
          <w:lang w:val="ru-RU"/>
        </w:rPr>
      </w:pPr>
      <w:r w:rsidRPr="000F77D0">
        <w:rPr>
          <w:lang w:val="ru-RU"/>
        </w:rPr>
        <w:t>4.</w:t>
      </w:r>
      <w:r w:rsidRPr="00A96255">
        <w:t>h</w:t>
      </w:r>
      <w:r w:rsidRPr="000F77D0">
        <w:rPr>
          <w:lang w:val="ru-RU"/>
        </w:rPr>
        <w:t xml:space="preserve">. </w:t>
      </w:r>
      <w:r w:rsidR="000F77D0" w:rsidRPr="000F77D0">
        <w:rPr>
          <w:lang w:val="ru-RU"/>
        </w:rPr>
        <w:t>Доступные странам методы и рекомендации для сбора данных на национальном уровне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DOC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METHOD</w:t>
      </w:r>
      <w:r w:rsidRPr="000F77D0">
        <w:rPr>
          <w:color w:val="B4B4B4"/>
          <w:sz w:val="20"/>
          <w:lang w:val="ru-RU"/>
        </w:rPr>
        <w:t>)</w:t>
      </w:r>
    </w:p>
    <w:p w:rsidR="00EC2915" w:rsidRDefault="00D234A2" w:rsidP="00576CFA">
      <w:pPr>
        <w:pStyle w:val="MText"/>
      </w:pPr>
      <w:r w:rsidRPr="00D234A2">
        <w:t>Странам предлагается ссылаться на Руководство по статистике государствен</w:t>
      </w:r>
      <w:r w:rsidR="004B35FC">
        <w:t>ных финансов МВФ (РСГФ (</w:t>
      </w:r>
      <w:r w:rsidR="004B35FC">
        <w:rPr>
          <w:lang w:val="en-US"/>
        </w:rPr>
        <w:t>GFSM</w:t>
      </w:r>
      <w:r w:rsidR="004B35FC" w:rsidRPr="004B35FC">
        <w:t xml:space="preserve">) </w:t>
      </w:r>
      <w:r w:rsidR="004B35FC">
        <w:t>2014 г.</w:t>
      </w:r>
      <w:r w:rsidRPr="00D234A2">
        <w:t xml:space="preserve">), в частности на Главу 6 — </w:t>
      </w:r>
      <w:r w:rsidR="004B35FC">
        <w:t>Дополнение. Классификация функций органов государственного управления</w:t>
      </w:r>
      <w:r w:rsidRPr="00D234A2">
        <w:t xml:space="preserve"> и Главу 2 — Институциональные единицы и секторы, доступные по адресу </w:t>
      </w:r>
      <w:hyperlink r:id="rId14" w:history="1">
        <w:r w:rsidR="004B35FC" w:rsidRPr="00332204">
          <w:rPr>
            <w:rStyle w:val="ab"/>
          </w:rPr>
          <w:t>https://www.imf.org/external/Pubs/FT/GFS/Manual/2014/GFSM_2014_rus.pdf</w:t>
        </w:r>
      </w:hyperlink>
      <w:r w:rsidRPr="00D234A2">
        <w:t>.</w:t>
      </w:r>
    </w:p>
    <w:p w:rsidR="00D234A2" w:rsidRPr="000F77D0" w:rsidRDefault="00D234A2" w:rsidP="00576CFA">
      <w:pPr>
        <w:pStyle w:val="MText"/>
      </w:pPr>
    </w:p>
    <w:p w:rsidR="00E1050F" w:rsidRPr="000F77D0" w:rsidRDefault="00576CFA" w:rsidP="00F719A8">
      <w:pPr>
        <w:pStyle w:val="MHeader2"/>
        <w:rPr>
          <w:lang w:val="ru-RU"/>
        </w:rPr>
      </w:pPr>
      <w:r w:rsidRPr="000F77D0">
        <w:rPr>
          <w:lang w:val="ru-RU"/>
        </w:rPr>
        <w:t>4.</w:t>
      </w:r>
      <w:r w:rsidRPr="00A96255">
        <w:t>i</w:t>
      </w:r>
      <w:r w:rsidRPr="000F77D0">
        <w:rPr>
          <w:lang w:val="ru-RU"/>
        </w:rPr>
        <w:t xml:space="preserve">. </w:t>
      </w:r>
      <w:r w:rsidR="000F77D0">
        <w:rPr>
          <w:lang w:val="ru-RU"/>
        </w:rPr>
        <w:t>Управление качеством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QUALITY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MGMNT</w:t>
      </w:r>
      <w:r w:rsidRPr="000F77D0">
        <w:rPr>
          <w:color w:val="B4B4B4"/>
          <w:sz w:val="20"/>
          <w:lang w:val="ru-RU"/>
        </w:rPr>
        <w:t>)</w:t>
      </w:r>
    </w:p>
    <w:p w:rsidR="00EC2915" w:rsidRPr="004B35FC" w:rsidRDefault="004B35FC" w:rsidP="00576CFA">
      <w:pPr>
        <w:pStyle w:val="MText"/>
      </w:pPr>
      <w:r w:rsidRPr="004B35FC">
        <w:t xml:space="preserve">Для обеспечения согласованности периодически проводятся сравнения ключевых показателей, указанных в вопросниках GEA ФАО и </w:t>
      </w:r>
      <w:r>
        <w:t>СГФ</w:t>
      </w:r>
      <w:r w:rsidRPr="004B35FC">
        <w:t xml:space="preserve"> МВФ.</w:t>
      </w:r>
    </w:p>
    <w:p w:rsidR="004B35FC" w:rsidRPr="004B35FC" w:rsidRDefault="004B35FC" w:rsidP="00576CFA">
      <w:pPr>
        <w:pStyle w:val="MText"/>
      </w:pPr>
    </w:p>
    <w:p w:rsidR="00E1050F" w:rsidRPr="000F77D0" w:rsidRDefault="00E1050F" w:rsidP="00F719A8">
      <w:pPr>
        <w:pStyle w:val="MHeader2"/>
        <w:rPr>
          <w:lang w:val="ru-RU"/>
        </w:rPr>
      </w:pPr>
      <w:r w:rsidRPr="000F77D0">
        <w:rPr>
          <w:lang w:val="ru-RU"/>
        </w:rPr>
        <w:t>4.</w:t>
      </w:r>
      <w:r w:rsidRPr="00A96255">
        <w:t>j</w:t>
      </w:r>
      <w:r w:rsidRPr="000F77D0">
        <w:rPr>
          <w:lang w:val="ru-RU"/>
        </w:rPr>
        <w:t xml:space="preserve"> </w:t>
      </w:r>
      <w:r w:rsidR="000F77D0">
        <w:rPr>
          <w:lang w:val="ru-RU"/>
        </w:rPr>
        <w:t>Обеспечение качества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QUALITY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ASSURE</w:t>
      </w:r>
      <w:r w:rsidRPr="000F77D0">
        <w:rPr>
          <w:color w:val="B4B4B4"/>
          <w:sz w:val="20"/>
          <w:lang w:val="ru-RU"/>
        </w:rPr>
        <w:t>)</w:t>
      </w:r>
    </w:p>
    <w:p w:rsidR="004B35FC" w:rsidRPr="004B35FC" w:rsidRDefault="004B35FC" w:rsidP="004B35FC">
      <w:pPr>
        <w:pStyle w:val="MText"/>
      </w:pPr>
      <w:r w:rsidRPr="004B35FC">
        <w:t>Система обеспечения качества статистических данных ФАО доступна по адресу:</w:t>
      </w:r>
    </w:p>
    <w:p w:rsidR="004B35FC" w:rsidRPr="004B35FC" w:rsidRDefault="00D97F80" w:rsidP="004B35FC">
      <w:pPr>
        <w:pStyle w:val="MText"/>
      </w:pPr>
      <w:hyperlink r:id="rId15" w:history="1">
        <w:r w:rsidR="004B35FC" w:rsidRPr="00E32D23">
          <w:rPr>
            <w:rStyle w:val="ab"/>
          </w:rPr>
          <w:t>http</w:t>
        </w:r>
        <w:r w:rsidR="004B35FC" w:rsidRPr="004B35FC">
          <w:rPr>
            <w:rStyle w:val="ab"/>
          </w:rPr>
          <w:t>://</w:t>
        </w:r>
        <w:r w:rsidR="004B35FC" w:rsidRPr="00E32D23">
          <w:rPr>
            <w:rStyle w:val="ab"/>
          </w:rPr>
          <w:t>www</w:t>
        </w:r>
        <w:r w:rsidR="004B35FC" w:rsidRPr="004B35FC">
          <w:rPr>
            <w:rStyle w:val="ab"/>
          </w:rPr>
          <w:t>.</w:t>
        </w:r>
        <w:r w:rsidR="004B35FC" w:rsidRPr="00E32D23">
          <w:rPr>
            <w:rStyle w:val="ab"/>
          </w:rPr>
          <w:t>fao</w:t>
        </w:r>
        <w:r w:rsidR="004B35FC" w:rsidRPr="004B35FC">
          <w:rPr>
            <w:rStyle w:val="ab"/>
          </w:rPr>
          <w:t>.</w:t>
        </w:r>
        <w:r w:rsidR="004B35FC" w:rsidRPr="00E32D23">
          <w:rPr>
            <w:rStyle w:val="ab"/>
          </w:rPr>
          <w:t>org</w:t>
        </w:r>
        <w:r w:rsidR="004B35FC" w:rsidRPr="004B35FC">
          <w:rPr>
            <w:rStyle w:val="ab"/>
          </w:rPr>
          <w:t>/</w:t>
        </w:r>
        <w:r w:rsidR="004B35FC" w:rsidRPr="00E32D23">
          <w:rPr>
            <w:rStyle w:val="ab"/>
          </w:rPr>
          <w:t>docrep</w:t>
        </w:r>
        <w:r w:rsidR="004B35FC" w:rsidRPr="004B35FC">
          <w:rPr>
            <w:rStyle w:val="ab"/>
          </w:rPr>
          <w:t>/019/</w:t>
        </w:r>
        <w:r w:rsidR="004B35FC" w:rsidRPr="00E32D23">
          <w:rPr>
            <w:rStyle w:val="ab"/>
          </w:rPr>
          <w:t>i</w:t>
        </w:r>
        <w:r w:rsidR="004B35FC" w:rsidRPr="004B35FC">
          <w:rPr>
            <w:rStyle w:val="ab"/>
          </w:rPr>
          <w:t>3664</w:t>
        </w:r>
        <w:r w:rsidR="004B35FC" w:rsidRPr="00E32D23">
          <w:rPr>
            <w:rStyle w:val="ab"/>
          </w:rPr>
          <w:t>e</w:t>
        </w:r>
        <w:r w:rsidR="004B35FC" w:rsidRPr="004B35FC">
          <w:rPr>
            <w:rStyle w:val="ab"/>
          </w:rPr>
          <w:t>/</w:t>
        </w:r>
        <w:r w:rsidR="004B35FC" w:rsidRPr="00E32D23">
          <w:rPr>
            <w:rStyle w:val="ab"/>
          </w:rPr>
          <w:t>i</w:t>
        </w:r>
        <w:r w:rsidR="004B35FC" w:rsidRPr="004B35FC">
          <w:rPr>
            <w:rStyle w:val="ab"/>
          </w:rPr>
          <w:t>3664</w:t>
        </w:r>
        <w:r w:rsidR="004B35FC" w:rsidRPr="00E32D23">
          <w:rPr>
            <w:rStyle w:val="ab"/>
          </w:rPr>
          <w:t>e</w:t>
        </w:r>
        <w:r w:rsidR="004B35FC" w:rsidRPr="004B35FC">
          <w:rPr>
            <w:rStyle w:val="ab"/>
          </w:rPr>
          <w:t>.</w:t>
        </w:r>
        <w:r w:rsidR="004B35FC" w:rsidRPr="00E32D23">
          <w:rPr>
            <w:rStyle w:val="ab"/>
          </w:rPr>
          <w:t>pdf</w:t>
        </w:r>
      </w:hyperlink>
      <w:r w:rsidR="004B35FC" w:rsidRPr="004B35FC">
        <w:t xml:space="preserve"> (на английском языке)</w:t>
      </w:r>
      <w:r w:rsidR="004B35FC">
        <w:t>.</w:t>
      </w:r>
    </w:p>
    <w:p w:rsidR="00EC2915" w:rsidRPr="000F77D0" w:rsidRDefault="00EC2915" w:rsidP="00576CFA">
      <w:pPr>
        <w:pStyle w:val="MText"/>
      </w:pPr>
    </w:p>
    <w:p w:rsidR="00E1050F" w:rsidRPr="000F77D0" w:rsidRDefault="00576CFA" w:rsidP="00F719A8">
      <w:pPr>
        <w:pStyle w:val="MHeader2"/>
        <w:rPr>
          <w:lang w:val="ru-RU"/>
        </w:rPr>
      </w:pPr>
      <w:r w:rsidRPr="000F77D0">
        <w:rPr>
          <w:lang w:val="ru-RU"/>
        </w:rPr>
        <w:t>4.</w:t>
      </w:r>
      <w:r w:rsidRPr="00A96255">
        <w:t>k</w:t>
      </w:r>
      <w:r w:rsidRPr="000F77D0">
        <w:rPr>
          <w:lang w:val="ru-RU"/>
        </w:rPr>
        <w:t xml:space="preserve"> </w:t>
      </w:r>
      <w:r w:rsidR="000F77D0">
        <w:rPr>
          <w:lang w:val="ru-RU"/>
        </w:rPr>
        <w:t>Оценка качества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QUALITY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ASSMNT</w:t>
      </w:r>
      <w:r w:rsidRPr="000F77D0">
        <w:rPr>
          <w:color w:val="B4B4B4"/>
          <w:sz w:val="20"/>
          <w:lang w:val="ru-RU"/>
        </w:rPr>
        <w:t>)</w:t>
      </w:r>
    </w:p>
    <w:p w:rsidR="00E65C0F" w:rsidRPr="00E65C0F" w:rsidRDefault="00E65C0F" w:rsidP="00EF21C7">
      <w:pPr>
        <w:pStyle w:val="MText"/>
      </w:pPr>
      <w:r w:rsidRPr="00E65C0F">
        <w:t xml:space="preserve">Качество данных может значительно различаться в </w:t>
      </w:r>
      <w:r>
        <w:t>зависимости от страны</w:t>
      </w:r>
      <w:r w:rsidRPr="00E65C0F">
        <w:t xml:space="preserve">, поскольку не все из них применяют классификацию COFOG. В таких случаях ФАО стремится сверить сообщаемые агрегаты с </w:t>
      </w:r>
      <w:r>
        <w:t>налогово-бюджетными</w:t>
      </w:r>
      <w:r w:rsidRPr="00E65C0F">
        <w:t xml:space="preserve"> данными, опубликованными на веб-сайтах национальных органов власти. С 2012 года Статистический отдел ФАО та</w:t>
      </w:r>
      <w:r w:rsidR="00F2455F">
        <w:t>кже ежегодно заполняет подробный</w:t>
      </w:r>
      <w:r w:rsidRPr="00E65C0F">
        <w:t xml:space="preserve"> </w:t>
      </w:r>
      <w:r w:rsidR="00F2455F">
        <w:t>вопросник о государственных расходах на сельское хозяйство, который</w:t>
      </w:r>
      <w:r w:rsidRPr="00E65C0F">
        <w:t xml:space="preserve"> предварительно заполняется </w:t>
      </w:r>
      <w:r w:rsidR="00F2455F">
        <w:t>ключевыми основными</w:t>
      </w:r>
      <w:r w:rsidRPr="00E65C0F">
        <w:t xml:space="preserve"> агрегатами, сообщаемыми в МВФ или </w:t>
      </w:r>
      <w:r w:rsidR="00F2455F">
        <w:t xml:space="preserve">определяемыми </w:t>
      </w:r>
      <w:r w:rsidRPr="00E65C0F">
        <w:t>ФАО. В тех случаях, когда сообщаемые данные существенно расходятся с предварительно заполненными агрегатами, национальным партнерам направляются запросы для обеспечения методологического качества, объективности и</w:t>
      </w:r>
      <w:r w:rsidR="00EF21C7">
        <w:t xml:space="preserve"> надежности данных, представляем</w:t>
      </w:r>
      <w:r w:rsidRPr="00E65C0F">
        <w:t>ых странами.</w:t>
      </w:r>
    </w:p>
    <w:p w:rsidR="00576CFA" w:rsidRPr="000F77D0" w:rsidRDefault="00576CFA" w:rsidP="00576CFA">
      <w:pPr>
        <w:pStyle w:val="MText"/>
      </w:pPr>
    </w:p>
    <w:p w:rsidR="00F719A8" w:rsidRPr="000F77D0" w:rsidRDefault="00576CFA" w:rsidP="0071343D">
      <w:pPr>
        <w:pStyle w:val="MHeader"/>
        <w:spacing w:after="100"/>
        <w:rPr>
          <w:lang w:val="ru-RU"/>
        </w:rPr>
      </w:pPr>
      <w:r w:rsidRPr="000F77D0">
        <w:rPr>
          <w:lang w:val="ru-RU"/>
        </w:rPr>
        <w:t xml:space="preserve">5. </w:t>
      </w:r>
      <w:r w:rsidR="000F77D0">
        <w:rPr>
          <w:lang w:val="ru-RU"/>
        </w:rPr>
        <w:t>Доступность и дезагрегация данных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COVERAGE</w:t>
      </w:r>
      <w:r w:rsidRPr="000F77D0">
        <w:rPr>
          <w:color w:val="B4B4B4"/>
          <w:sz w:val="20"/>
          <w:lang w:val="ru-RU"/>
        </w:rPr>
        <w:t>)</w:t>
      </w:r>
    </w:p>
    <w:p w:rsidR="00054699" w:rsidRPr="00054699" w:rsidRDefault="00054699" w:rsidP="00054699">
      <w:pPr>
        <w:pStyle w:val="MSubHeader"/>
        <w:rPr>
          <w:lang w:val="ru-RU"/>
        </w:rPr>
      </w:pPr>
      <w:r w:rsidRPr="00054699">
        <w:rPr>
          <w:lang w:val="ru-RU"/>
        </w:rPr>
        <w:t>Доступность данных:</w:t>
      </w:r>
    </w:p>
    <w:p w:rsidR="00054699" w:rsidRPr="00054699" w:rsidRDefault="00054699" w:rsidP="00054699">
      <w:pPr>
        <w:pStyle w:val="MText"/>
      </w:pPr>
      <w:r w:rsidRPr="00054699">
        <w:t xml:space="preserve">Данные </w:t>
      </w:r>
      <w:r w:rsidR="00E65C0F">
        <w:t>сообщаются</w:t>
      </w:r>
      <w:r w:rsidRPr="00054699">
        <w:t xml:space="preserve"> </w:t>
      </w:r>
      <w:r>
        <w:t>по самому</w:t>
      </w:r>
      <w:r w:rsidRPr="00054699">
        <w:t xml:space="preserve"> </w:t>
      </w:r>
      <w:r>
        <w:t>высокому</w:t>
      </w:r>
      <w:r w:rsidRPr="00054699">
        <w:t xml:space="preserve"> </w:t>
      </w:r>
      <w:r>
        <w:t>доступному уровню</w:t>
      </w:r>
      <w:r w:rsidRPr="00054699">
        <w:t xml:space="preserve"> </w:t>
      </w:r>
      <w:r>
        <w:t>государственного управления (консолидированный</w:t>
      </w:r>
      <w:r w:rsidRPr="00054699">
        <w:t xml:space="preserve"> </w:t>
      </w:r>
      <w:r>
        <w:t>сектор государственного управления, консолидированное</w:t>
      </w:r>
      <w:r w:rsidRPr="00054699">
        <w:t xml:space="preserve"> центральное правительство или бюджетное центральное правительство) и доступны примерно для 100 стран на регулярной основе. В некоторых случаях (например, Индия и Пакистан) данные могут отражать сектор общего государственного управления в соответствии с национальной нормой. То есть бюджетное центральное правительство в сочетании с правительством</w:t>
      </w:r>
      <w:r w:rsidR="00E65C0F">
        <w:t xml:space="preserve"> штата</w:t>
      </w:r>
      <w:r w:rsidRPr="00054699">
        <w:t>.</w:t>
      </w:r>
    </w:p>
    <w:p w:rsidR="00054699" w:rsidRPr="00054699" w:rsidRDefault="00054699" w:rsidP="00054699">
      <w:pPr>
        <w:pStyle w:val="MText"/>
      </w:pPr>
    </w:p>
    <w:p w:rsidR="00054699" w:rsidRPr="00054699" w:rsidRDefault="00054699" w:rsidP="00054699">
      <w:pPr>
        <w:pStyle w:val="MSubHeader"/>
        <w:rPr>
          <w:lang w:val="ru-RU"/>
        </w:rPr>
      </w:pPr>
      <w:r w:rsidRPr="00054699">
        <w:rPr>
          <w:lang w:val="ru-RU"/>
        </w:rPr>
        <w:t>Временные ряды:</w:t>
      </w:r>
    </w:p>
    <w:p w:rsidR="00054699" w:rsidRPr="00054699" w:rsidRDefault="00054699" w:rsidP="00054699">
      <w:pPr>
        <w:pStyle w:val="MText"/>
      </w:pPr>
      <w:r w:rsidRPr="00054699">
        <w:t>С 2001 года и далее</w:t>
      </w:r>
    </w:p>
    <w:p w:rsidR="00054699" w:rsidRPr="00054699" w:rsidRDefault="00054699" w:rsidP="00054699">
      <w:pPr>
        <w:pStyle w:val="MText"/>
      </w:pPr>
    </w:p>
    <w:p w:rsidR="00054699" w:rsidRPr="00054699" w:rsidRDefault="00054699" w:rsidP="00054699">
      <w:pPr>
        <w:pStyle w:val="MSubHeader"/>
        <w:rPr>
          <w:lang w:val="ru-RU"/>
        </w:rPr>
      </w:pPr>
      <w:r w:rsidRPr="00054699">
        <w:rPr>
          <w:lang w:val="ru-RU"/>
        </w:rPr>
        <w:t>Дезагрегация:</w:t>
      </w:r>
    </w:p>
    <w:p w:rsidR="00054699" w:rsidRDefault="00054699" w:rsidP="00054699">
      <w:pPr>
        <w:pStyle w:val="MText"/>
      </w:pPr>
      <w:r w:rsidRPr="00054699">
        <w:t>Поскольку этот показатель основан на данных национальных счетов и общих государственных расходах, он не допускает дезагрегации по демографическим характеристикам или географическому положению. Однако</w:t>
      </w:r>
      <w:proofErr w:type="gramStart"/>
      <w:r w:rsidRPr="00054699">
        <w:t>,</w:t>
      </w:r>
      <w:proofErr w:type="gramEnd"/>
      <w:r w:rsidRPr="00054699">
        <w:t xml:space="preserve"> когда страны предоставляют данные о расходах для консолидированного общего правительства и его подсекторов, дезагрегация по уровню государственного управления возможна.</w:t>
      </w:r>
    </w:p>
    <w:p w:rsidR="0071343D" w:rsidRPr="000F77D0" w:rsidRDefault="0071343D" w:rsidP="00D53F1F">
      <w:pPr>
        <w:pStyle w:val="MText"/>
      </w:pPr>
    </w:p>
    <w:p w:rsidR="00382CF3" w:rsidRPr="000F77D0" w:rsidRDefault="00B31E2C" w:rsidP="000412A0">
      <w:pPr>
        <w:pStyle w:val="MHeader"/>
        <w:spacing w:after="100"/>
        <w:rPr>
          <w:lang w:val="ru-RU"/>
        </w:rPr>
      </w:pPr>
      <w:r w:rsidRPr="000F77D0">
        <w:rPr>
          <w:lang w:val="ru-RU"/>
        </w:rPr>
        <w:t xml:space="preserve">6. </w:t>
      </w:r>
      <w:r w:rsidR="000F77D0">
        <w:rPr>
          <w:lang w:val="ru-RU"/>
        </w:rPr>
        <w:t>Сопоставимость</w:t>
      </w:r>
      <w:r w:rsidRPr="000F77D0">
        <w:rPr>
          <w:lang w:val="ru-RU"/>
        </w:rPr>
        <w:t xml:space="preserve"> / </w:t>
      </w:r>
      <w:r w:rsidR="000F77D0">
        <w:rPr>
          <w:lang w:val="ru-RU"/>
        </w:rPr>
        <w:t>отклонение</w:t>
      </w:r>
      <w:r w:rsidRPr="000F77D0">
        <w:rPr>
          <w:lang w:val="ru-RU"/>
        </w:rPr>
        <w:t xml:space="preserve"> </w:t>
      </w:r>
      <w:r w:rsidR="000F77D0">
        <w:rPr>
          <w:lang w:val="ru-RU"/>
        </w:rPr>
        <w:t>от</w:t>
      </w:r>
      <w:r w:rsidRPr="000F77D0">
        <w:rPr>
          <w:lang w:val="ru-RU"/>
        </w:rPr>
        <w:t xml:space="preserve"> </w:t>
      </w:r>
      <w:r w:rsidR="000F77D0">
        <w:rPr>
          <w:lang w:val="ru-RU"/>
        </w:rPr>
        <w:t>международных</w:t>
      </w:r>
      <w:r w:rsidRPr="000F77D0">
        <w:rPr>
          <w:lang w:val="ru-RU"/>
        </w:rPr>
        <w:t xml:space="preserve"> </w:t>
      </w:r>
      <w:r w:rsidR="000F77D0">
        <w:rPr>
          <w:lang w:val="ru-RU"/>
        </w:rPr>
        <w:t>стандартов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COMPARABILITY</w:t>
      </w:r>
      <w:r w:rsidRPr="000F77D0">
        <w:rPr>
          <w:color w:val="B4B4B4"/>
          <w:sz w:val="20"/>
          <w:lang w:val="ru-RU"/>
        </w:rPr>
        <w:t>)</w:t>
      </w:r>
    </w:p>
    <w:p w:rsidR="00054699" w:rsidRPr="009166AC" w:rsidRDefault="00054699" w:rsidP="00EF21C7">
      <w:pPr>
        <w:pStyle w:val="MSubHeader"/>
        <w:rPr>
          <w:lang w:val="ru-RU"/>
        </w:rPr>
      </w:pPr>
      <w:r w:rsidRPr="009166AC">
        <w:rPr>
          <w:lang w:val="ru-RU"/>
        </w:rPr>
        <w:t>Источники расхождений:</w:t>
      </w:r>
    </w:p>
    <w:p w:rsidR="00054699" w:rsidRPr="00EF21C7" w:rsidRDefault="00054699" w:rsidP="00EF21C7">
      <w:pPr>
        <w:pStyle w:val="MText"/>
      </w:pPr>
      <w:proofErr w:type="gramStart"/>
      <w:r w:rsidRPr="00EF21C7">
        <w:t>Когда выявляются ошибки компиляции внутри страны и ФАО вносит изменения в данные о государственных ра</w:t>
      </w:r>
      <w:r w:rsidR="00EF21C7" w:rsidRPr="00EF21C7">
        <w:t>сходах, представленные странами;</w:t>
      </w:r>
      <w:r w:rsidRPr="00EF21C7">
        <w:t xml:space="preserve"> или когда обнаруживаются ошибки в сравнении с данными МВФ </w:t>
      </w:r>
      <w:r w:rsidR="00EF21C7" w:rsidRPr="00EF21C7">
        <w:t>СГФ (</w:t>
      </w:r>
      <w:r w:rsidRPr="00EF21C7">
        <w:t>GFS</w:t>
      </w:r>
      <w:r w:rsidR="00EF21C7" w:rsidRPr="00EF21C7">
        <w:t>)</w:t>
      </w:r>
      <w:r w:rsidRPr="00EF21C7">
        <w:t xml:space="preserve"> COFOG или </w:t>
      </w:r>
      <w:r w:rsidR="00EF21C7" w:rsidRPr="00EF21C7">
        <w:t xml:space="preserve">налогово-бюджетными </w:t>
      </w:r>
      <w:r w:rsidRPr="00EF21C7">
        <w:t xml:space="preserve">данными, опубликованными на веб-сайтах национальных органов власти после запроса </w:t>
      </w:r>
      <w:r w:rsidR="00EF21C7" w:rsidRPr="00EF21C7">
        <w:t>данных у национальных респондентов –</w:t>
      </w:r>
      <w:r w:rsidRPr="00EF21C7">
        <w:t xml:space="preserve"> </w:t>
      </w:r>
      <w:r w:rsidR="00EF21C7" w:rsidRPr="00EF21C7">
        <w:t xml:space="preserve">то </w:t>
      </w:r>
      <w:r w:rsidRPr="00EF21C7">
        <w:t xml:space="preserve">могут быть некоторые различия между данными, представленными ФАО, и </w:t>
      </w:r>
      <w:proofErr w:type="spellStart"/>
      <w:r w:rsidRPr="00EF21C7">
        <w:t>непересмотренными</w:t>
      </w:r>
      <w:proofErr w:type="spellEnd"/>
      <w:r w:rsidRPr="00EF21C7">
        <w:t xml:space="preserve"> национальными данными.</w:t>
      </w:r>
      <w:proofErr w:type="gramEnd"/>
    </w:p>
    <w:p w:rsidR="00054699" w:rsidRDefault="00054699" w:rsidP="00054699">
      <w:pPr>
        <w:pStyle w:val="MText"/>
      </w:pPr>
    </w:p>
    <w:p w:rsidR="00382CF3" w:rsidRPr="000F77D0" w:rsidRDefault="00576CFA" w:rsidP="000412A0">
      <w:pPr>
        <w:pStyle w:val="MHeader"/>
        <w:spacing w:after="100"/>
        <w:rPr>
          <w:lang w:val="ru-RU"/>
        </w:rPr>
      </w:pPr>
      <w:r w:rsidRPr="000F77D0">
        <w:rPr>
          <w:lang w:val="ru-RU"/>
        </w:rPr>
        <w:t xml:space="preserve">7. </w:t>
      </w:r>
      <w:r w:rsidR="000F77D0">
        <w:rPr>
          <w:lang w:val="ru-RU"/>
        </w:rPr>
        <w:t>Ссылки и документы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OTHER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DOC</w:t>
      </w:r>
      <w:r w:rsidRPr="000F77D0">
        <w:rPr>
          <w:color w:val="B4B4B4"/>
          <w:sz w:val="20"/>
          <w:lang w:val="ru-RU"/>
        </w:rPr>
        <w:t>)</w:t>
      </w:r>
    </w:p>
    <w:p w:rsidR="00D649D2" w:rsidRPr="00D649D2" w:rsidRDefault="00D649D2" w:rsidP="00D649D2">
      <w:pPr>
        <w:pStyle w:val="MSubHeader"/>
        <w:rPr>
          <w:lang w:val="ru-RU"/>
        </w:rPr>
      </w:pPr>
      <w:r w:rsidRPr="000A7108">
        <w:t>URL</w:t>
      </w:r>
      <w:r w:rsidRPr="00D649D2">
        <w:rPr>
          <w:lang w:val="ru-RU"/>
        </w:rPr>
        <w:t xml:space="preserve">: </w:t>
      </w:r>
    </w:p>
    <w:p w:rsidR="00D649D2" w:rsidRPr="00D649D2" w:rsidRDefault="00D97F80" w:rsidP="00D649D2">
      <w:pPr>
        <w:rPr>
          <w:lang w:val="ru-RU" w:eastAsia="en-GB"/>
        </w:rPr>
      </w:pPr>
      <w:hyperlink r:id="rId16" w:history="1">
        <w:r w:rsidR="00D649D2" w:rsidRPr="00A0652B">
          <w:rPr>
            <w:rStyle w:val="ab"/>
            <w:lang w:val="en-US" w:eastAsia="en-GB"/>
          </w:rPr>
          <w:t>www</w:t>
        </w:r>
        <w:r w:rsidR="00D649D2" w:rsidRPr="00D649D2">
          <w:rPr>
            <w:rStyle w:val="ab"/>
            <w:lang w:val="ru-RU" w:eastAsia="en-GB"/>
          </w:rPr>
          <w:t>.</w:t>
        </w:r>
        <w:proofErr w:type="spellStart"/>
        <w:r w:rsidR="00D649D2" w:rsidRPr="00A0652B">
          <w:rPr>
            <w:rStyle w:val="ab"/>
            <w:lang w:val="en-US" w:eastAsia="en-GB"/>
          </w:rPr>
          <w:t>fao</w:t>
        </w:r>
        <w:proofErr w:type="spellEnd"/>
        <w:r w:rsidR="00D649D2" w:rsidRPr="00D649D2">
          <w:rPr>
            <w:rStyle w:val="ab"/>
            <w:lang w:val="ru-RU" w:eastAsia="en-GB"/>
          </w:rPr>
          <w:t>.</w:t>
        </w:r>
        <w:r w:rsidR="00D649D2" w:rsidRPr="00A0652B">
          <w:rPr>
            <w:rStyle w:val="ab"/>
            <w:lang w:val="en-US" w:eastAsia="en-GB"/>
          </w:rPr>
          <w:t>org</w:t>
        </w:r>
      </w:hyperlink>
    </w:p>
    <w:p w:rsidR="00D649D2" w:rsidRPr="00D649D2" w:rsidRDefault="00D649D2" w:rsidP="00D649D2">
      <w:pPr>
        <w:pStyle w:val="MSubHeader"/>
        <w:rPr>
          <w:lang w:val="ru-RU"/>
        </w:rPr>
      </w:pPr>
      <w:r w:rsidRPr="00D649D2">
        <w:rPr>
          <w:lang w:val="ru-RU"/>
        </w:rPr>
        <w:t xml:space="preserve">Использованные документы: </w:t>
      </w:r>
    </w:p>
    <w:p w:rsidR="00D649D2" w:rsidRPr="00D649D2" w:rsidRDefault="00D649D2" w:rsidP="00D649D2">
      <w:pPr>
        <w:pStyle w:val="MText"/>
        <w:numPr>
          <w:ilvl w:val="0"/>
          <w:numId w:val="11"/>
        </w:numPr>
      </w:pPr>
      <w:r w:rsidRPr="00D649D2">
        <w:t xml:space="preserve">Домен </w:t>
      </w:r>
      <w:r w:rsidRPr="000A7108">
        <w:rPr>
          <w:lang w:val="en-US"/>
        </w:rPr>
        <w:t>FAOSTAT</w:t>
      </w:r>
      <w:r w:rsidRPr="00D649D2">
        <w:t xml:space="preserve"> государственных расходов на сельское хозяйство </w:t>
      </w:r>
      <w:r w:rsidRPr="000A7108">
        <w:rPr>
          <w:lang w:val="en-US"/>
        </w:rPr>
        <w:t>http</w:t>
      </w:r>
      <w:r w:rsidRPr="00D649D2">
        <w:t>://</w:t>
      </w:r>
      <w:r w:rsidRPr="000A7108">
        <w:rPr>
          <w:lang w:val="en-US"/>
        </w:rPr>
        <w:t>www</w:t>
      </w:r>
      <w:r w:rsidRPr="00D649D2">
        <w:t>.</w:t>
      </w:r>
      <w:proofErr w:type="spellStart"/>
      <w:r w:rsidRPr="000A7108">
        <w:rPr>
          <w:lang w:val="en-US"/>
        </w:rPr>
        <w:t>fao</w:t>
      </w:r>
      <w:proofErr w:type="spellEnd"/>
      <w:r w:rsidRPr="00D649D2">
        <w:t>.</w:t>
      </w:r>
      <w:r w:rsidRPr="000A7108">
        <w:rPr>
          <w:lang w:val="en-US"/>
        </w:rPr>
        <w:t>org</w:t>
      </w:r>
      <w:r w:rsidRPr="00D649D2">
        <w:t>/</w:t>
      </w:r>
      <w:proofErr w:type="spellStart"/>
      <w:r w:rsidRPr="000A7108">
        <w:rPr>
          <w:lang w:val="en-US"/>
        </w:rPr>
        <w:t>faostat</w:t>
      </w:r>
      <w:proofErr w:type="spellEnd"/>
      <w:r w:rsidRPr="00D649D2">
        <w:t>/</w:t>
      </w:r>
      <w:r w:rsidRPr="000A7108">
        <w:rPr>
          <w:lang w:val="en-US"/>
        </w:rPr>
        <w:t>en</w:t>
      </w:r>
      <w:r w:rsidRPr="00D649D2">
        <w:t>/#</w:t>
      </w:r>
      <w:r w:rsidRPr="000A7108">
        <w:rPr>
          <w:lang w:val="en-US"/>
        </w:rPr>
        <w:t>data</w:t>
      </w:r>
      <w:r w:rsidRPr="00D649D2">
        <w:t>/</w:t>
      </w:r>
      <w:r w:rsidRPr="000A7108">
        <w:rPr>
          <w:lang w:val="en-US"/>
        </w:rPr>
        <w:t>IG</w:t>
      </w:r>
      <w:r w:rsidRPr="00D649D2">
        <w:t xml:space="preserve">; </w:t>
      </w:r>
    </w:p>
    <w:p w:rsidR="00D649D2" w:rsidRPr="00D649D2" w:rsidRDefault="00D649D2" w:rsidP="00D649D2">
      <w:pPr>
        <w:pStyle w:val="MText"/>
        <w:numPr>
          <w:ilvl w:val="0"/>
          <w:numId w:val="11"/>
        </w:numPr>
      </w:pPr>
      <w:r w:rsidRPr="00D649D2">
        <w:t xml:space="preserve">Руководство МВФ по статистике государственных финансов, 2014 г. </w:t>
      </w:r>
    </w:p>
    <w:p w:rsidR="00D649D2" w:rsidRDefault="00D649D2" w:rsidP="00D649D2">
      <w:pPr>
        <w:pStyle w:val="MText"/>
        <w:ind w:left="720"/>
      </w:pPr>
      <w:r>
        <w:t xml:space="preserve">Версия на русском языке: </w:t>
      </w:r>
      <w:hyperlink r:id="rId17" w:history="1">
        <w:r w:rsidRPr="00332204">
          <w:rPr>
            <w:rStyle w:val="ab"/>
          </w:rPr>
          <w:t>https://www.imf.org/external/Pubs/FT/GFS/Manual/2014/GFSM_2014_rus.pdf</w:t>
        </w:r>
      </w:hyperlink>
    </w:p>
    <w:p w:rsidR="00D649D2" w:rsidRPr="00D649D2" w:rsidRDefault="00D649D2" w:rsidP="00D649D2">
      <w:pPr>
        <w:pStyle w:val="MText"/>
        <w:ind w:firstLine="720"/>
      </w:pPr>
      <w:r>
        <w:t xml:space="preserve">Другие версии: </w:t>
      </w:r>
      <w:hyperlink r:id="rId18" w:history="1">
        <w:r w:rsidRPr="000A7108">
          <w:rPr>
            <w:rStyle w:val="ab"/>
            <w:lang w:val="en-US"/>
          </w:rPr>
          <w:t>https</w:t>
        </w:r>
        <w:r w:rsidRPr="00D649D2">
          <w:rPr>
            <w:rStyle w:val="ab"/>
          </w:rPr>
          <w:t>://</w:t>
        </w:r>
        <w:r w:rsidRPr="000A7108">
          <w:rPr>
            <w:rStyle w:val="ab"/>
            <w:lang w:val="en-US"/>
          </w:rPr>
          <w:t>www</w:t>
        </w:r>
        <w:r w:rsidRPr="00D649D2">
          <w:rPr>
            <w:rStyle w:val="ab"/>
          </w:rPr>
          <w:t>.</w:t>
        </w:r>
        <w:proofErr w:type="spellStart"/>
        <w:r w:rsidRPr="000A7108">
          <w:rPr>
            <w:rStyle w:val="ab"/>
            <w:lang w:val="en-US"/>
          </w:rPr>
          <w:t>imf</w:t>
        </w:r>
        <w:proofErr w:type="spellEnd"/>
        <w:r w:rsidRPr="00D649D2">
          <w:rPr>
            <w:rStyle w:val="ab"/>
          </w:rPr>
          <w:t>.</w:t>
        </w:r>
        <w:r w:rsidRPr="000A7108">
          <w:rPr>
            <w:rStyle w:val="ab"/>
            <w:lang w:val="en-US"/>
          </w:rPr>
          <w:t>org</w:t>
        </w:r>
        <w:r w:rsidRPr="00D649D2">
          <w:rPr>
            <w:rStyle w:val="ab"/>
          </w:rPr>
          <w:t>/</w:t>
        </w:r>
        <w:r w:rsidRPr="000A7108">
          <w:rPr>
            <w:rStyle w:val="ab"/>
            <w:lang w:val="en-US"/>
          </w:rPr>
          <w:t>external</w:t>
        </w:r>
        <w:r w:rsidRPr="00D649D2">
          <w:rPr>
            <w:rStyle w:val="ab"/>
          </w:rPr>
          <w:t>/</w:t>
        </w:r>
        <w:proofErr w:type="spellStart"/>
        <w:r w:rsidRPr="000A7108">
          <w:rPr>
            <w:rStyle w:val="ab"/>
            <w:lang w:val="en-US"/>
          </w:rPr>
          <w:t>np</w:t>
        </w:r>
        <w:proofErr w:type="spellEnd"/>
        <w:r w:rsidRPr="00D649D2">
          <w:rPr>
            <w:rStyle w:val="ab"/>
          </w:rPr>
          <w:t>/</w:t>
        </w:r>
        <w:proofErr w:type="spellStart"/>
        <w:r w:rsidRPr="000A7108">
          <w:rPr>
            <w:rStyle w:val="ab"/>
            <w:lang w:val="en-US"/>
          </w:rPr>
          <w:t>sta</w:t>
        </w:r>
        <w:proofErr w:type="spellEnd"/>
        <w:r w:rsidRPr="00D649D2">
          <w:rPr>
            <w:rStyle w:val="ab"/>
          </w:rPr>
          <w:t>/</w:t>
        </w:r>
        <w:proofErr w:type="spellStart"/>
        <w:r w:rsidRPr="000A7108">
          <w:rPr>
            <w:rStyle w:val="ab"/>
            <w:lang w:val="en-US"/>
          </w:rPr>
          <w:t>gfsm</w:t>
        </w:r>
        <w:proofErr w:type="spellEnd"/>
        <w:r w:rsidRPr="00D649D2">
          <w:rPr>
            <w:rStyle w:val="ab"/>
          </w:rPr>
          <w:t>/</w:t>
        </w:r>
      </w:hyperlink>
    </w:p>
    <w:p w:rsidR="00D649D2" w:rsidRPr="00D649D2" w:rsidRDefault="00D649D2" w:rsidP="00D649D2">
      <w:pPr>
        <w:rPr>
          <w:lang w:val="ru-RU" w:eastAsia="en-GB"/>
        </w:rPr>
      </w:pPr>
    </w:p>
    <w:p w:rsidR="00D649D2" w:rsidRDefault="00D649D2" w:rsidP="00D649D2">
      <w:pPr>
        <w:pStyle w:val="ac"/>
        <w:jc w:val="center"/>
        <w:rPr>
          <w:b/>
        </w:rPr>
      </w:pPr>
      <w:r w:rsidRPr="009166AC">
        <w:rPr>
          <w:b/>
          <w:lang w:val="ru-RU"/>
        </w:rPr>
        <w:br w:type="column"/>
      </w:r>
      <w:proofErr w:type="gramStart"/>
      <w:r>
        <w:rPr>
          <w:b/>
        </w:rPr>
        <w:t>2.a.1</w:t>
      </w:r>
      <w:proofErr w:type="gramEnd"/>
      <w:r>
        <w:rPr>
          <w:b/>
        </w:rPr>
        <w:t xml:space="preserve"> </w:t>
      </w:r>
      <w:r w:rsidR="008446D7">
        <w:rPr>
          <w:b/>
          <w:lang w:val="ru-RU"/>
        </w:rPr>
        <w:t>ПРИЛОЖЕНИЕ</w:t>
      </w:r>
      <w:r w:rsidRPr="0073401C">
        <w:rPr>
          <w:b/>
        </w:rPr>
        <w:t xml:space="preserve"> I</w:t>
      </w:r>
      <w:r w:rsidR="00054699">
        <w:rPr>
          <w:b/>
          <w:lang w:val="ru-RU"/>
        </w:rPr>
        <w:t xml:space="preserve"> к метаданным</w:t>
      </w:r>
      <w:r>
        <w:rPr>
          <w:b/>
        </w:rPr>
        <w:t>:</w:t>
      </w:r>
      <w:r w:rsidRPr="0073401C">
        <w:rPr>
          <w:b/>
        </w:rPr>
        <w:t xml:space="preserve"> Highest Level of Government Available</w:t>
      </w:r>
      <w:r>
        <w:rPr>
          <w:b/>
        </w:rPr>
        <w:t xml:space="preserve"> – </w:t>
      </w:r>
      <w:r w:rsidR="008446D7">
        <w:rPr>
          <w:b/>
          <w:lang w:val="ru-RU"/>
        </w:rPr>
        <w:t>последнее</w:t>
      </w:r>
      <w:r>
        <w:rPr>
          <w:b/>
        </w:rPr>
        <w:t xml:space="preserve"> </w:t>
      </w:r>
      <w:r w:rsidR="008446D7">
        <w:rPr>
          <w:b/>
          <w:lang w:val="ru-RU"/>
        </w:rPr>
        <w:t>обновление</w:t>
      </w:r>
      <w:r>
        <w:rPr>
          <w:b/>
        </w:rPr>
        <w:t xml:space="preserve"> 01 </w:t>
      </w:r>
      <w:r w:rsidR="008446D7">
        <w:rPr>
          <w:b/>
          <w:lang w:val="ru-RU"/>
        </w:rPr>
        <w:t>март</w:t>
      </w:r>
      <w:r>
        <w:rPr>
          <w:b/>
        </w:rPr>
        <w:t xml:space="preserve"> 2022</w:t>
      </w:r>
    </w:p>
    <w:tbl>
      <w:tblPr>
        <w:tblStyle w:val="af1"/>
        <w:tblW w:w="10560" w:type="dxa"/>
        <w:tblInd w:w="-318" w:type="dxa"/>
        <w:tblLook w:val="04A0" w:firstRow="1" w:lastRow="0" w:firstColumn="1" w:lastColumn="0" w:noHBand="0" w:noVBand="1"/>
      </w:tblPr>
      <w:tblGrid>
        <w:gridCol w:w="1109"/>
        <w:gridCol w:w="566"/>
        <w:gridCol w:w="2727"/>
        <w:gridCol w:w="1431"/>
        <w:gridCol w:w="1109"/>
        <w:gridCol w:w="770"/>
        <w:gridCol w:w="1532"/>
        <w:gridCol w:w="1431"/>
      </w:tblGrid>
      <w:tr w:rsidR="00D649D2" w:rsidRPr="00B23AD6" w:rsidTr="006933FE">
        <w:trPr>
          <w:trHeight w:val="285"/>
        </w:trPr>
        <w:tc>
          <w:tcPr>
            <w:tcW w:w="1109" w:type="dxa"/>
            <w:noWrap/>
            <w:hideMark/>
          </w:tcPr>
          <w:p w:rsidR="00D649D2" w:rsidRPr="008446D7" w:rsidRDefault="008446D7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b/>
                <w:bCs/>
                <w:color w:val="4A4A4A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4A4A4A"/>
                <w:sz w:val="18"/>
                <w:szCs w:val="18"/>
                <w:lang w:val="ru-RU"/>
              </w:rPr>
              <w:t>Последний год</w:t>
            </w:r>
          </w:p>
        </w:tc>
        <w:tc>
          <w:tcPr>
            <w:tcW w:w="451" w:type="dxa"/>
            <w:noWrap/>
            <w:hideMark/>
          </w:tcPr>
          <w:p w:rsidR="00D649D2" w:rsidRPr="008446D7" w:rsidRDefault="008446D7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b/>
                <w:bCs/>
                <w:color w:val="4A4A4A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4A4A4A"/>
                <w:sz w:val="18"/>
                <w:szCs w:val="18"/>
                <w:lang w:val="ru-RU"/>
              </w:rPr>
              <w:t xml:space="preserve">Код </w:t>
            </w:r>
            <w:r>
              <w:rPr>
                <w:b/>
                <w:bCs/>
                <w:color w:val="4A4A4A"/>
                <w:sz w:val="18"/>
                <w:szCs w:val="18"/>
                <w:lang w:val="en-US"/>
              </w:rPr>
              <w:t>M49</w:t>
            </w:r>
          </w:p>
        </w:tc>
        <w:tc>
          <w:tcPr>
            <w:tcW w:w="2727" w:type="dxa"/>
            <w:noWrap/>
            <w:hideMark/>
          </w:tcPr>
          <w:p w:rsidR="00D649D2" w:rsidRPr="008446D7" w:rsidRDefault="008446D7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b/>
                <w:bCs/>
                <w:color w:val="4A4A4A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4A4A4A"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1431" w:type="dxa"/>
            <w:noWrap/>
            <w:hideMark/>
          </w:tcPr>
          <w:p w:rsidR="00D649D2" w:rsidRPr="008446D7" w:rsidRDefault="008446D7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b/>
                <w:bCs/>
                <w:color w:val="4A4A4A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4A4A4A"/>
                <w:sz w:val="18"/>
                <w:szCs w:val="18"/>
                <w:lang w:val="ru-RU"/>
              </w:rPr>
              <w:t>Уровень правительства</w:t>
            </w:r>
          </w:p>
        </w:tc>
        <w:tc>
          <w:tcPr>
            <w:tcW w:w="1109" w:type="dxa"/>
            <w:noWrap/>
            <w:hideMark/>
          </w:tcPr>
          <w:p w:rsidR="00D649D2" w:rsidRPr="008446D7" w:rsidRDefault="008446D7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b/>
                <w:bCs/>
                <w:color w:val="4A4A4A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4A4A4A"/>
                <w:sz w:val="18"/>
                <w:szCs w:val="18"/>
                <w:lang w:val="ru-RU"/>
              </w:rPr>
              <w:t>Последний год</w:t>
            </w:r>
          </w:p>
        </w:tc>
        <w:tc>
          <w:tcPr>
            <w:tcW w:w="770" w:type="dxa"/>
            <w:noWrap/>
            <w:hideMark/>
          </w:tcPr>
          <w:p w:rsidR="00D649D2" w:rsidRPr="008446D7" w:rsidRDefault="008446D7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b/>
                <w:bCs/>
                <w:color w:val="4A4A4A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4A4A4A"/>
                <w:sz w:val="18"/>
                <w:szCs w:val="18"/>
                <w:lang w:val="ru-RU"/>
              </w:rPr>
              <w:t xml:space="preserve">Код </w:t>
            </w:r>
            <w:r>
              <w:rPr>
                <w:b/>
                <w:bCs/>
                <w:color w:val="4A4A4A"/>
                <w:sz w:val="18"/>
                <w:szCs w:val="18"/>
                <w:lang w:val="en-US"/>
              </w:rPr>
              <w:t>M49</w:t>
            </w:r>
          </w:p>
        </w:tc>
        <w:tc>
          <w:tcPr>
            <w:tcW w:w="1532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b/>
                <w:bCs/>
                <w:color w:val="4A4A4A"/>
                <w:sz w:val="18"/>
                <w:szCs w:val="18"/>
              </w:rPr>
            </w:pPr>
            <w:r w:rsidRPr="00A76EC5">
              <w:rPr>
                <w:b/>
                <w:bCs/>
                <w:color w:val="4A4A4A"/>
                <w:sz w:val="18"/>
                <w:szCs w:val="18"/>
              </w:rPr>
              <w:t>Area</w:t>
            </w:r>
          </w:p>
        </w:tc>
        <w:tc>
          <w:tcPr>
            <w:tcW w:w="1431" w:type="dxa"/>
            <w:noWrap/>
            <w:hideMark/>
          </w:tcPr>
          <w:p w:rsidR="00D649D2" w:rsidRPr="008446D7" w:rsidRDefault="008446D7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b/>
                <w:bCs/>
                <w:color w:val="4A4A4A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4A4A4A"/>
                <w:sz w:val="18"/>
                <w:szCs w:val="18"/>
                <w:lang w:val="ru-RU"/>
              </w:rPr>
              <w:t>Уровень правительства</w:t>
            </w:r>
          </w:p>
        </w:tc>
      </w:tr>
      <w:tr w:rsidR="00D649D2" w:rsidRPr="00EC4788" w:rsidTr="006933FE">
        <w:trPr>
          <w:trHeight w:val="285"/>
        </w:trPr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2017</w:t>
            </w:r>
          </w:p>
        </w:tc>
        <w:tc>
          <w:tcPr>
            <w:tcW w:w="45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4</w:t>
            </w:r>
          </w:p>
        </w:tc>
        <w:tc>
          <w:tcPr>
            <w:tcW w:w="2727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Afghanistan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GG</w:t>
            </w:r>
          </w:p>
        </w:tc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2020</w:t>
            </w:r>
          </w:p>
        </w:tc>
        <w:tc>
          <w:tcPr>
            <w:tcW w:w="770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214</w:t>
            </w:r>
          </w:p>
        </w:tc>
        <w:tc>
          <w:tcPr>
            <w:tcW w:w="1532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Dominican Republic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BA</w:t>
            </w:r>
          </w:p>
        </w:tc>
      </w:tr>
      <w:tr w:rsidR="00D649D2" w:rsidRPr="00EC4788" w:rsidTr="006933FE">
        <w:trPr>
          <w:trHeight w:val="285"/>
        </w:trPr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2020</w:t>
            </w:r>
          </w:p>
        </w:tc>
        <w:tc>
          <w:tcPr>
            <w:tcW w:w="45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8</w:t>
            </w:r>
          </w:p>
        </w:tc>
        <w:tc>
          <w:tcPr>
            <w:tcW w:w="2727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Albania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GG</w:t>
            </w:r>
          </w:p>
        </w:tc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2020</w:t>
            </w:r>
          </w:p>
        </w:tc>
        <w:tc>
          <w:tcPr>
            <w:tcW w:w="770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218</w:t>
            </w:r>
          </w:p>
        </w:tc>
        <w:tc>
          <w:tcPr>
            <w:tcW w:w="1532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Ecuador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BA</w:t>
            </w:r>
          </w:p>
        </w:tc>
      </w:tr>
      <w:tr w:rsidR="00D649D2" w:rsidRPr="00EC4788" w:rsidTr="006933FE">
        <w:trPr>
          <w:trHeight w:val="285"/>
        </w:trPr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2018</w:t>
            </w:r>
          </w:p>
        </w:tc>
        <w:tc>
          <w:tcPr>
            <w:tcW w:w="45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12</w:t>
            </w:r>
          </w:p>
        </w:tc>
        <w:tc>
          <w:tcPr>
            <w:tcW w:w="2727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Algeria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BA</w:t>
            </w:r>
          </w:p>
        </w:tc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2020</w:t>
            </w:r>
          </w:p>
        </w:tc>
        <w:tc>
          <w:tcPr>
            <w:tcW w:w="770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818</w:t>
            </w:r>
          </w:p>
        </w:tc>
        <w:tc>
          <w:tcPr>
            <w:tcW w:w="1532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Egypt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GG</w:t>
            </w:r>
          </w:p>
        </w:tc>
      </w:tr>
      <w:tr w:rsidR="00D649D2" w:rsidRPr="00EC4788" w:rsidTr="006933FE">
        <w:trPr>
          <w:trHeight w:val="285"/>
        </w:trPr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2020</w:t>
            </w:r>
          </w:p>
        </w:tc>
        <w:tc>
          <w:tcPr>
            <w:tcW w:w="45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24</w:t>
            </w:r>
          </w:p>
        </w:tc>
        <w:tc>
          <w:tcPr>
            <w:tcW w:w="2727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Angola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GG</w:t>
            </w:r>
          </w:p>
        </w:tc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2020</w:t>
            </w:r>
          </w:p>
        </w:tc>
        <w:tc>
          <w:tcPr>
            <w:tcW w:w="770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222</w:t>
            </w:r>
          </w:p>
        </w:tc>
        <w:tc>
          <w:tcPr>
            <w:tcW w:w="1532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El Salvador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GG</w:t>
            </w:r>
          </w:p>
        </w:tc>
      </w:tr>
      <w:tr w:rsidR="00D649D2" w:rsidRPr="00EC4788" w:rsidTr="006933FE">
        <w:trPr>
          <w:trHeight w:val="285"/>
        </w:trPr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2020</w:t>
            </w:r>
          </w:p>
        </w:tc>
        <w:tc>
          <w:tcPr>
            <w:tcW w:w="45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28</w:t>
            </w:r>
          </w:p>
        </w:tc>
        <w:tc>
          <w:tcPr>
            <w:tcW w:w="2727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Antigua and Barbuda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GG</w:t>
            </w:r>
          </w:p>
        </w:tc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2020</w:t>
            </w:r>
          </w:p>
        </w:tc>
        <w:tc>
          <w:tcPr>
            <w:tcW w:w="770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226</w:t>
            </w:r>
          </w:p>
        </w:tc>
        <w:tc>
          <w:tcPr>
            <w:tcW w:w="1532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Equatorial Guinea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BA</w:t>
            </w:r>
          </w:p>
        </w:tc>
      </w:tr>
      <w:tr w:rsidR="00D649D2" w:rsidRPr="00EC4788" w:rsidTr="006933FE">
        <w:trPr>
          <w:trHeight w:val="285"/>
        </w:trPr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2020</w:t>
            </w:r>
          </w:p>
        </w:tc>
        <w:tc>
          <w:tcPr>
            <w:tcW w:w="45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32</w:t>
            </w:r>
          </w:p>
        </w:tc>
        <w:tc>
          <w:tcPr>
            <w:tcW w:w="2727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Argentina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CG</w:t>
            </w:r>
          </w:p>
        </w:tc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2019</w:t>
            </w:r>
          </w:p>
        </w:tc>
        <w:tc>
          <w:tcPr>
            <w:tcW w:w="770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233</w:t>
            </w:r>
          </w:p>
        </w:tc>
        <w:tc>
          <w:tcPr>
            <w:tcW w:w="1532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Estonia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GG</w:t>
            </w:r>
          </w:p>
        </w:tc>
      </w:tr>
      <w:tr w:rsidR="00D649D2" w:rsidRPr="00EC4788" w:rsidTr="006933FE">
        <w:trPr>
          <w:trHeight w:val="285"/>
        </w:trPr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2020</w:t>
            </w:r>
          </w:p>
        </w:tc>
        <w:tc>
          <w:tcPr>
            <w:tcW w:w="45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51</w:t>
            </w:r>
          </w:p>
        </w:tc>
        <w:tc>
          <w:tcPr>
            <w:tcW w:w="2727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Armenia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GG</w:t>
            </w:r>
          </w:p>
        </w:tc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2018</w:t>
            </w:r>
          </w:p>
        </w:tc>
        <w:tc>
          <w:tcPr>
            <w:tcW w:w="770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748</w:t>
            </w:r>
          </w:p>
        </w:tc>
        <w:tc>
          <w:tcPr>
            <w:tcW w:w="1532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proofErr w:type="spellStart"/>
            <w:r w:rsidRPr="00A76EC5">
              <w:rPr>
                <w:color w:val="4A4A4A"/>
                <w:sz w:val="18"/>
                <w:szCs w:val="18"/>
              </w:rPr>
              <w:t>Eswatini</w:t>
            </w:r>
            <w:proofErr w:type="spellEnd"/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BA</w:t>
            </w:r>
          </w:p>
        </w:tc>
      </w:tr>
      <w:tr w:rsidR="00D649D2" w:rsidRPr="00EC4788" w:rsidTr="006933FE">
        <w:trPr>
          <w:trHeight w:val="285"/>
        </w:trPr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2020</w:t>
            </w:r>
          </w:p>
        </w:tc>
        <w:tc>
          <w:tcPr>
            <w:tcW w:w="45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36</w:t>
            </w:r>
          </w:p>
        </w:tc>
        <w:tc>
          <w:tcPr>
            <w:tcW w:w="2727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Australia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GG</w:t>
            </w:r>
          </w:p>
        </w:tc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2019</w:t>
            </w:r>
          </w:p>
        </w:tc>
        <w:tc>
          <w:tcPr>
            <w:tcW w:w="770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231</w:t>
            </w:r>
          </w:p>
        </w:tc>
        <w:tc>
          <w:tcPr>
            <w:tcW w:w="1532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Ethiopia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BA</w:t>
            </w:r>
          </w:p>
        </w:tc>
      </w:tr>
      <w:tr w:rsidR="00D649D2" w:rsidRPr="00EC4788" w:rsidTr="006933FE">
        <w:trPr>
          <w:trHeight w:val="285"/>
        </w:trPr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2019</w:t>
            </w:r>
          </w:p>
        </w:tc>
        <w:tc>
          <w:tcPr>
            <w:tcW w:w="45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40</w:t>
            </w:r>
          </w:p>
        </w:tc>
        <w:tc>
          <w:tcPr>
            <w:tcW w:w="2727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Austria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GG</w:t>
            </w:r>
          </w:p>
        </w:tc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2020</w:t>
            </w:r>
          </w:p>
        </w:tc>
        <w:tc>
          <w:tcPr>
            <w:tcW w:w="770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242</w:t>
            </w:r>
          </w:p>
        </w:tc>
        <w:tc>
          <w:tcPr>
            <w:tcW w:w="1532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Fiji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BA</w:t>
            </w:r>
          </w:p>
        </w:tc>
      </w:tr>
      <w:tr w:rsidR="00D649D2" w:rsidRPr="00EC4788" w:rsidTr="006933FE">
        <w:trPr>
          <w:trHeight w:val="285"/>
        </w:trPr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2020</w:t>
            </w:r>
          </w:p>
        </w:tc>
        <w:tc>
          <w:tcPr>
            <w:tcW w:w="45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31</w:t>
            </w:r>
          </w:p>
        </w:tc>
        <w:tc>
          <w:tcPr>
            <w:tcW w:w="2727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Azerbaijan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GG</w:t>
            </w:r>
          </w:p>
        </w:tc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2019</w:t>
            </w:r>
          </w:p>
        </w:tc>
        <w:tc>
          <w:tcPr>
            <w:tcW w:w="770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246</w:t>
            </w:r>
          </w:p>
        </w:tc>
        <w:tc>
          <w:tcPr>
            <w:tcW w:w="1532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Finland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GG</w:t>
            </w:r>
          </w:p>
        </w:tc>
      </w:tr>
      <w:tr w:rsidR="00D649D2" w:rsidRPr="00EC4788" w:rsidTr="006933FE">
        <w:trPr>
          <w:trHeight w:val="285"/>
        </w:trPr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2020</w:t>
            </w:r>
          </w:p>
        </w:tc>
        <w:tc>
          <w:tcPr>
            <w:tcW w:w="45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44</w:t>
            </w:r>
          </w:p>
        </w:tc>
        <w:tc>
          <w:tcPr>
            <w:tcW w:w="2727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Bahamas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BA</w:t>
            </w:r>
          </w:p>
        </w:tc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2019</w:t>
            </w:r>
          </w:p>
        </w:tc>
        <w:tc>
          <w:tcPr>
            <w:tcW w:w="770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250</w:t>
            </w:r>
          </w:p>
        </w:tc>
        <w:tc>
          <w:tcPr>
            <w:tcW w:w="1532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France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GG</w:t>
            </w:r>
          </w:p>
        </w:tc>
      </w:tr>
      <w:tr w:rsidR="00D649D2" w:rsidRPr="00EC4788" w:rsidTr="006933FE">
        <w:trPr>
          <w:trHeight w:val="285"/>
        </w:trPr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2019</w:t>
            </w:r>
          </w:p>
        </w:tc>
        <w:tc>
          <w:tcPr>
            <w:tcW w:w="45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48</w:t>
            </w:r>
          </w:p>
        </w:tc>
        <w:tc>
          <w:tcPr>
            <w:tcW w:w="2727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Bahrain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BA</w:t>
            </w:r>
          </w:p>
        </w:tc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2020</w:t>
            </w:r>
          </w:p>
        </w:tc>
        <w:tc>
          <w:tcPr>
            <w:tcW w:w="770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270</w:t>
            </w:r>
          </w:p>
        </w:tc>
        <w:tc>
          <w:tcPr>
            <w:tcW w:w="1532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Gambia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BA</w:t>
            </w:r>
          </w:p>
        </w:tc>
      </w:tr>
      <w:tr w:rsidR="00D649D2" w:rsidRPr="00EC4788" w:rsidTr="006933FE">
        <w:trPr>
          <w:trHeight w:val="285"/>
        </w:trPr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2016</w:t>
            </w:r>
          </w:p>
        </w:tc>
        <w:tc>
          <w:tcPr>
            <w:tcW w:w="45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50</w:t>
            </w:r>
          </w:p>
        </w:tc>
        <w:tc>
          <w:tcPr>
            <w:tcW w:w="2727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Bangladesh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BA</w:t>
            </w:r>
          </w:p>
        </w:tc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2020</w:t>
            </w:r>
          </w:p>
        </w:tc>
        <w:tc>
          <w:tcPr>
            <w:tcW w:w="770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268</w:t>
            </w:r>
          </w:p>
        </w:tc>
        <w:tc>
          <w:tcPr>
            <w:tcW w:w="1532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Georgia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GG</w:t>
            </w:r>
          </w:p>
        </w:tc>
      </w:tr>
      <w:tr w:rsidR="00D649D2" w:rsidRPr="00EC4788" w:rsidTr="006933FE">
        <w:trPr>
          <w:trHeight w:val="285"/>
        </w:trPr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2005</w:t>
            </w:r>
          </w:p>
        </w:tc>
        <w:tc>
          <w:tcPr>
            <w:tcW w:w="45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52</w:t>
            </w:r>
          </w:p>
        </w:tc>
        <w:tc>
          <w:tcPr>
            <w:tcW w:w="2727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Barbados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BA</w:t>
            </w:r>
          </w:p>
        </w:tc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2020</w:t>
            </w:r>
          </w:p>
        </w:tc>
        <w:tc>
          <w:tcPr>
            <w:tcW w:w="770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276</w:t>
            </w:r>
          </w:p>
        </w:tc>
        <w:tc>
          <w:tcPr>
            <w:tcW w:w="1532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Germany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GG</w:t>
            </w:r>
          </w:p>
        </w:tc>
      </w:tr>
      <w:tr w:rsidR="00D649D2" w:rsidRPr="00EC4788" w:rsidTr="006933FE">
        <w:trPr>
          <w:trHeight w:val="285"/>
        </w:trPr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2019</w:t>
            </w:r>
          </w:p>
        </w:tc>
        <w:tc>
          <w:tcPr>
            <w:tcW w:w="45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112</w:t>
            </w:r>
          </w:p>
        </w:tc>
        <w:tc>
          <w:tcPr>
            <w:tcW w:w="2727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Belarus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GG</w:t>
            </w:r>
          </w:p>
        </w:tc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2019</w:t>
            </w:r>
          </w:p>
        </w:tc>
        <w:tc>
          <w:tcPr>
            <w:tcW w:w="770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288</w:t>
            </w:r>
          </w:p>
        </w:tc>
        <w:tc>
          <w:tcPr>
            <w:tcW w:w="1532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Ghana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BA</w:t>
            </w:r>
          </w:p>
        </w:tc>
      </w:tr>
      <w:tr w:rsidR="00D649D2" w:rsidRPr="00EC4788" w:rsidTr="006933FE">
        <w:trPr>
          <w:trHeight w:val="285"/>
        </w:trPr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2019</w:t>
            </w:r>
          </w:p>
        </w:tc>
        <w:tc>
          <w:tcPr>
            <w:tcW w:w="45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56</w:t>
            </w:r>
          </w:p>
        </w:tc>
        <w:tc>
          <w:tcPr>
            <w:tcW w:w="2727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Belgium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GG</w:t>
            </w:r>
          </w:p>
        </w:tc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2019</w:t>
            </w:r>
          </w:p>
        </w:tc>
        <w:tc>
          <w:tcPr>
            <w:tcW w:w="770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300</w:t>
            </w:r>
          </w:p>
        </w:tc>
        <w:tc>
          <w:tcPr>
            <w:tcW w:w="1532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Greece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GG</w:t>
            </w:r>
          </w:p>
        </w:tc>
      </w:tr>
      <w:tr w:rsidR="00D649D2" w:rsidRPr="00EC4788" w:rsidTr="006933FE">
        <w:trPr>
          <w:trHeight w:val="285"/>
        </w:trPr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2020</w:t>
            </w:r>
          </w:p>
        </w:tc>
        <w:tc>
          <w:tcPr>
            <w:tcW w:w="45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84</w:t>
            </w:r>
          </w:p>
        </w:tc>
        <w:tc>
          <w:tcPr>
            <w:tcW w:w="2727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Belize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CG</w:t>
            </w:r>
          </w:p>
        </w:tc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2020</w:t>
            </w:r>
          </w:p>
        </w:tc>
        <w:tc>
          <w:tcPr>
            <w:tcW w:w="770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308</w:t>
            </w:r>
          </w:p>
        </w:tc>
        <w:tc>
          <w:tcPr>
            <w:tcW w:w="1532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Grenada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GG</w:t>
            </w:r>
          </w:p>
        </w:tc>
      </w:tr>
      <w:tr w:rsidR="00D649D2" w:rsidRPr="00EC4788" w:rsidTr="006933FE">
        <w:trPr>
          <w:trHeight w:val="285"/>
        </w:trPr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2020</w:t>
            </w:r>
          </w:p>
        </w:tc>
        <w:tc>
          <w:tcPr>
            <w:tcW w:w="45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204</w:t>
            </w:r>
          </w:p>
        </w:tc>
        <w:tc>
          <w:tcPr>
            <w:tcW w:w="2727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Benin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BA</w:t>
            </w:r>
          </w:p>
        </w:tc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2020</w:t>
            </w:r>
          </w:p>
        </w:tc>
        <w:tc>
          <w:tcPr>
            <w:tcW w:w="770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320</w:t>
            </w:r>
          </w:p>
        </w:tc>
        <w:tc>
          <w:tcPr>
            <w:tcW w:w="1532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Guatemala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GG</w:t>
            </w:r>
          </w:p>
        </w:tc>
      </w:tr>
      <w:tr w:rsidR="00D649D2" w:rsidRPr="00EC4788" w:rsidTr="006933FE">
        <w:trPr>
          <w:trHeight w:val="285"/>
        </w:trPr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2020</w:t>
            </w:r>
          </w:p>
        </w:tc>
        <w:tc>
          <w:tcPr>
            <w:tcW w:w="45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64</w:t>
            </w:r>
          </w:p>
        </w:tc>
        <w:tc>
          <w:tcPr>
            <w:tcW w:w="2727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Bhutan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BA</w:t>
            </w:r>
          </w:p>
        </w:tc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2019</w:t>
            </w:r>
          </w:p>
        </w:tc>
        <w:tc>
          <w:tcPr>
            <w:tcW w:w="770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324</w:t>
            </w:r>
          </w:p>
        </w:tc>
        <w:tc>
          <w:tcPr>
            <w:tcW w:w="1532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Guinea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BA</w:t>
            </w:r>
          </w:p>
        </w:tc>
      </w:tr>
      <w:tr w:rsidR="00D649D2" w:rsidRPr="00EC4788" w:rsidTr="006933FE">
        <w:trPr>
          <w:trHeight w:val="285"/>
        </w:trPr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2014</w:t>
            </w:r>
          </w:p>
        </w:tc>
        <w:tc>
          <w:tcPr>
            <w:tcW w:w="45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68</w:t>
            </w:r>
          </w:p>
        </w:tc>
        <w:tc>
          <w:tcPr>
            <w:tcW w:w="2727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Bolivia (</w:t>
            </w:r>
            <w:proofErr w:type="spellStart"/>
            <w:r w:rsidRPr="00A76EC5">
              <w:rPr>
                <w:color w:val="4A4A4A"/>
                <w:sz w:val="18"/>
                <w:szCs w:val="18"/>
              </w:rPr>
              <w:t>Plurinational</w:t>
            </w:r>
            <w:proofErr w:type="spellEnd"/>
            <w:r w:rsidRPr="00A76EC5">
              <w:rPr>
                <w:color w:val="4A4A4A"/>
                <w:sz w:val="18"/>
                <w:szCs w:val="18"/>
              </w:rPr>
              <w:t xml:space="preserve"> State of)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GG</w:t>
            </w:r>
          </w:p>
        </w:tc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2017</w:t>
            </w:r>
          </w:p>
        </w:tc>
        <w:tc>
          <w:tcPr>
            <w:tcW w:w="770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624</w:t>
            </w:r>
          </w:p>
        </w:tc>
        <w:tc>
          <w:tcPr>
            <w:tcW w:w="1532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Guinea-Bissau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BA</w:t>
            </w:r>
          </w:p>
        </w:tc>
      </w:tr>
      <w:tr w:rsidR="00D649D2" w:rsidRPr="00EC4788" w:rsidTr="006933FE">
        <w:trPr>
          <w:trHeight w:val="285"/>
        </w:trPr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2020</w:t>
            </w:r>
          </w:p>
        </w:tc>
        <w:tc>
          <w:tcPr>
            <w:tcW w:w="45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72</w:t>
            </w:r>
          </w:p>
        </w:tc>
        <w:tc>
          <w:tcPr>
            <w:tcW w:w="2727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Botswana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GG</w:t>
            </w:r>
          </w:p>
        </w:tc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2020</w:t>
            </w:r>
          </w:p>
        </w:tc>
        <w:tc>
          <w:tcPr>
            <w:tcW w:w="770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328</w:t>
            </w:r>
          </w:p>
        </w:tc>
        <w:tc>
          <w:tcPr>
            <w:tcW w:w="1532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Guyana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BA</w:t>
            </w:r>
          </w:p>
        </w:tc>
      </w:tr>
      <w:tr w:rsidR="00D649D2" w:rsidRPr="00EC4788" w:rsidTr="006933FE">
        <w:trPr>
          <w:trHeight w:val="285"/>
        </w:trPr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2020</w:t>
            </w:r>
          </w:p>
        </w:tc>
        <w:tc>
          <w:tcPr>
            <w:tcW w:w="45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76</w:t>
            </w:r>
          </w:p>
        </w:tc>
        <w:tc>
          <w:tcPr>
            <w:tcW w:w="2727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Brazil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GG</w:t>
            </w:r>
          </w:p>
        </w:tc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2020</w:t>
            </w:r>
          </w:p>
        </w:tc>
        <w:tc>
          <w:tcPr>
            <w:tcW w:w="770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340</w:t>
            </w:r>
          </w:p>
        </w:tc>
        <w:tc>
          <w:tcPr>
            <w:tcW w:w="1532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Honduras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BA</w:t>
            </w:r>
          </w:p>
        </w:tc>
      </w:tr>
      <w:tr w:rsidR="00D649D2" w:rsidRPr="00EC4788" w:rsidTr="006933FE">
        <w:trPr>
          <w:trHeight w:val="285"/>
        </w:trPr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2020</w:t>
            </w:r>
          </w:p>
        </w:tc>
        <w:tc>
          <w:tcPr>
            <w:tcW w:w="45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100</w:t>
            </w:r>
          </w:p>
        </w:tc>
        <w:tc>
          <w:tcPr>
            <w:tcW w:w="2727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Bulgaria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GG</w:t>
            </w:r>
          </w:p>
        </w:tc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2019</w:t>
            </w:r>
          </w:p>
        </w:tc>
        <w:tc>
          <w:tcPr>
            <w:tcW w:w="770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348</w:t>
            </w:r>
          </w:p>
        </w:tc>
        <w:tc>
          <w:tcPr>
            <w:tcW w:w="1532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Hungary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GG</w:t>
            </w:r>
          </w:p>
        </w:tc>
      </w:tr>
      <w:tr w:rsidR="00D649D2" w:rsidRPr="00EC4788" w:rsidTr="006933FE">
        <w:trPr>
          <w:trHeight w:val="285"/>
        </w:trPr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2019</w:t>
            </w:r>
          </w:p>
        </w:tc>
        <w:tc>
          <w:tcPr>
            <w:tcW w:w="45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854</w:t>
            </w:r>
          </w:p>
        </w:tc>
        <w:tc>
          <w:tcPr>
            <w:tcW w:w="2727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Burkina Faso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BA</w:t>
            </w:r>
          </w:p>
        </w:tc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2019</w:t>
            </w:r>
          </w:p>
        </w:tc>
        <w:tc>
          <w:tcPr>
            <w:tcW w:w="770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352</w:t>
            </w:r>
          </w:p>
        </w:tc>
        <w:tc>
          <w:tcPr>
            <w:tcW w:w="1532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Iceland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GG</w:t>
            </w:r>
          </w:p>
        </w:tc>
      </w:tr>
      <w:tr w:rsidR="00D649D2" w:rsidRPr="00EC4788" w:rsidTr="006933FE">
        <w:trPr>
          <w:trHeight w:val="285"/>
        </w:trPr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2019</w:t>
            </w:r>
          </w:p>
        </w:tc>
        <w:tc>
          <w:tcPr>
            <w:tcW w:w="45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108</w:t>
            </w:r>
          </w:p>
        </w:tc>
        <w:tc>
          <w:tcPr>
            <w:tcW w:w="2727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Burundi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BA</w:t>
            </w:r>
          </w:p>
        </w:tc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2019</w:t>
            </w:r>
          </w:p>
        </w:tc>
        <w:tc>
          <w:tcPr>
            <w:tcW w:w="770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356</w:t>
            </w:r>
          </w:p>
        </w:tc>
        <w:tc>
          <w:tcPr>
            <w:tcW w:w="1532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India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GG</w:t>
            </w:r>
          </w:p>
        </w:tc>
      </w:tr>
      <w:tr w:rsidR="00D649D2" w:rsidRPr="00EC4788" w:rsidTr="006933FE">
        <w:trPr>
          <w:trHeight w:val="285"/>
        </w:trPr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2020</w:t>
            </w:r>
          </w:p>
        </w:tc>
        <w:tc>
          <w:tcPr>
            <w:tcW w:w="45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132</w:t>
            </w:r>
          </w:p>
        </w:tc>
        <w:tc>
          <w:tcPr>
            <w:tcW w:w="2727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proofErr w:type="spellStart"/>
            <w:r w:rsidRPr="00A76EC5">
              <w:rPr>
                <w:color w:val="4A4A4A"/>
                <w:sz w:val="18"/>
                <w:szCs w:val="18"/>
              </w:rPr>
              <w:t>Cabo</w:t>
            </w:r>
            <w:proofErr w:type="spellEnd"/>
            <w:r w:rsidRPr="00A76EC5">
              <w:rPr>
                <w:color w:val="4A4A4A"/>
                <w:sz w:val="18"/>
                <w:szCs w:val="18"/>
              </w:rPr>
              <w:t xml:space="preserve"> Verde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CG</w:t>
            </w:r>
          </w:p>
        </w:tc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2020</w:t>
            </w:r>
          </w:p>
        </w:tc>
        <w:tc>
          <w:tcPr>
            <w:tcW w:w="770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360</w:t>
            </w:r>
          </w:p>
        </w:tc>
        <w:tc>
          <w:tcPr>
            <w:tcW w:w="1532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Indonesia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GG</w:t>
            </w:r>
          </w:p>
        </w:tc>
      </w:tr>
      <w:tr w:rsidR="00D649D2" w:rsidRPr="00EC4788" w:rsidTr="006933FE">
        <w:trPr>
          <w:trHeight w:val="285"/>
        </w:trPr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2019</w:t>
            </w:r>
          </w:p>
        </w:tc>
        <w:tc>
          <w:tcPr>
            <w:tcW w:w="45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124</w:t>
            </w:r>
          </w:p>
        </w:tc>
        <w:tc>
          <w:tcPr>
            <w:tcW w:w="2727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Canada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GG</w:t>
            </w:r>
          </w:p>
        </w:tc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2009</w:t>
            </w:r>
          </w:p>
        </w:tc>
        <w:tc>
          <w:tcPr>
            <w:tcW w:w="770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364</w:t>
            </w:r>
          </w:p>
        </w:tc>
        <w:tc>
          <w:tcPr>
            <w:tcW w:w="1532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Iran (Islamic Republic of)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CG</w:t>
            </w:r>
          </w:p>
        </w:tc>
      </w:tr>
      <w:tr w:rsidR="00D649D2" w:rsidRPr="00EC4788" w:rsidTr="006933FE">
        <w:trPr>
          <w:trHeight w:val="285"/>
        </w:trPr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2020</w:t>
            </w:r>
          </w:p>
        </w:tc>
        <w:tc>
          <w:tcPr>
            <w:tcW w:w="45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140</w:t>
            </w:r>
          </w:p>
        </w:tc>
        <w:tc>
          <w:tcPr>
            <w:tcW w:w="2727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Central African Republic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BA</w:t>
            </w:r>
          </w:p>
        </w:tc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2019</w:t>
            </w:r>
          </w:p>
        </w:tc>
        <w:tc>
          <w:tcPr>
            <w:tcW w:w="770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372</w:t>
            </w:r>
          </w:p>
        </w:tc>
        <w:tc>
          <w:tcPr>
            <w:tcW w:w="1532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Ireland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GG</w:t>
            </w:r>
          </w:p>
        </w:tc>
      </w:tr>
      <w:tr w:rsidR="00D649D2" w:rsidRPr="00EC4788" w:rsidTr="006933FE">
        <w:trPr>
          <w:trHeight w:val="285"/>
        </w:trPr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2020</w:t>
            </w:r>
          </w:p>
        </w:tc>
        <w:tc>
          <w:tcPr>
            <w:tcW w:w="45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152</w:t>
            </w:r>
          </w:p>
        </w:tc>
        <w:tc>
          <w:tcPr>
            <w:tcW w:w="2727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Chile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GG</w:t>
            </w:r>
          </w:p>
        </w:tc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2020</w:t>
            </w:r>
          </w:p>
        </w:tc>
        <w:tc>
          <w:tcPr>
            <w:tcW w:w="770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376</w:t>
            </w:r>
          </w:p>
        </w:tc>
        <w:tc>
          <w:tcPr>
            <w:tcW w:w="1532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Israel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GG</w:t>
            </w:r>
          </w:p>
        </w:tc>
      </w:tr>
      <w:tr w:rsidR="00D649D2" w:rsidRPr="00EC4788" w:rsidTr="006933FE">
        <w:trPr>
          <w:trHeight w:val="285"/>
        </w:trPr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2019</w:t>
            </w:r>
          </w:p>
        </w:tc>
        <w:tc>
          <w:tcPr>
            <w:tcW w:w="45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156</w:t>
            </w:r>
          </w:p>
        </w:tc>
        <w:tc>
          <w:tcPr>
            <w:tcW w:w="2727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China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GG</w:t>
            </w:r>
          </w:p>
        </w:tc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2019</w:t>
            </w:r>
          </w:p>
        </w:tc>
        <w:tc>
          <w:tcPr>
            <w:tcW w:w="770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380</w:t>
            </w:r>
          </w:p>
        </w:tc>
        <w:tc>
          <w:tcPr>
            <w:tcW w:w="1532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Italy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GG</w:t>
            </w:r>
          </w:p>
        </w:tc>
      </w:tr>
      <w:tr w:rsidR="00D649D2" w:rsidRPr="00EC4788" w:rsidTr="006933FE">
        <w:trPr>
          <w:trHeight w:val="285"/>
        </w:trPr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2019</w:t>
            </w:r>
          </w:p>
        </w:tc>
        <w:tc>
          <w:tcPr>
            <w:tcW w:w="45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344</w:t>
            </w:r>
          </w:p>
        </w:tc>
        <w:tc>
          <w:tcPr>
            <w:tcW w:w="2727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China, Hong Kong SAR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GG</w:t>
            </w:r>
          </w:p>
        </w:tc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2020</w:t>
            </w:r>
          </w:p>
        </w:tc>
        <w:tc>
          <w:tcPr>
            <w:tcW w:w="770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388</w:t>
            </w:r>
          </w:p>
        </w:tc>
        <w:tc>
          <w:tcPr>
            <w:tcW w:w="1532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Jamaica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CG</w:t>
            </w:r>
          </w:p>
        </w:tc>
      </w:tr>
      <w:tr w:rsidR="00D649D2" w:rsidRPr="00EC4788" w:rsidTr="006933FE">
        <w:trPr>
          <w:trHeight w:val="285"/>
        </w:trPr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2019</w:t>
            </w:r>
          </w:p>
        </w:tc>
        <w:tc>
          <w:tcPr>
            <w:tcW w:w="45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170</w:t>
            </w:r>
          </w:p>
        </w:tc>
        <w:tc>
          <w:tcPr>
            <w:tcW w:w="2727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Colombia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GG</w:t>
            </w:r>
          </w:p>
        </w:tc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2019</w:t>
            </w:r>
          </w:p>
        </w:tc>
        <w:tc>
          <w:tcPr>
            <w:tcW w:w="770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392</w:t>
            </w:r>
          </w:p>
        </w:tc>
        <w:tc>
          <w:tcPr>
            <w:tcW w:w="1532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Japan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GG</w:t>
            </w:r>
          </w:p>
        </w:tc>
      </w:tr>
      <w:tr w:rsidR="00D649D2" w:rsidRPr="00EC4788" w:rsidTr="006933FE">
        <w:trPr>
          <w:trHeight w:val="285"/>
        </w:trPr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2018</w:t>
            </w:r>
          </w:p>
        </w:tc>
        <w:tc>
          <w:tcPr>
            <w:tcW w:w="45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178</w:t>
            </w:r>
          </w:p>
        </w:tc>
        <w:tc>
          <w:tcPr>
            <w:tcW w:w="2727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Congo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BA</w:t>
            </w:r>
          </w:p>
        </w:tc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2019</w:t>
            </w:r>
          </w:p>
        </w:tc>
        <w:tc>
          <w:tcPr>
            <w:tcW w:w="770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400</w:t>
            </w:r>
          </w:p>
        </w:tc>
        <w:tc>
          <w:tcPr>
            <w:tcW w:w="1532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Jordan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BA</w:t>
            </w:r>
          </w:p>
        </w:tc>
      </w:tr>
      <w:tr w:rsidR="00D649D2" w:rsidRPr="00EC4788" w:rsidTr="006933FE">
        <w:trPr>
          <w:trHeight w:val="285"/>
        </w:trPr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2019</w:t>
            </w:r>
          </w:p>
        </w:tc>
        <w:tc>
          <w:tcPr>
            <w:tcW w:w="45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184</w:t>
            </w:r>
          </w:p>
        </w:tc>
        <w:tc>
          <w:tcPr>
            <w:tcW w:w="2727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Cook Islands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GG</w:t>
            </w:r>
          </w:p>
        </w:tc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2019</w:t>
            </w:r>
          </w:p>
        </w:tc>
        <w:tc>
          <w:tcPr>
            <w:tcW w:w="770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398</w:t>
            </w:r>
          </w:p>
        </w:tc>
        <w:tc>
          <w:tcPr>
            <w:tcW w:w="1532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Kazakhstan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GG</w:t>
            </w:r>
          </w:p>
        </w:tc>
      </w:tr>
      <w:tr w:rsidR="00D649D2" w:rsidRPr="00EC4788" w:rsidTr="006933FE">
        <w:trPr>
          <w:trHeight w:val="285"/>
        </w:trPr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2020</w:t>
            </w:r>
          </w:p>
        </w:tc>
        <w:tc>
          <w:tcPr>
            <w:tcW w:w="45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188</w:t>
            </w:r>
          </w:p>
        </w:tc>
        <w:tc>
          <w:tcPr>
            <w:tcW w:w="2727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Costa Rica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GG</w:t>
            </w:r>
          </w:p>
        </w:tc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2020</w:t>
            </w:r>
          </w:p>
        </w:tc>
        <w:tc>
          <w:tcPr>
            <w:tcW w:w="770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404</w:t>
            </w:r>
          </w:p>
        </w:tc>
        <w:tc>
          <w:tcPr>
            <w:tcW w:w="1532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Kenya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BA</w:t>
            </w:r>
          </w:p>
        </w:tc>
      </w:tr>
      <w:tr w:rsidR="00D649D2" w:rsidRPr="00EC4788" w:rsidTr="006933FE">
        <w:trPr>
          <w:trHeight w:val="285"/>
        </w:trPr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2019</w:t>
            </w:r>
          </w:p>
        </w:tc>
        <w:tc>
          <w:tcPr>
            <w:tcW w:w="45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384</w:t>
            </w:r>
          </w:p>
        </w:tc>
        <w:tc>
          <w:tcPr>
            <w:tcW w:w="2727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Côte d'Ivoire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BA</w:t>
            </w:r>
          </w:p>
        </w:tc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2020</w:t>
            </w:r>
          </w:p>
        </w:tc>
        <w:tc>
          <w:tcPr>
            <w:tcW w:w="770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412</w:t>
            </w:r>
          </w:p>
        </w:tc>
        <w:tc>
          <w:tcPr>
            <w:tcW w:w="1532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Kosovo (Serbia)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GG</w:t>
            </w:r>
          </w:p>
        </w:tc>
      </w:tr>
      <w:tr w:rsidR="00D649D2" w:rsidRPr="00EC4788" w:rsidTr="006933FE">
        <w:trPr>
          <w:trHeight w:val="285"/>
        </w:trPr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2019</w:t>
            </w:r>
          </w:p>
        </w:tc>
        <w:tc>
          <w:tcPr>
            <w:tcW w:w="45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191</w:t>
            </w:r>
          </w:p>
        </w:tc>
        <w:tc>
          <w:tcPr>
            <w:tcW w:w="2727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Croatia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GG</w:t>
            </w:r>
          </w:p>
        </w:tc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2020</w:t>
            </w:r>
          </w:p>
        </w:tc>
        <w:tc>
          <w:tcPr>
            <w:tcW w:w="770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414</w:t>
            </w:r>
          </w:p>
        </w:tc>
        <w:tc>
          <w:tcPr>
            <w:tcW w:w="1532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Kuwait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GG</w:t>
            </w:r>
          </w:p>
        </w:tc>
      </w:tr>
      <w:tr w:rsidR="00D649D2" w:rsidRPr="00EC4788" w:rsidTr="006933FE">
        <w:trPr>
          <w:trHeight w:val="285"/>
        </w:trPr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2019</w:t>
            </w:r>
          </w:p>
        </w:tc>
        <w:tc>
          <w:tcPr>
            <w:tcW w:w="45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192</w:t>
            </w:r>
          </w:p>
        </w:tc>
        <w:tc>
          <w:tcPr>
            <w:tcW w:w="2727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Cuba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CG</w:t>
            </w:r>
          </w:p>
        </w:tc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2020</w:t>
            </w:r>
          </w:p>
        </w:tc>
        <w:tc>
          <w:tcPr>
            <w:tcW w:w="770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417</w:t>
            </w:r>
          </w:p>
        </w:tc>
        <w:tc>
          <w:tcPr>
            <w:tcW w:w="1532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Kyrgyzstan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GG</w:t>
            </w:r>
          </w:p>
        </w:tc>
      </w:tr>
      <w:tr w:rsidR="00D649D2" w:rsidRPr="00EC4788" w:rsidTr="006933FE">
        <w:trPr>
          <w:trHeight w:val="285"/>
        </w:trPr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2019</w:t>
            </w:r>
          </w:p>
        </w:tc>
        <w:tc>
          <w:tcPr>
            <w:tcW w:w="45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196</w:t>
            </w:r>
          </w:p>
        </w:tc>
        <w:tc>
          <w:tcPr>
            <w:tcW w:w="2727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Cyprus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GG</w:t>
            </w:r>
          </w:p>
        </w:tc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2019</w:t>
            </w:r>
          </w:p>
        </w:tc>
        <w:tc>
          <w:tcPr>
            <w:tcW w:w="770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418</w:t>
            </w:r>
          </w:p>
        </w:tc>
        <w:tc>
          <w:tcPr>
            <w:tcW w:w="1532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Lao PDR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GG</w:t>
            </w:r>
          </w:p>
        </w:tc>
      </w:tr>
      <w:tr w:rsidR="00D649D2" w:rsidRPr="00EC4788" w:rsidTr="006933FE">
        <w:trPr>
          <w:trHeight w:val="285"/>
        </w:trPr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2020</w:t>
            </w:r>
          </w:p>
        </w:tc>
        <w:tc>
          <w:tcPr>
            <w:tcW w:w="45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203</w:t>
            </w:r>
          </w:p>
        </w:tc>
        <w:tc>
          <w:tcPr>
            <w:tcW w:w="2727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proofErr w:type="spellStart"/>
            <w:r w:rsidRPr="00A76EC5">
              <w:rPr>
                <w:color w:val="4A4A4A"/>
                <w:sz w:val="18"/>
                <w:szCs w:val="18"/>
              </w:rPr>
              <w:t>Czechia</w:t>
            </w:r>
            <w:proofErr w:type="spellEnd"/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GG</w:t>
            </w:r>
          </w:p>
        </w:tc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2019</w:t>
            </w:r>
          </w:p>
        </w:tc>
        <w:tc>
          <w:tcPr>
            <w:tcW w:w="770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428</w:t>
            </w:r>
          </w:p>
        </w:tc>
        <w:tc>
          <w:tcPr>
            <w:tcW w:w="1532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Latvia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GG</w:t>
            </w:r>
          </w:p>
        </w:tc>
      </w:tr>
      <w:tr w:rsidR="00D649D2" w:rsidRPr="00EC4788" w:rsidTr="006933FE">
        <w:trPr>
          <w:trHeight w:val="285"/>
        </w:trPr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2020</w:t>
            </w:r>
          </w:p>
        </w:tc>
        <w:tc>
          <w:tcPr>
            <w:tcW w:w="45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180</w:t>
            </w:r>
          </w:p>
        </w:tc>
        <w:tc>
          <w:tcPr>
            <w:tcW w:w="2727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Dem. Rep. of the Congo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BA</w:t>
            </w:r>
          </w:p>
        </w:tc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2020</w:t>
            </w:r>
          </w:p>
        </w:tc>
        <w:tc>
          <w:tcPr>
            <w:tcW w:w="770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422</w:t>
            </w:r>
          </w:p>
        </w:tc>
        <w:tc>
          <w:tcPr>
            <w:tcW w:w="1532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Lebanon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BA</w:t>
            </w:r>
          </w:p>
        </w:tc>
      </w:tr>
      <w:tr w:rsidR="00D649D2" w:rsidRPr="00EC4788" w:rsidTr="006933FE">
        <w:trPr>
          <w:trHeight w:val="285"/>
        </w:trPr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2020</w:t>
            </w:r>
          </w:p>
        </w:tc>
        <w:tc>
          <w:tcPr>
            <w:tcW w:w="45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208</w:t>
            </w:r>
          </w:p>
        </w:tc>
        <w:tc>
          <w:tcPr>
            <w:tcW w:w="2727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Denmark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GG</w:t>
            </w:r>
          </w:p>
        </w:tc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2020</w:t>
            </w:r>
          </w:p>
        </w:tc>
        <w:tc>
          <w:tcPr>
            <w:tcW w:w="770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426</w:t>
            </w:r>
          </w:p>
        </w:tc>
        <w:tc>
          <w:tcPr>
            <w:tcW w:w="1532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Lesotho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BA</w:t>
            </w:r>
          </w:p>
        </w:tc>
      </w:tr>
      <w:tr w:rsidR="00D649D2" w:rsidRPr="00EC4788" w:rsidTr="006933FE">
        <w:trPr>
          <w:trHeight w:val="285"/>
        </w:trPr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2019</w:t>
            </w:r>
          </w:p>
        </w:tc>
        <w:tc>
          <w:tcPr>
            <w:tcW w:w="45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212</w:t>
            </w:r>
          </w:p>
        </w:tc>
        <w:tc>
          <w:tcPr>
            <w:tcW w:w="2727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Dominica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CG</w:t>
            </w:r>
          </w:p>
        </w:tc>
        <w:tc>
          <w:tcPr>
            <w:tcW w:w="1109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2020</w:t>
            </w:r>
          </w:p>
        </w:tc>
        <w:tc>
          <w:tcPr>
            <w:tcW w:w="770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430</w:t>
            </w:r>
          </w:p>
        </w:tc>
        <w:tc>
          <w:tcPr>
            <w:tcW w:w="1532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Liberia</w:t>
            </w:r>
          </w:p>
        </w:tc>
        <w:tc>
          <w:tcPr>
            <w:tcW w:w="1431" w:type="dxa"/>
            <w:noWrap/>
            <w:hideMark/>
          </w:tcPr>
          <w:p w:rsidR="00D649D2" w:rsidRPr="00A76EC5" w:rsidRDefault="00D649D2" w:rsidP="004B35FC">
            <w:pPr>
              <w:pStyle w:val="form-control-static"/>
              <w:shd w:val="clear" w:color="auto" w:fill="FFFFFF"/>
              <w:tabs>
                <w:tab w:val="left" w:pos="-284"/>
              </w:tabs>
              <w:spacing w:after="120"/>
              <w:rPr>
                <w:color w:val="4A4A4A"/>
                <w:sz w:val="18"/>
                <w:szCs w:val="18"/>
              </w:rPr>
            </w:pPr>
            <w:r w:rsidRPr="00A76EC5">
              <w:rPr>
                <w:color w:val="4A4A4A"/>
                <w:sz w:val="18"/>
                <w:szCs w:val="18"/>
              </w:rPr>
              <w:t>BA</w:t>
            </w:r>
          </w:p>
        </w:tc>
      </w:tr>
    </w:tbl>
    <w:tbl>
      <w:tblPr>
        <w:tblW w:w="10314" w:type="dxa"/>
        <w:tblInd w:w="-318" w:type="dxa"/>
        <w:tblLook w:val="04A0" w:firstRow="1" w:lastRow="0" w:firstColumn="1" w:lastColumn="0" w:noHBand="0" w:noVBand="1"/>
      </w:tblPr>
      <w:tblGrid>
        <w:gridCol w:w="1091"/>
        <w:gridCol w:w="577"/>
        <w:gridCol w:w="2011"/>
        <w:gridCol w:w="1361"/>
        <w:gridCol w:w="1091"/>
        <w:gridCol w:w="556"/>
        <w:gridCol w:w="2210"/>
        <w:gridCol w:w="1417"/>
      </w:tblGrid>
      <w:tr w:rsidR="00D649D2" w:rsidRPr="00C31AF0" w:rsidTr="004B35FC">
        <w:trPr>
          <w:trHeight w:val="269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8446D7" w:rsidRDefault="008446D7" w:rsidP="004B35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en-US"/>
              </w:rPr>
              <w:t>Последний год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8446D7" w:rsidRDefault="008446D7" w:rsidP="004B35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en-US"/>
              </w:rPr>
              <w:t xml:space="preserve">Код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M49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8446D7" w:rsidRDefault="008446D7" w:rsidP="004B35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en-US"/>
              </w:rPr>
              <w:t>Страна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8446D7" w:rsidRDefault="008446D7" w:rsidP="004B35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en-US"/>
              </w:rPr>
              <w:t>Уровень правительства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8446D7" w:rsidRDefault="008446D7" w:rsidP="004B35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en-US"/>
              </w:rPr>
              <w:t>Последний год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8446D7" w:rsidRDefault="008446D7" w:rsidP="004B35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en-US"/>
              </w:rPr>
              <w:t xml:space="preserve">Код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M49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8446D7" w:rsidRDefault="008446D7" w:rsidP="004B35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en-US"/>
              </w:rPr>
              <w:t>Страна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8446D7" w:rsidP="004B35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en-US"/>
              </w:rPr>
              <w:t>Уровень правительства</w:t>
            </w:r>
            <w:r w:rsidR="00D649D2" w:rsidRPr="00A76E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</w:tr>
      <w:tr w:rsidR="00D649D2" w:rsidRPr="00C31AF0" w:rsidTr="004B35FC">
        <w:trPr>
          <w:trHeight w:val="26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440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Lithuania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GG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662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Saint Lucia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BA</w:t>
            </w:r>
          </w:p>
        </w:tc>
      </w:tr>
      <w:tr w:rsidR="00D649D2" w:rsidRPr="00C31AF0" w:rsidTr="004B35FC">
        <w:trPr>
          <w:trHeight w:val="26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442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Luxembourg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GG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670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Saint Vincent and the Grenadines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BA</w:t>
            </w:r>
          </w:p>
        </w:tc>
      </w:tr>
      <w:tr w:rsidR="00D649D2" w:rsidRPr="00C31AF0" w:rsidTr="004B35FC">
        <w:trPr>
          <w:trHeight w:val="26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450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Madagascar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BA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882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Samoa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BA</w:t>
            </w:r>
          </w:p>
        </w:tc>
      </w:tr>
      <w:tr w:rsidR="00D649D2" w:rsidRPr="00C31AF0" w:rsidTr="004B35FC">
        <w:trPr>
          <w:trHeight w:val="26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454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Malawi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BA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678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Sao Tome and Principe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BA</w:t>
            </w:r>
          </w:p>
        </w:tc>
      </w:tr>
      <w:tr w:rsidR="00D649D2" w:rsidRPr="00C31AF0" w:rsidTr="004B35FC">
        <w:trPr>
          <w:trHeight w:val="26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458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Malaysia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BA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682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Saudi Arabia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BA</w:t>
            </w:r>
          </w:p>
        </w:tc>
      </w:tr>
      <w:tr w:rsidR="00D649D2" w:rsidRPr="00C31AF0" w:rsidTr="004B35FC">
        <w:trPr>
          <w:trHeight w:val="26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462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Maldives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CG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686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Senegal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BA</w:t>
            </w:r>
          </w:p>
        </w:tc>
      </w:tr>
      <w:tr w:rsidR="00D649D2" w:rsidRPr="00C31AF0" w:rsidTr="004B35FC">
        <w:trPr>
          <w:trHeight w:val="26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466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Mali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BA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688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Serbia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GG</w:t>
            </w:r>
          </w:p>
        </w:tc>
      </w:tr>
      <w:tr w:rsidR="00D649D2" w:rsidRPr="00C31AF0" w:rsidTr="004B35FC">
        <w:trPr>
          <w:trHeight w:val="26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470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Malta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GG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690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Seychelles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GG</w:t>
            </w:r>
          </w:p>
        </w:tc>
      </w:tr>
      <w:tr w:rsidR="00D649D2" w:rsidRPr="00C31AF0" w:rsidTr="004B35FC">
        <w:trPr>
          <w:trHeight w:val="26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584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Marshall Islands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BA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694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Sierra Leone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BA</w:t>
            </w:r>
          </w:p>
        </w:tc>
      </w:tr>
      <w:tr w:rsidR="00D649D2" w:rsidRPr="00C31AF0" w:rsidTr="004B35FC">
        <w:trPr>
          <w:trHeight w:val="26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478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Mauritania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BA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702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Singapore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GG</w:t>
            </w:r>
          </w:p>
        </w:tc>
      </w:tr>
      <w:tr w:rsidR="00D649D2" w:rsidRPr="00C31AF0" w:rsidTr="004B35FC">
        <w:trPr>
          <w:trHeight w:val="26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480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Mauritius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GG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703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Slovakia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GG</w:t>
            </w:r>
          </w:p>
        </w:tc>
      </w:tr>
      <w:tr w:rsidR="00D649D2" w:rsidRPr="00C31AF0" w:rsidTr="004B35FC">
        <w:trPr>
          <w:trHeight w:val="26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484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Mexico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CG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705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Slovenia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GG</w:t>
            </w:r>
          </w:p>
        </w:tc>
      </w:tr>
      <w:tr w:rsidR="00D649D2" w:rsidRPr="00C31AF0" w:rsidTr="004B35FC">
        <w:trPr>
          <w:trHeight w:val="26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583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Micronesia (Federated States of)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BA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90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Solomon Islands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BA</w:t>
            </w:r>
          </w:p>
        </w:tc>
      </w:tr>
      <w:tr w:rsidR="00D649D2" w:rsidRPr="00C31AF0" w:rsidTr="004B35FC">
        <w:trPr>
          <w:trHeight w:val="26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496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Mongolia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GG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706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Somalia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CG</w:t>
            </w:r>
          </w:p>
        </w:tc>
      </w:tr>
      <w:tr w:rsidR="00D649D2" w:rsidRPr="00C31AF0" w:rsidTr="004B35FC">
        <w:trPr>
          <w:trHeight w:val="26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499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Montenegro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BA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710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South Africa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GG</w:t>
            </w:r>
          </w:p>
        </w:tc>
      </w:tr>
      <w:tr w:rsidR="00D649D2" w:rsidRPr="00C31AF0" w:rsidTr="004B35FC">
        <w:trPr>
          <w:trHeight w:val="26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504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Morocco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BA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728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South Sudan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GG</w:t>
            </w:r>
          </w:p>
        </w:tc>
      </w:tr>
      <w:tr w:rsidR="00D649D2" w:rsidRPr="00C31AF0" w:rsidTr="004B35FC">
        <w:trPr>
          <w:trHeight w:val="26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508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Mozambique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BA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724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Spain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GG</w:t>
            </w:r>
          </w:p>
        </w:tc>
      </w:tr>
      <w:tr w:rsidR="00D649D2" w:rsidRPr="00C31AF0" w:rsidTr="004B35FC">
        <w:trPr>
          <w:trHeight w:val="26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104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Myanmar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GG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144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Sri Lanka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BA</w:t>
            </w:r>
          </w:p>
        </w:tc>
      </w:tr>
      <w:tr w:rsidR="00D649D2" w:rsidRPr="00C31AF0" w:rsidTr="004B35FC">
        <w:trPr>
          <w:trHeight w:val="26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516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Namibia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BA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275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State of Palestine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CG</w:t>
            </w:r>
          </w:p>
        </w:tc>
      </w:tr>
      <w:tr w:rsidR="00D649D2" w:rsidRPr="00C31AF0" w:rsidTr="004B35FC">
        <w:trPr>
          <w:trHeight w:val="26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524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Nepal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BA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729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Sudan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CG</w:t>
            </w:r>
          </w:p>
        </w:tc>
      </w:tr>
      <w:tr w:rsidR="00D649D2" w:rsidRPr="00C31AF0" w:rsidTr="004B35FC">
        <w:trPr>
          <w:trHeight w:val="26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528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Netherlands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GG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740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Suriname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BA</w:t>
            </w:r>
          </w:p>
        </w:tc>
      </w:tr>
      <w:tr w:rsidR="00D649D2" w:rsidRPr="00C31AF0" w:rsidTr="004B35FC">
        <w:trPr>
          <w:trHeight w:val="26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554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New Zealand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GG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752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Sweden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GG</w:t>
            </w:r>
          </w:p>
        </w:tc>
      </w:tr>
      <w:tr w:rsidR="00D649D2" w:rsidRPr="00C31AF0" w:rsidTr="004B35FC">
        <w:trPr>
          <w:trHeight w:val="26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558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Nicaragua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CG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756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Switzerland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GG</w:t>
            </w:r>
          </w:p>
        </w:tc>
      </w:tr>
      <w:tr w:rsidR="00D649D2" w:rsidRPr="00C31AF0" w:rsidTr="004B35FC">
        <w:trPr>
          <w:trHeight w:val="26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562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Niger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BA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762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Tajikistan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GG</w:t>
            </w:r>
          </w:p>
        </w:tc>
      </w:tr>
      <w:tr w:rsidR="00D649D2" w:rsidRPr="00C31AF0" w:rsidTr="004B35FC">
        <w:trPr>
          <w:trHeight w:val="26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566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Nigeria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BA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764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Thailand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GG</w:t>
            </w:r>
          </w:p>
        </w:tc>
      </w:tr>
      <w:tr w:rsidR="00D649D2" w:rsidRPr="00C31AF0" w:rsidTr="004B35FC">
        <w:trPr>
          <w:trHeight w:val="26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807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North Macedonia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GG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626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Timor-Leste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BA</w:t>
            </w:r>
          </w:p>
        </w:tc>
      </w:tr>
      <w:tr w:rsidR="00D649D2" w:rsidRPr="00C31AF0" w:rsidTr="004B35FC">
        <w:trPr>
          <w:trHeight w:val="26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578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Norway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GG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768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Togo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GG</w:t>
            </w:r>
          </w:p>
        </w:tc>
      </w:tr>
      <w:tr w:rsidR="00D649D2" w:rsidRPr="00C31AF0" w:rsidTr="004B35FC">
        <w:trPr>
          <w:trHeight w:val="26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512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Oman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GG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780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Trinidad and Tobago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CG</w:t>
            </w:r>
          </w:p>
        </w:tc>
      </w:tr>
      <w:tr w:rsidR="00D649D2" w:rsidRPr="00C31AF0" w:rsidTr="004B35FC">
        <w:trPr>
          <w:trHeight w:val="26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586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Pakistan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GG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788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Tunisia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BA</w:t>
            </w:r>
          </w:p>
        </w:tc>
      </w:tr>
      <w:tr w:rsidR="00D649D2" w:rsidRPr="00C31AF0" w:rsidTr="004B35FC">
        <w:trPr>
          <w:trHeight w:val="26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585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Palau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BA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792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Turkey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GG</w:t>
            </w:r>
          </w:p>
        </w:tc>
      </w:tr>
      <w:tr w:rsidR="00D649D2" w:rsidRPr="00C31AF0" w:rsidTr="004B35FC">
        <w:trPr>
          <w:trHeight w:val="26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591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Panama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BA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800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Uganda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GG</w:t>
            </w:r>
          </w:p>
        </w:tc>
      </w:tr>
      <w:tr w:rsidR="00D649D2" w:rsidRPr="00C31AF0" w:rsidTr="004B35FC">
        <w:trPr>
          <w:trHeight w:val="26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598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Papua New Guinea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BA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804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Ukraine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GG</w:t>
            </w:r>
          </w:p>
        </w:tc>
      </w:tr>
      <w:tr w:rsidR="00D649D2" w:rsidRPr="00C31AF0" w:rsidTr="004B35FC">
        <w:trPr>
          <w:trHeight w:val="26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600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Paraguay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GG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784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United Arab Emirates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BA</w:t>
            </w:r>
          </w:p>
        </w:tc>
      </w:tr>
      <w:tr w:rsidR="00D649D2" w:rsidRPr="00C31AF0" w:rsidTr="004B35FC">
        <w:trPr>
          <w:trHeight w:val="26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604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Peru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GG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826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UK of Great Britain and Northern Ireland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GG</w:t>
            </w:r>
          </w:p>
        </w:tc>
      </w:tr>
      <w:tr w:rsidR="00D649D2" w:rsidRPr="00C31AF0" w:rsidTr="004B35FC">
        <w:trPr>
          <w:trHeight w:val="26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608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Philippines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BA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834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United Republic of Tanzania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BA</w:t>
            </w:r>
          </w:p>
        </w:tc>
      </w:tr>
      <w:tr w:rsidR="00D649D2" w:rsidRPr="00C31AF0" w:rsidTr="004B35FC">
        <w:trPr>
          <w:trHeight w:val="26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616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Poland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GG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840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United States of America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GG</w:t>
            </w:r>
          </w:p>
        </w:tc>
      </w:tr>
      <w:tr w:rsidR="00D649D2" w:rsidRPr="00C31AF0" w:rsidTr="004B35FC">
        <w:trPr>
          <w:trHeight w:val="26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620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Portugal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GG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858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Uruguay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CG</w:t>
            </w:r>
          </w:p>
        </w:tc>
      </w:tr>
      <w:tr w:rsidR="00D649D2" w:rsidRPr="00C31AF0" w:rsidTr="004B35FC">
        <w:trPr>
          <w:trHeight w:val="26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634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Qatar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BA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860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Uzbekistan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GG</w:t>
            </w:r>
          </w:p>
        </w:tc>
      </w:tr>
      <w:tr w:rsidR="00D649D2" w:rsidRPr="00C31AF0" w:rsidTr="004B35FC">
        <w:trPr>
          <w:trHeight w:val="26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410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Republic of Korea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CG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548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Vanuatu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BA</w:t>
            </w:r>
          </w:p>
        </w:tc>
      </w:tr>
      <w:tr w:rsidR="00D649D2" w:rsidRPr="00C31AF0" w:rsidTr="004B35FC">
        <w:trPr>
          <w:trHeight w:val="26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498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Republic of Moldova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GG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862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Venezuela (Bolivarian Republic of)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CG</w:t>
            </w:r>
          </w:p>
        </w:tc>
      </w:tr>
      <w:tr w:rsidR="00D649D2" w:rsidRPr="00C31AF0" w:rsidTr="004B35FC">
        <w:trPr>
          <w:trHeight w:val="26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642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Romania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GG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704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Viet Nam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GG</w:t>
            </w:r>
          </w:p>
        </w:tc>
      </w:tr>
      <w:tr w:rsidR="00D649D2" w:rsidRPr="00C31AF0" w:rsidTr="004B35FC">
        <w:trPr>
          <w:trHeight w:val="26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643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Russian Federation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GG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887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Yemen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GG</w:t>
            </w:r>
          </w:p>
        </w:tc>
      </w:tr>
      <w:tr w:rsidR="00D649D2" w:rsidRPr="00C31AF0" w:rsidTr="004B35FC">
        <w:trPr>
          <w:trHeight w:val="26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646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Rwanda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GG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894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Zambia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BA</w:t>
            </w:r>
          </w:p>
        </w:tc>
      </w:tr>
      <w:tr w:rsidR="00D649D2" w:rsidRPr="00C31AF0" w:rsidTr="004B35FC">
        <w:trPr>
          <w:trHeight w:val="14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659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Saint Kitts and Nevis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CG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716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Zimbabwe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D2" w:rsidRPr="00A76EC5" w:rsidRDefault="00D649D2" w:rsidP="004B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76E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BA</w:t>
            </w:r>
          </w:p>
        </w:tc>
      </w:tr>
    </w:tbl>
    <w:p w:rsidR="00186795" w:rsidRPr="000F77D0" w:rsidRDefault="00186795" w:rsidP="004B35FC">
      <w:pPr>
        <w:pStyle w:val="MText"/>
      </w:pPr>
    </w:p>
    <w:sectPr w:rsidR="00186795" w:rsidRPr="000F77D0" w:rsidSect="008446D7">
      <w:headerReference w:type="default" r:id="rId19"/>
      <w:footerReference w:type="default" r:id="rId20"/>
      <w:pgSz w:w="11906" w:h="16838"/>
      <w:pgMar w:top="1440" w:right="17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F80" w:rsidRDefault="00D97F80" w:rsidP="00573C0B">
      <w:pPr>
        <w:spacing w:after="0" w:line="240" w:lineRule="auto"/>
      </w:pPr>
      <w:r>
        <w:separator/>
      </w:r>
    </w:p>
  </w:endnote>
  <w:endnote w:type="continuationSeparator" w:id="0">
    <w:p w:rsidR="00D97F80" w:rsidRDefault="00D97F80" w:rsidP="00573C0B">
      <w:pPr>
        <w:spacing w:after="0" w:line="240" w:lineRule="auto"/>
      </w:pPr>
      <w:r>
        <w:continuationSeparator/>
      </w:r>
    </w:p>
  </w:endnote>
  <w:endnote w:type="continuationNotice" w:id="1">
    <w:p w:rsidR="00D97F80" w:rsidRDefault="00D97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F80" w:rsidRPr="00234862" w:rsidRDefault="00D97F80">
    <w:pPr>
      <w:pStyle w:val="ae"/>
      <w:rPr>
        <w:sz w:val="12"/>
        <w:lang w:val="ru-RU"/>
      </w:rPr>
    </w:pPr>
    <w:r w:rsidRPr="00234862">
      <w:rPr>
        <w:sz w:val="12"/>
        <w:lang w:val="ru-RU"/>
      </w:rPr>
      <w:t>29.07.2024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F80" w:rsidRDefault="00D97F80" w:rsidP="00573C0B">
      <w:pPr>
        <w:spacing w:after="0" w:line="240" w:lineRule="auto"/>
      </w:pPr>
      <w:r>
        <w:separator/>
      </w:r>
    </w:p>
  </w:footnote>
  <w:footnote w:type="continuationSeparator" w:id="0">
    <w:p w:rsidR="00D97F80" w:rsidRDefault="00D97F80" w:rsidP="00573C0B">
      <w:pPr>
        <w:spacing w:after="0" w:line="240" w:lineRule="auto"/>
      </w:pPr>
      <w:r>
        <w:continuationSeparator/>
      </w:r>
    </w:p>
  </w:footnote>
  <w:footnote w:type="continuationNotice" w:id="1">
    <w:p w:rsidR="00D97F80" w:rsidRDefault="00D97F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F80" w:rsidRDefault="00D97F80" w:rsidP="00C441A1">
    <w:pPr>
      <w:pStyle w:val="ac"/>
      <w:jc w:val="right"/>
      <w:rPr>
        <w:color w:val="404040" w:themeColor="text1" w:themeTint="BF"/>
        <w:sz w:val="18"/>
        <w:szCs w:val="18"/>
        <w:lang w:val="ru-RU"/>
      </w:rPr>
    </w:pPr>
    <w:bookmarkStart w:id="6" w:name="_Hlk506197003"/>
    <w:bookmarkStart w:id="7" w:name="_Hlk506197004"/>
    <w:bookmarkStart w:id="8" w:name="_Hlk506197005"/>
    <w:bookmarkStart w:id="9" w:name="_Hlk516233502"/>
    <w:bookmarkStart w:id="10" w:name="_Hlk516233503"/>
    <w:bookmarkStart w:id="11" w:name="_Hlk516233504"/>
    <w:r>
      <w:rPr>
        <w:color w:val="404040" w:themeColor="text1" w:themeTint="BF"/>
        <w:sz w:val="18"/>
        <w:szCs w:val="18"/>
        <w:lang w:val="ru-RU"/>
      </w:rPr>
      <w:t>Неофициальный перевод</w:t>
    </w:r>
  </w:p>
  <w:p w:rsidR="00D97F80" w:rsidRPr="00D97F80" w:rsidRDefault="00D97F80" w:rsidP="00C441A1">
    <w:pPr>
      <w:pStyle w:val="ac"/>
      <w:jc w:val="right"/>
      <w:rPr>
        <w:color w:val="404040" w:themeColor="text1" w:themeTint="BF"/>
        <w:sz w:val="18"/>
        <w:szCs w:val="18"/>
        <w:lang w:val="ru-RU"/>
      </w:rPr>
    </w:pPr>
    <w:r>
      <w:rPr>
        <w:color w:val="404040" w:themeColor="text1" w:themeTint="BF"/>
        <w:sz w:val="18"/>
        <w:szCs w:val="18"/>
        <w:lang w:val="ru-RU"/>
      </w:rPr>
      <w:t>Дата перевода</w:t>
    </w:r>
    <w:r w:rsidRPr="00D97F80">
      <w:rPr>
        <w:color w:val="404040" w:themeColor="text1" w:themeTint="BF"/>
        <w:sz w:val="18"/>
        <w:szCs w:val="18"/>
        <w:lang w:val="ru-RU"/>
      </w:rPr>
      <w:t>:</w:t>
    </w:r>
    <w:bookmarkEnd w:id="6"/>
    <w:bookmarkEnd w:id="7"/>
    <w:bookmarkEnd w:id="8"/>
    <w:bookmarkEnd w:id="9"/>
    <w:bookmarkEnd w:id="10"/>
    <w:bookmarkEnd w:id="11"/>
    <w:r w:rsidRPr="00D97F80">
      <w:rPr>
        <w:color w:val="404040" w:themeColor="text1" w:themeTint="BF"/>
        <w:sz w:val="18"/>
        <w:szCs w:val="18"/>
        <w:lang w:val="ru-RU"/>
      </w:rPr>
      <w:t xml:space="preserve"> </w:t>
    </w:r>
    <w:r>
      <w:rPr>
        <w:color w:val="404040" w:themeColor="text1" w:themeTint="BF"/>
        <w:sz w:val="18"/>
        <w:szCs w:val="18"/>
        <w:lang w:val="ru-RU"/>
      </w:rPr>
      <w:t>сентябрь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630E"/>
    <w:multiLevelType w:val="hybridMultilevel"/>
    <w:tmpl w:val="DBD4E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D7999"/>
    <w:multiLevelType w:val="hybridMultilevel"/>
    <w:tmpl w:val="6C4C30DA"/>
    <w:lvl w:ilvl="0" w:tplc="D90EA9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35FE4"/>
    <w:multiLevelType w:val="multilevel"/>
    <w:tmpl w:val="0686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8527F0"/>
    <w:multiLevelType w:val="hybridMultilevel"/>
    <w:tmpl w:val="467EA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00CE1A">
      <w:start w:val="3"/>
      <w:numFmt w:val="bullet"/>
      <w:lvlText w:val="•"/>
      <w:lvlJc w:val="left"/>
      <w:pPr>
        <w:ind w:left="1560" w:hanging="48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233C8"/>
    <w:multiLevelType w:val="hybridMultilevel"/>
    <w:tmpl w:val="59FA37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C5F1D"/>
    <w:multiLevelType w:val="hybridMultilevel"/>
    <w:tmpl w:val="668A5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15904"/>
    <w:multiLevelType w:val="hybridMultilevel"/>
    <w:tmpl w:val="91026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154AE"/>
    <w:multiLevelType w:val="hybridMultilevel"/>
    <w:tmpl w:val="A4F60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47E2B"/>
    <w:multiLevelType w:val="hybridMultilevel"/>
    <w:tmpl w:val="57DE6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93CEE"/>
    <w:multiLevelType w:val="hybridMultilevel"/>
    <w:tmpl w:val="4C8C0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06EEF"/>
    <w:multiLevelType w:val="hybridMultilevel"/>
    <w:tmpl w:val="083E77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3A65E4"/>
    <w:multiLevelType w:val="hybridMultilevel"/>
    <w:tmpl w:val="FA7C1F52"/>
    <w:lvl w:ilvl="0" w:tplc="46CA2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E16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86F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E0A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B48B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68F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EB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2EC0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327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25581"/>
    <w:multiLevelType w:val="hybridMultilevel"/>
    <w:tmpl w:val="548A9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AE4B30"/>
    <w:multiLevelType w:val="hybridMultilevel"/>
    <w:tmpl w:val="6A8E4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5344F4"/>
    <w:multiLevelType w:val="multilevel"/>
    <w:tmpl w:val="2AF8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BE70ED"/>
    <w:multiLevelType w:val="hybridMultilevel"/>
    <w:tmpl w:val="EA708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290EEA"/>
    <w:multiLevelType w:val="hybridMultilevel"/>
    <w:tmpl w:val="B4F48314"/>
    <w:lvl w:ilvl="0" w:tplc="35EC076A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  <w:szCs w:val="21"/>
      </w:rPr>
    </w:lvl>
    <w:lvl w:ilvl="1" w:tplc="699C110C" w:tentative="1">
      <w:start w:val="1"/>
      <w:numFmt w:val="lowerLetter"/>
      <w:lvlText w:val="%2."/>
      <w:lvlJc w:val="left"/>
      <w:pPr>
        <w:ind w:left="1440" w:hanging="360"/>
      </w:pPr>
    </w:lvl>
    <w:lvl w:ilvl="2" w:tplc="7C6E28E2" w:tentative="1">
      <w:start w:val="1"/>
      <w:numFmt w:val="lowerRoman"/>
      <w:lvlText w:val="%3."/>
      <w:lvlJc w:val="right"/>
      <w:pPr>
        <w:ind w:left="2160" w:hanging="180"/>
      </w:pPr>
    </w:lvl>
    <w:lvl w:ilvl="3" w:tplc="EEF859EA" w:tentative="1">
      <w:start w:val="1"/>
      <w:numFmt w:val="decimal"/>
      <w:lvlText w:val="%4."/>
      <w:lvlJc w:val="left"/>
      <w:pPr>
        <w:ind w:left="2880" w:hanging="360"/>
      </w:pPr>
    </w:lvl>
    <w:lvl w:ilvl="4" w:tplc="C8A0517C" w:tentative="1">
      <w:start w:val="1"/>
      <w:numFmt w:val="lowerLetter"/>
      <w:lvlText w:val="%5."/>
      <w:lvlJc w:val="left"/>
      <w:pPr>
        <w:ind w:left="3600" w:hanging="360"/>
      </w:pPr>
    </w:lvl>
    <w:lvl w:ilvl="5" w:tplc="7E3EA592" w:tentative="1">
      <w:start w:val="1"/>
      <w:numFmt w:val="lowerRoman"/>
      <w:lvlText w:val="%6."/>
      <w:lvlJc w:val="right"/>
      <w:pPr>
        <w:ind w:left="4320" w:hanging="180"/>
      </w:pPr>
    </w:lvl>
    <w:lvl w:ilvl="6" w:tplc="6F78EF80" w:tentative="1">
      <w:start w:val="1"/>
      <w:numFmt w:val="decimal"/>
      <w:lvlText w:val="%7."/>
      <w:lvlJc w:val="left"/>
      <w:pPr>
        <w:ind w:left="5040" w:hanging="360"/>
      </w:pPr>
    </w:lvl>
    <w:lvl w:ilvl="7" w:tplc="A68A7810" w:tentative="1">
      <w:start w:val="1"/>
      <w:numFmt w:val="lowerLetter"/>
      <w:lvlText w:val="%8."/>
      <w:lvlJc w:val="left"/>
      <w:pPr>
        <w:ind w:left="5760" w:hanging="360"/>
      </w:pPr>
    </w:lvl>
    <w:lvl w:ilvl="8" w:tplc="79A29F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BB4734"/>
    <w:multiLevelType w:val="hybridMultilevel"/>
    <w:tmpl w:val="38CE9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FB0013"/>
    <w:multiLevelType w:val="hybridMultilevel"/>
    <w:tmpl w:val="256C27CC"/>
    <w:lvl w:ilvl="0" w:tplc="9F120FBE">
      <w:start w:val="1"/>
      <w:numFmt w:val="decimal"/>
      <w:lvlText w:val="%1."/>
      <w:lvlJc w:val="left"/>
      <w:pPr>
        <w:ind w:left="720" w:hanging="360"/>
      </w:pPr>
    </w:lvl>
    <w:lvl w:ilvl="1" w:tplc="6204BFAA" w:tentative="1">
      <w:start w:val="1"/>
      <w:numFmt w:val="lowerLetter"/>
      <w:lvlText w:val="%2."/>
      <w:lvlJc w:val="left"/>
      <w:pPr>
        <w:ind w:left="1440" w:hanging="360"/>
      </w:pPr>
    </w:lvl>
    <w:lvl w:ilvl="2" w:tplc="98081994" w:tentative="1">
      <w:start w:val="1"/>
      <w:numFmt w:val="lowerRoman"/>
      <w:lvlText w:val="%3."/>
      <w:lvlJc w:val="right"/>
      <w:pPr>
        <w:ind w:left="2160" w:hanging="180"/>
      </w:pPr>
    </w:lvl>
    <w:lvl w:ilvl="3" w:tplc="A5B21C28" w:tentative="1">
      <w:start w:val="1"/>
      <w:numFmt w:val="decimal"/>
      <w:lvlText w:val="%4."/>
      <w:lvlJc w:val="left"/>
      <w:pPr>
        <w:ind w:left="2880" w:hanging="360"/>
      </w:pPr>
    </w:lvl>
    <w:lvl w:ilvl="4" w:tplc="AB4ACAC8" w:tentative="1">
      <w:start w:val="1"/>
      <w:numFmt w:val="lowerLetter"/>
      <w:lvlText w:val="%5."/>
      <w:lvlJc w:val="left"/>
      <w:pPr>
        <w:ind w:left="3600" w:hanging="360"/>
      </w:pPr>
    </w:lvl>
    <w:lvl w:ilvl="5" w:tplc="F9C8FBD4" w:tentative="1">
      <w:start w:val="1"/>
      <w:numFmt w:val="lowerRoman"/>
      <w:lvlText w:val="%6."/>
      <w:lvlJc w:val="right"/>
      <w:pPr>
        <w:ind w:left="4320" w:hanging="180"/>
      </w:pPr>
    </w:lvl>
    <w:lvl w:ilvl="6" w:tplc="8FE25802" w:tentative="1">
      <w:start w:val="1"/>
      <w:numFmt w:val="decimal"/>
      <w:lvlText w:val="%7."/>
      <w:lvlJc w:val="left"/>
      <w:pPr>
        <w:ind w:left="5040" w:hanging="360"/>
      </w:pPr>
    </w:lvl>
    <w:lvl w:ilvl="7" w:tplc="C608C65C" w:tentative="1">
      <w:start w:val="1"/>
      <w:numFmt w:val="lowerLetter"/>
      <w:lvlText w:val="%8."/>
      <w:lvlJc w:val="left"/>
      <w:pPr>
        <w:ind w:left="5760" w:hanging="360"/>
      </w:pPr>
    </w:lvl>
    <w:lvl w:ilvl="8" w:tplc="2B0CE4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891A8A"/>
    <w:multiLevelType w:val="hybridMultilevel"/>
    <w:tmpl w:val="92122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532FB5"/>
    <w:multiLevelType w:val="hybridMultilevel"/>
    <w:tmpl w:val="F014C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20"/>
  </w:num>
  <w:num w:numId="4">
    <w:abstractNumId w:val="9"/>
  </w:num>
  <w:num w:numId="5">
    <w:abstractNumId w:val="7"/>
  </w:num>
  <w:num w:numId="6">
    <w:abstractNumId w:val="5"/>
  </w:num>
  <w:num w:numId="7">
    <w:abstractNumId w:val="1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12"/>
  </w:num>
  <w:num w:numId="12">
    <w:abstractNumId w:val="2"/>
  </w:num>
  <w:num w:numId="13">
    <w:abstractNumId w:val="11"/>
  </w:num>
  <w:num w:numId="14">
    <w:abstractNumId w:val="18"/>
  </w:num>
  <w:num w:numId="15">
    <w:abstractNumId w:val="16"/>
  </w:num>
  <w:num w:numId="16">
    <w:abstractNumId w:val="17"/>
  </w:num>
  <w:num w:numId="17">
    <w:abstractNumId w:val="10"/>
  </w:num>
  <w:num w:numId="18">
    <w:abstractNumId w:val="8"/>
  </w:num>
  <w:num w:numId="19">
    <w:abstractNumId w:val="3"/>
  </w:num>
  <w:num w:numId="20">
    <w:abstractNumId w:val="19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cumentProtection w:edit="forms" w:enforcement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62"/>
    <w:rsid w:val="00004604"/>
    <w:rsid w:val="000070BA"/>
    <w:rsid w:val="00013D61"/>
    <w:rsid w:val="000173F9"/>
    <w:rsid w:val="000263F9"/>
    <w:rsid w:val="000412A0"/>
    <w:rsid w:val="00041975"/>
    <w:rsid w:val="00041F8B"/>
    <w:rsid w:val="00047DDA"/>
    <w:rsid w:val="0005455A"/>
    <w:rsid w:val="00054699"/>
    <w:rsid w:val="00061246"/>
    <w:rsid w:val="00071F07"/>
    <w:rsid w:val="00073094"/>
    <w:rsid w:val="0007759D"/>
    <w:rsid w:val="000777AB"/>
    <w:rsid w:val="00077F46"/>
    <w:rsid w:val="00090B11"/>
    <w:rsid w:val="00090FB1"/>
    <w:rsid w:val="00093CCB"/>
    <w:rsid w:val="00096186"/>
    <w:rsid w:val="00096D10"/>
    <w:rsid w:val="000979EC"/>
    <w:rsid w:val="000A2A1A"/>
    <w:rsid w:val="000A72E4"/>
    <w:rsid w:val="000B0E2F"/>
    <w:rsid w:val="000B2430"/>
    <w:rsid w:val="000D0B30"/>
    <w:rsid w:val="000E21F1"/>
    <w:rsid w:val="000F1D8A"/>
    <w:rsid w:val="000F2861"/>
    <w:rsid w:val="000F703E"/>
    <w:rsid w:val="000F77D0"/>
    <w:rsid w:val="001024D2"/>
    <w:rsid w:val="00115EA3"/>
    <w:rsid w:val="00120E86"/>
    <w:rsid w:val="00125DE9"/>
    <w:rsid w:val="001332E0"/>
    <w:rsid w:val="00134DE7"/>
    <w:rsid w:val="00185354"/>
    <w:rsid w:val="001854DC"/>
    <w:rsid w:val="00186795"/>
    <w:rsid w:val="00194D09"/>
    <w:rsid w:val="001A7D5C"/>
    <w:rsid w:val="001B60AA"/>
    <w:rsid w:val="001B63C8"/>
    <w:rsid w:val="001C1972"/>
    <w:rsid w:val="001C421F"/>
    <w:rsid w:val="001D360D"/>
    <w:rsid w:val="001F2066"/>
    <w:rsid w:val="00212434"/>
    <w:rsid w:val="00234862"/>
    <w:rsid w:val="00254415"/>
    <w:rsid w:val="00261A8D"/>
    <w:rsid w:val="00264F34"/>
    <w:rsid w:val="00272069"/>
    <w:rsid w:val="00283C1C"/>
    <w:rsid w:val="00291A00"/>
    <w:rsid w:val="00291A11"/>
    <w:rsid w:val="002926E6"/>
    <w:rsid w:val="002A28ED"/>
    <w:rsid w:val="002A315C"/>
    <w:rsid w:val="002A3342"/>
    <w:rsid w:val="002A64BA"/>
    <w:rsid w:val="002B4989"/>
    <w:rsid w:val="002C2510"/>
    <w:rsid w:val="002D714E"/>
    <w:rsid w:val="002E53C3"/>
    <w:rsid w:val="002E66FA"/>
    <w:rsid w:val="002F1468"/>
    <w:rsid w:val="002F5F0C"/>
    <w:rsid w:val="003265EB"/>
    <w:rsid w:val="00336C0C"/>
    <w:rsid w:val="003409B5"/>
    <w:rsid w:val="0034329E"/>
    <w:rsid w:val="00343FAA"/>
    <w:rsid w:val="00347F5E"/>
    <w:rsid w:val="00352B30"/>
    <w:rsid w:val="00353C98"/>
    <w:rsid w:val="00365477"/>
    <w:rsid w:val="00371A20"/>
    <w:rsid w:val="00375018"/>
    <w:rsid w:val="00375DC4"/>
    <w:rsid w:val="003814BB"/>
    <w:rsid w:val="003821B4"/>
    <w:rsid w:val="00382CF3"/>
    <w:rsid w:val="00387D52"/>
    <w:rsid w:val="003913F6"/>
    <w:rsid w:val="003A3A8F"/>
    <w:rsid w:val="003A7CEA"/>
    <w:rsid w:val="003B10B4"/>
    <w:rsid w:val="003C3A27"/>
    <w:rsid w:val="003F0BD3"/>
    <w:rsid w:val="003F278A"/>
    <w:rsid w:val="003F7A02"/>
    <w:rsid w:val="00420F4D"/>
    <w:rsid w:val="00422EA5"/>
    <w:rsid w:val="00422EFA"/>
    <w:rsid w:val="00424E58"/>
    <w:rsid w:val="0042791F"/>
    <w:rsid w:val="00427DA8"/>
    <w:rsid w:val="004456ED"/>
    <w:rsid w:val="00450736"/>
    <w:rsid w:val="00471393"/>
    <w:rsid w:val="0047190B"/>
    <w:rsid w:val="004723D0"/>
    <w:rsid w:val="0048045A"/>
    <w:rsid w:val="004841B8"/>
    <w:rsid w:val="004930F2"/>
    <w:rsid w:val="004A7E0D"/>
    <w:rsid w:val="004B0F1C"/>
    <w:rsid w:val="004B35FC"/>
    <w:rsid w:val="004D6D36"/>
    <w:rsid w:val="004F2EE6"/>
    <w:rsid w:val="004F3243"/>
    <w:rsid w:val="00502DBA"/>
    <w:rsid w:val="005040C4"/>
    <w:rsid w:val="00507637"/>
    <w:rsid w:val="00507852"/>
    <w:rsid w:val="00514DBF"/>
    <w:rsid w:val="005150F5"/>
    <w:rsid w:val="00523E53"/>
    <w:rsid w:val="00550921"/>
    <w:rsid w:val="00563712"/>
    <w:rsid w:val="00573631"/>
    <w:rsid w:val="00573C0B"/>
    <w:rsid w:val="00574703"/>
    <w:rsid w:val="00576CFA"/>
    <w:rsid w:val="00577848"/>
    <w:rsid w:val="0058556D"/>
    <w:rsid w:val="00592AF2"/>
    <w:rsid w:val="005947AD"/>
    <w:rsid w:val="00597748"/>
    <w:rsid w:val="005979E8"/>
    <w:rsid w:val="00597A4E"/>
    <w:rsid w:val="005B3783"/>
    <w:rsid w:val="005B56D5"/>
    <w:rsid w:val="005B711E"/>
    <w:rsid w:val="005C76B2"/>
    <w:rsid w:val="005D0AF4"/>
    <w:rsid w:val="005D5510"/>
    <w:rsid w:val="005D6DAC"/>
    <w:rsid w:val="005E2E34"/>
    <w:rsid w:val="005E54BD"/>
    <w:rsid w:val="005F6CCA"/>
    <w:rsid w:val="0060179C"/>
    <w:rsid w:val="006104AF"/>
    <w:rsid w:val="00621893"/>
    <w:rsid w:val="006322A4"/>
    <w:rsid w:val="006351E1"/>
    <w:rsid w:val="006447B1"/>
    <w:rsid w:val="00652EA7"/>
    <w:rsid w:val="00662775"/>
    <w:rsid w:val="006725E5"/>
    <w:rsid w:val="00672FA1"/>
    <w:rsid w:val="006775B8"/>
    <w:rsid w:val="006852FC"/>
    <w:rsid w:val="0069193E"/>
    <w:rsid w:val="006933FE"/>
    <w:rsid w:val="006A0DA2"/>
    <w:rsid w:val="006B40AB"/>
    <w:rsid w:val="006B5DC5"/>
    <w:rsid w:val="006B6CBA"/>
    <w:rsid w:val="006C4BFD"/>
    <w:rsid w:val="006C7D30"/>
    <w:rsid w:val="006E3C08"/>
    <w:rsid w:val="00700ACF"/>
    <w:rsid w:val="00712487"/>
    <w:rsid w:val="0071343D"/>
    <w:rsid w:val="0075257E"/>
    <w:rsid w:val="007530CA"/>
    <w:rsid w:val="007551F4"/>
    <w:rsid w:val="00756D68"/>
    <w:rsid w:val="007578D9"/>
    <w:rsid w:val="00757E8A"/>
    <w:rsid w:val="00763E43"/>
    <w:rsid w:val="00764EB5"/>
    <w:rsid w:val="007677B1"/>
    <w:rsid w:val="00777493"/>
    <w:rsid w:val="00777A95"/>
    <w:rsid w:val="00782416"/>
    <w:rsid w:val="00796AE7"/>
    <w:rsid w:val="007A1354"/>
    <w:rsid w:val="007B0364"/>
    <w:rsid w:val="007B4751"/>
    <w:rsid w:val="007C2FF5"/>
    <w:rsid w:val="007D0981"/>
    <w:rsid w:val="007D1929"/>
    <w:rsid w:val="00803CF1"/>
    <w:rsid w:val="008104BB"/>
    <w:rsid w:val="00816279"/>
    <w:rsid w:val="00822208"/>
    <w:rsid w:val="008249C5"/>
    <w:rsid w:val="008446D7"/>
    <w:rsid w:val="008526F9"/>
    <w:rsid w:val="0085285E"/>
    <w:rsid w:val="00853023"/>
    <w:rsid w:val="008534D4"/>
    <w:rsid w:val="00855F32"/>
    <w:rsid w:val="00864917"/>
    <w:rsid w:val="00873C70"/>
    <w:rsid w:val="00881E28"/>
    <w:rsid w:val="00882E4F"/>
    <w:rsid w:val="00894C4B"/>
    <w:rsid w:val="008A12E3"/>
    <w:rsid w:val="008A42FA"/>
    <w:rsid w:val="008A4EB9"/>
    <w:rsid w:val="008A7751"/>
    <w:rsid w:val="008B0AC7"/>
    <w:rsid w:val="008C2335"/>
    <w:rsid w:val="008C67C1"/>
    <w:rsid w:val="008D1D39"/>
    <w:rsid w:val="008E19FC"/>
    <w:rsid w:val="008F07D2"/>
    <w:rsid w:val="008F3E22"/>
    <w:rsid w:val="00902105"/>
    <w:rsid w:val="009166AC"/>
    <w:rsid w:val="00917851"/>
    <w:rsid w:val="00917F65"/>
    <w:rsid w:val="009311E7"/>
    <w:rsid w:val="009350B9"/>
    <w:rsid w:val="00942694"/>
    <w:rsid w:val="009A47E9"/>
    <w:rsid w:val="009A7E3A"/>
    <w:rsid w:val="009B1265"/>
    <w:rsid w:val="009B4A15"/>
    <w:rsid w:val="009B5693"/>
    <w:rsid w:val="009C61A2"/>
    <w:rsid w:val="009C78E4"/>
    <w:rsid w:val="009D687E"/>
    <w:rsid w:val="009D6A6F"/>
    <w:rsid w:val="009F6DE7"/>
    <w:rsid w:val="00A10583"/>
    <w:rsid w:val="00A232E8"/>
    <w:rsid w:val="00A37FCB"/>
    <w:rsid w:val="00A54863"/>
    <w:rsid w:val="00A6053A"/>
    <w:rsid w:val="00A61D74"/>
    <w:rsid w:val="00A8688B"/>
    <w:rsid w:val="00A91163"/>
    <w:rsid w:val="00A9286F"/>
    <w:rsid w:val="00A96255"/>
    <w:rsid w:val="00A96DB5"/>
    <w:rsid w:val="00AA55CC"/>
    <w:rsid w:val="00AB285B"/>
    <w:rsid w:val="00AB41AD"/>
    <w:rsid w:val="00AE3A9D"/>
    <w:rsid w:val="00AF5552"/>
    <w:rsid w:val="00AF5CB4"/>
    <w:rsid w:val="00AF5ED1"/>
    <w:rsid w:val="00AF71D6"/>
    <w:rsid w:val="00AF77A8"/>
    <w:rsid w:val="00B10373"/>
    <w:rsid w:val="00B13D97"/>
    <w:rsid w:val="00B216EE"/>
    <w:rsid w:val="00B221C0"/>
    <w:rsid w:val="00B30CE4"/>
    <w:rsid w:val="00B3175F"/>
    <w:rsid w:val="00B31E2C"/>
    <w:rsid w:val="00B329B0"/>
    <w:rsid w:val="00B402D8"/>
    <w:rsid w:val="00B4237C"/>
    <w:rsid w:val="00B42FE8"/>
    <w:rsid w:val="00B52AFD"/>
    <w:rsid w:val="00B54077"/>
    <w:rsid w:val="00B8087E"/>
    <w:rsid w:val="00B8166B"/>
    <w:rsid w:val="00B83BE2"/>
    <w:rsid w:val="00BA4759"/>
    <w:rsid w:val="00BB1243"/>
    <w:rsid w:val="00BB646E"/>
    <w:rsid w:val="00BD1BA1"/>
    <w:rsid w:val="00BE4A12"/>
    <w:rsid w:val="00BF1E54"/>
    <w:rsid w:val="00BF2D8D"/>
    <w:rsid w:val="00C019E5"/>
    <w:rsid w:val="00C35BC4"/>
    <w:rsid w:val="00C43F5B"/>
    <w:rsid w:val="00C441A1"/>
    <w:rsid w:val="00C478F0"/>
    <w:rsid w:val="00C6048C"/>
    <w:rsid w:val="00C630BA"/>
    <w:rsid w:val="00C6721B"/>
    <w:rsid w:val="00C734DC"/>
    <w:rsid w:val="00C81EB3"/>
    <w:rsid w:val="00C82FCE"/>
    <w:rsid w:val="00C851DA"/>
    <w:rsid w:val="00C921B9"/>
    <w:rsid w:val="00CB4371"/>
    <w:rsid w:val="00CC516D"/>
    <w:rsid w:val="00CF6BBB"/>
    <w:rsid w:val="00D234A2"/>
    <w:rsid w:val="00D24330"/>
    <w:rsid w:val="00D40056"/>
    <w:rsid w:val="00D42953"/>
    <w:rsid w:val="00D51E7C"/>
    <w:rsid w:val="00D53F1F"/>
    <w:rsid w:val="00D54F29"/>
    <w:rsid w:val="00D649D2"/>
    <w:rsid w:val="00D66EB9"/>
    <w:rsid w:val="00D7020C"/>
    <w:rsid w:val="00D70AD9"/>
    <w:rsid w:val="00D72152"/>
    <w:rsid w:val="00D94BA5"/>
    <w:rsid w:val="00D9510F"/>
    <w:rsid w:val="00D97F80"/>
    <w:rsid w:val="00DA0445"/>
    <w:rsid w:val="00DA615C"/>
    <w:rsid w:val="00DB4842"/>
    <w:rsid w:val="00DD1BC6"/>
    <w:rsid w:val="00DE5DC3"/>
    <w:rsid w:val="00DF3A7A"/>
    <w:rsid w:val="00E00D8A"/>
    <w:rsid w:val="00E1050F"/>
    <w:rsid w:val="00E11604"/>
    <w:rsid w:val="00E11D92"/>
    <w:rsid w:val="00E130A0"/>
    <w:rsid w:val="00E210C4"/>
    <w:rsid w:val="00E23DB7"/>
    <w:rsid w:val="00E4112A"/>
    <w:rsid w:val="00E46D96"/>
    <w:rsid w:val="00E52CCA"/>
    <w:rsid w:val="00E65C0F"/>
    <w:rsid w:val="00E66409"/>
    <w:rsid w:val="00E81D5B"/>
    <w:rsid w:val="00E976B9"/>
    <w:rsid w:val="00EA05D3"/>
    <w:rsid w:val="00EA0D9A"/>
    <w:rsid w:val="00EA61F1"/>
    <w:rsid w:val="00EB19AD"/>
    <w:rsid w:val="00EB2F31"/>
    <w:rsid w:val="00EB6493"/>
    <w:rsid w:val="00EB77A0"/>
    <w:rsid w:val="00EC2915"/>
    <w:rsid w:val="00ED05A9"/>
    <w:rsid w:val="00ED1BA0"/>
    <w:rsid w:val="00ED2E32"/>
    <w:rsid w:val="00ED4859"/>
    <w:rsid w:val="00ED52ED"/>
    <w:rsid w:val="00ED7A03"/>
    <w:rsid w:val="00EE3ACF"/>
    <w:rsid w:val="00EF1919"/>
    <w:rsid w:val="00EF1CD8"/>
    <w:rsid w:val="00EF21C7"/>
    <w:rsid w:val="00EF36DF"/>
    <w:rsid w:val="00EF3AB5"/>
    <w:rsid w:val="00F01BEF"/>
    <w:rsid w:val="00F02379"/>
    <w:rsid w:val="00F1274F"/>
    <w:rsid w:val="00F17257"/>
    <w:rsid w:val="00F2455F"/>
    <w:rsid w:val="00F34D24"/>
    <w:rsid w:val="00F366BD"/>
    <w:rsid w:val="00F4130B"/>
    <w:rsid w:val="00F556A2"/>
    <w:rsid w:val="00F62BE9"/>
    <w:rsid w:val="00F719A8"/>
    <w:rsid w:val="00F84049"/>
    <w:rsid w:val="00F878B9"/>
    <w:rsid w:val="00F904E9"/>
    <w:rsid w:val="00F967A0"/>
    <w:rsid w:val="00FA7D96"/>
    <w:rsid w:val="00FB0534"/>
    <w:rsid w:val="00FB24E8"/>
    <w:rsid w:val="00FB3B2B"/>
    <w:rsid w:val="00FC18DA"/>
    <w:rsid w:val="00FC3917"/>
    <w:rsid w:val="00FC60E3"/>
    <w:rsid w:val="00FD60DA"/>
    <w:rsid w:val="00FF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6D"/>
  </w:style>
  <w:style w:type="paragraph" w:styleId="1">
    <w:name w:val="heading 1"/>
    <w:basedOn w:val="a"/>
    <w:next w:val="a"/>
    <w:link w:val="10"/>
    <w:uiPriority w:val="9"/>
    <w:qFormat/>
    <w:rsid w:val="0058556D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9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7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AD9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A61D7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61D7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61D7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61D7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61D74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A61D7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21893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573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73C0B"/>
  </w:style>
  <w:style w:type="paragraph" w:styleId="ae">
    <w:name w:val="footer"/>
    <w:basedOn w:val="a"/>
    <w:link w:val="af"/>
    <w:uiPriority w:val="99"/>
    <w:unhideWhenUsed/>
    <w:rsid w:val="00573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3C0B"/>
  </w:style>
  <w:style w:type="paragraph" w:customStyle="1" w:styleId="MHeader">
    <w:name w:val="M.Header"/>
    <w:basedOn w:val="a"/>
    <w:link w:val="MHeaderChar"/>
    <w:qFormat/>
    <w:rsid w:val="00EA05D3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eastAsia="en-GB"/>
    </w:rPr>
  </w:style>
  <w:style w:type="paragraph" w:customStyle="1" w:styleId="MText">
    <w:name w:val="M.Text"/>
    <w:basedOn w:val="a"/>
    <w:link w:val="MTextChar"/>
    <w:qFormat/>
    <w:rsid w:val="00054699"/>
    <w:pPr>
      <w:shd w:val="clear" w:color="auto" w:fill="FFFFFF"/>
      <w:spacing w:after="0"/>
      <w:jc w:val="both"/>
    </w:pPr>
    <w:rPr>
      <w:rFonts w:eastAsia="Times New Roman" w:cs="Times New Roman"/>
      <w:color w:val="4A4A4A"/>
      <w:sz w:val="21"/>
      <w:szCs w:val="21"/>
      <w:lang w:val="ru-RU" w:eastAsia="en-GB"/>
    </w:rPr>
  </w:style>
  <w:style w:type="character" w:customStyle="1" w:styleId="MHeaderChar">
    <w:name w:val="M.Header Char"/>
    <w:basedOn w:val="a0"/>
    <w:link w:val="MHeader"/>
    <w:rsid w:val="00EA05D3"/>
    <w:rPr>
      <w:rFonts w:eastAsia="Times New Roman" w:cs="Times New Roman"/>
      <w:color w:val="1C75BC"/>
      <w:sz w:val="32"/>
      <w:szCs w:val="36"/>
      <w:shd w:val="clear" w:color="auto" w:fill="FFFFFF"/>
      <w:lang w:eastAsia="en-GB"/>
    </w:rPr>
  </w:style>
  <w:style w:type="paragraph" w:customStyle="1" w:styleId="MSubHeader">
    <w:name w:val="M.Sub.Header"/>
    <w:basedOn w:val="a"/>
    <w:link w:val="MSubHeaderChar"/>
    <w:qFormat/>
    <w:rsid w:val="00573C0B"/>
    <w:pPr>
      <w:shd w:val="clear" w:color="auto" w:fill="FFFFFF"/>
      <w:spacing w:after="0"/>
    </w:pPr>
    <w:rPr>
      <w:rFonts w:eastAsia="Times New Roman" w:cs="Times New Roman"/>
      <w:b/>
      <w:bCs/>
      <w:color w:val="4A4A4A"/>
      <w:sz w:val="21"/>
      <w:szCs w:val="21"/>
      <w:lang w:eastAsia="en-GB"/>
    </w:rPr>
  </w:style>
  <w:style w:type="character" w:customStyle="1" w:styleId="MTextChar">
    <w:name w:val="M.Text Char"/>
    <w:basedOn w:val="a0"/>
    <w:link w:val="MText"/>
    <w:rsid w:val="00054699"/>
    <w:rPr>
      <w:rFonts w:eastAsia="Times New Roman" w:cs="Times New Roman"/>
      <w:color w:val="4A4A4A"/>
      <w:sz w:val="21"/>
      <w:szCs w:val="21"/>
      <w:shd w:val="clear" w:color="auto" w:fill="FFFFFF"/>
      <w:lang w:val="ru-RU" w:eastAsia="en-GB"/>
    </w:rPr>
  </w:style>
  <w:style w:type="paragraph" w:customStyle="1" w:styleId="MGTHeader">
    <w:name w:val="M.G+T.Header"/>
    <w:basedOn w:val="a"/>
    <w:link w:val="MGTHeaderChar"/>
    <w:qFormat/>
    <w:rsid w:val="00F02379"/>
    <w:pPr>
      <w:shd w:val="clear" w:color="auto" w:fill="F5F5F5"/>
      <w:spacing w:after="100" w:line="240" w:lineRule="auto"/>
      <w:jc w:val="both"/>
      <w:outlineLvl w:val="4"/>
    </w:pPr>
    <w:rPr>
      <w:rFonts w:eastAsia="Times New Roman" w:cs="Times New Roman"/>
      <w:color w:val="333333"/>
      <w:sz w:val="21"/>
      <w:szCs w:val="21"/>
      <w:lang w:eastAsia="en-GB"/>
    </w:rPr>
  </w:style>
  <w:style w:type="character" w:customStyle="1" w:styleId="MSubHeaderChar">
    <w:name w:val="M.Sub.Header Char"/>
    <w:basedOn w:val="a0"/>
    <w:link w:val="MSubHeader"/>
    <w:rsid w:val="00573C0B"/>
    <w:rPr>
      <w:rFonts w:eastAsia="Times New Roman" w:cs="Times New Roman"/>
      <w:b/>
      <w:bCs/>
      <w:color w:val="4A4A4A"/>
      <w:sz w:val="21"/>
      <w:szCs w:val="21"/>
      <w:shd w:val="clear" w:color="auto" w:fill="FFFFFF"/>
      <w:lang w:eastAsia="en-GB"/>
    </w:rPr>
  </w:style>
  <w:style w:type="paragraph" w:customStyle="1" w:styleId="MIndHeader">
    <w:name w:val="M.Ind.Header"/>
    <w:basedOn w:val="a"/>
    <w:link w:val="MIndHeaderChar"/>
    <w:qFormat/>
    <w:rsid w:val="00EA05D3"/>
    <w:pPr>
      <w:shd w:val="clear" w:color="auto" w:fill="F5F5F5"/>
      <w:spacing w:after="100" w:line="240" w:lineRule="auto"/>
      <w:outlineLvl w:val="1"/>
    </w:pPr>
    <w:rPr>
      <w:rFonts w:eastAsia="Times New Roman" w:cs="Times New Roman"/>
      <w:color w:val="1C75BC"/>
      <w:sz w:val="26"/>
      <w:lang w:eastAsia="en-GB"/>
    </w:rPr>
  </w:style>
  <w:style w:type="character" w:customStyle="1" w:styleId="MGTHeaderChar">
    <w:name w:val="M.G+T.Header Char"/>
    <w:basedOn w:val="a0"/>
    <w:link w:val="MGTHeader"/>
    <w:rsid w:val="00F02379"/>
    <w:rPr>
      <w:rFonts w:eastAsia="Times New Roman" w:cs="Times New Roman"/>
      <w:color w:val="333333"/>
      <w:sz w:val="21"/>
      <w:szCs w:val="21"/>
      <w:shd w:val="clear" w:color="auto" w:fill="F5F5F5"/>
      <w:lang w:eastAsia="en-GB"/>
    </w:rPr>
  </w:style>
  <w:style w:type="character" w:customStyle="1" w:styleId="MIndHeaderChar">
    <w:name w:val="M.Ind.Header Char"/>
    <w:basedOn w:val="a0"/>
    <w:link w:val="MIndHeader"/>
    <w:rsid w:val="00EA05D3"/>
    <w:rPr>
      <w:rFonts w:eastAsia="Times New Roman" w:cs="Times New Roman"/>
      <w:color w:val="1C75BC"/>
      <w:sz w:val="26"/>
      <w:shd w:val="clear" w:color="auto" w:fill="F5F5F5"/>
      <w:lang w:eastAsia="en-GB"/>
    </w:rPr>
  </w:style>
  <w:style w:type="character" w:customStyle="1" w:styleId="UnresolvedMention1">
    <w:name w:val="Unresolved Mention1"/>
    <w:basedOn w:val="a0"/>
    <w:uiPriority w:val="99"/>
    <w:semiHidden/>
    <w:unhideWhenUsed/>
    <w:rsid w:val="00B329B0"/>
    <w:rPr>
      <w:color w:val="808080"/>
      <w:shd w:val="clear" w:color="auto" w:fill="E6E6E6"/>
    </w:rPr>
  </w:style>
  <w:style w:type="character" w:styleId="af0">
    <w:name w:val="Placeholder Text"/>
    <w:basedOn w:val="a0"/>
    <w:uiPriority w:val="99"/>
    <w:semiHidden/>
    <w:rsid w:val="00B329B0"/>
    <w:rPr>
      <w:color w:val="808080"/>
    </w:rPr>
  </w:style>
  <w:style w:type="table" w:styleId="af1">
    <w:name w:val="Table Grid"/>
    <w:basedOn w:val="a1"/>
    <w:uiPriority w:val="59"/>
    <w:rsid w:val="00DA6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A96255"/>
    <w:pPr>
      <w:spacing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A96255"/>
    <w:rPr>
      <w:rFonts w:eastAsiaTheme="minorHAnsi"/>
      <w:sz w:val="20"/>
      <w:szCs w:val="20"/>
      <w:lang w:val="en-US" w:eastAsia="en-US"/>
    </w:rPr>
  </w:style>
  <w:style w:type="paragraph" w:customStyle="1" w:styleId="MHeader2">
    <w:name w:val="M.Header2"/>
    <w:basedOn w:val="MHeader"/>
    <w:link w:val="MHeader2Char"/>
    <w:qFormat/>
    <w:rsid w:val="00EA05D3"/>
    <w:pPr>
      <w:spacing w:after="100" w:line="240" w:lineRule="auto"/>
    </w:pPr>
    <w:rPr>
      <w:sz w:val="26"/>
    </w:rPr>
  </w:style>
  <w:style w:type="paragraph" w:customStyle="1" w:styleId="MIndHeader2">
    <w:name w:val="M.Ind.Header2"/>
    <w:basedOn w:val="MIndHeader"/>
    <w:link w:val="MIndHeader2Char"/>
    <w:qFormat/>
    <w:rsid w:val="00EA05D3"/>
    <w:rPr>
      <w:sz w:val="32"/>
    </w:rPr>
  </w:style>
  <w:style w:type="character" w:customStyle="1" w:styleId="MHeader2Char">
    <w:name w:val="M.Header2 Char"/>
    <w:basedOn w:val="MHeaderChar"/>
    <w:link w:val="MHeader2"/>
    <w:rsid w:val="00EA05D3"/>
    <w:rPr>
      <w:rFonts w:eastAsia="Times New Roman" w:cs="Times New Roman"/>
      <w:color w:val="1C75BC"/>
      <w:sz w:val="26"/>
      <w:szCs w:val="36"/>
      <w:shd w:val="clear" w:color="auto" w:fill="FFFFFF"/>
      <w:lang w:eastAsia="en-GB"/>
    </w:rPr>
  </w:style>
  <w:style w:type="character" w:customStyle="1" w:styleId="MIndHeader2Char">
    <w:name w:val="M.Ind.Header2 Char"/>
    <w:basedOn w:val="MIndHeaderChar"/>
    <w:link w:val="MIndHeader2"/>
    <w:rsid w:val="00EA05D3"/>
    <w:rPr>
      <w:rFonts w:eastAsia="Times New Roman" w:cs="Times New Roman"/>
      <w:color w:val="1C75BC"/>
      <w:sz w:val="32"/>
      <w:shd w:val="clear" w:color="auto" w:fill="F5F5F5"/>
      <w:lang w:eastAsia="en-GB"/>
    </w:rPr>
  </w:style>
  <w:style w:type="paragraph" w:styleId="af4">
    <w:name w:val="Normal (Web)"/>
    <w:basedOn w:val="a"/>
    <w:uiPriority w:val="99"/>
    <w:unhideWhenUsed/>
    <w:rsid w:val="00ED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UnresolvedMention2">
    <w:name w:val="Unresolved Mention2"/>
    <w:basedOn w:val="a0"/>
    <w:uiPriority w:val="99"/>
    <w:unhideWhenUsed/>
    <w:rsid w:val="00EA61F1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0F2861"/>
    <w:rPr>
      <w:color w:val="800080" w:themeColor="followedHyperlink"/>
      <w:u w:val="single"/>
    </w:rPr>
  </w:style>
  <w:style w:type="paragraph" w:styleId="af6">
    <w:name w:val="Revision"/>
    <w:hidden/>
    <w:uiPriority w:val="99"/>
    <w:semiHidden/>
    <w:rsid w:val="00D53F1F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D649D2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form-control-static">
    <w:name w:val="form-control-static"/>
    <w:basedOn w:val="a"/>
    <w:rsid w:val="00D6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f7">
    <w:name w:val="Strong"/>
    <w:basedOn w:val="a0"/>
    <w:uiPriority w:val="22"/>
    <w:qFormat/>
    <w:rsid w:val="00D649D2"/>
    <w:rPr>
      <w:b/>
      <w:bCs/>
    </w:rPr>
  </w:style>
  <w:style w:type="character" w:customStyle="1" w:styleId="apple-converted-space">
    <w:name w:val="apple-converted-space"/>
    <w:basedOn w:val="a0"/>
    <w:rsid w:val="00D649D2"/>
  </w:style>
  <w:style w:type="paragraph" w:styleId="af8">
    <w:name w:val="No Spacing"/>
    <w:uiPriority w:val="1"/>
    <w:qFormat/>
    <w:rsid w:val="00D649D2"/>
    <w:pPr>
      <w:spacing w:after="0" w:line="240" w:lineRule="auto"/>
    </w:pPr>
  </w:style>
  <w:style w:type="character" w:customStyle="1" w:styleId="Mention1">
    <w:name w:val="Mention1"/>
    <w:basedOn w:val="a0"/>
    <w:uiPriority w:val="99"/>
    <w:unhideWhenUsed/>
    <w:rsid w:val="00D649D2"/>
    <w:rPr>
      <w:color w:val="2B579A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6D"/>
  </w:style>
  <w:style w:type="paragraph" w:styleId="1">
    <w:name w:val="heading 1"/>
    <w:basedOn w:val="a"/>
    <w:next w:val="a"/>
    <w:link w:val="10"/>
    <w:uiPriority w:val="9"/>
    <w:qFormat/>
    <w:rsid w:val="0058556D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9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7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AD9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A61D7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61D7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61D7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61D7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61D74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A61D7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21893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573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73C0B"/>
  </w:style>
  <w:style w:type="paragraph" w:styleId="ae">
    <w:name w:val="footer"/>
    <w:basedOn w:val="a"/>
    <w:link w:val="af"/>
    <w:uiPriority w:val="99"/>
    <w:unhideWhenUsed/>
    <w:rsid w:val="00573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3C0B"/>
  </w:style>
  <w:style w:type="paragraph" w:customStyle="1" w:styleId="MHeader">
    <w:name w:val="M.Header"/>
    <w:basedOn w:val="a"/>
    <w:link w:val="MHeaderChar"/>
    <w:qFormat/>
    <w:rsid w:val="00EA05D3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eastAsia="en-GB"/>
    </w:rPr>
  </w:style>
  <w:style w:type="paragraph" w:customStyle="1" w:styleId="MText">
    <w:name w:val="M.Text"/>
    <w:basedOn w:val="a"/>
    <w:link w:val="MTextChar"/>
    <w:qFormat/>
    <w:rsid w:val="00054699"/>
    <w:pPr>
      <w:shd w:val="clear" w:color="auto" w:fill="FFFFFF"/>
      <w:spacing w:after="0"/>
      <w:jc w:val="both"/>
    </w:pPr>
    <w:rPr>
      <w:rFonts w:eastAsia="Times New Roman" w:cs="Times New Roman"/>
      <w:color w:val="4A4A4A"/>
      <w:sz w:val="21"/>
      <w:szCs w:val="21"/>
      <w:lang w:val="ru-RU" w:eastAsia="en-GB"/>
    </w:rPr>
  </w:style>
  <w:style w:type="character" w:customStyle="1" w:styleId="MHeaderChar">
    <w:name w:val="M.Header Char"/>
    <w:basedOn w:val="a0"/>
    <w:link w:val="MHeader"/>
    <w:rsid w:val="00EA05D3"/>
    <w:rPr>
      <w:rFonts w:eastAsia="Times New Roman" w:cs="Times New Roman"/>
      <w:color w:val="1C75BC"/>
      <w:sz w:val="32"/>
      <w:szCs w:val="36"/>
      <w:shd w:val="clear" w:color="auto" w:fill="FFFFFF"/>
      <w:lang w:eastAsia="en-GB"/>
    </w:rPr>
  </w:style>
  <w:style w:type="paragraph" w:customStyle="1" w:styleId="MSubHeader">
    <w:name w:val="M.Sub.Header"/>
    <w:basedOn w:val="a"/>
    <w:link w:val="MSubHeaderChar"/>
    <w:qFormat/>
    <w:rsid w:val="00573C0B"/>
    <w:pPr>
      <w:shd w:val="clear" w:color="auto" w:fill="FFFFFF"/>
      <w:spacing w:after="0"/>
    </w:pPr>
    <w:rPr>
      <w:rFonts w:eastAsia="Times New Roman" w:cs="Times New Roman"/>
      <w:b/>
      <w:bCs/>
      <w:color w:val="4A4A4A"/>
      <w:sz w:val="21"/>
      <w:szCs w:val="21"/>
      <w:lang w:eastAsia="en-GB"/>
    </w:rPr>
  </w:style>
  <w:style w:type="character" w:customStyle="1" w:styleId="MTextChar">
    <w:name w:val="M.Text Char"/>
    <w:basedOn w:val="a0"/>
    <w:link w:val="MText"/>
    <w:rsid w:val="00054699"/>
    <w:rPr>
      <w:rFonts w:eastAsia="Times New Roman" w:cs="Times New Roman"/>
      <w:color w:val="4A4A4A"/>
      <w:sz w:val="21"/>
      <w:szCs w:val="21"/>
      <w:shd w:val="clear" w:color="auto" w:fill="FFFFFF"/>
      <w:lang w:val="ru-RU" w:eastAsia="en-GB"/>
    </w:rPr>
  </w:style>
  <w:style w:type="paragraph" w:customStyle="1" w:styleId="MGTHeader">
    <w:name w:val="M.G+T.Header"/>
    <w:basedOn w:val="a"/>
    <w:link w:val="MGTHeaderChar"/>
    <w:qFormat/>
    <w:rsid w:val="00F02379"/>
    <w:pPr>
      <w:shd w:val="clear" w:color="auto" w:fill="F5F5F5"/>
      <w:spacing w:after="100" w:line="240" w:lineRule="auto"/>
      <w:jc w:val="both"/>
      <w:outlineLvl w:val="4"/>
    </w:pPr>
    <w:rPr>
      <w:rFonts w:eastAsia="Times New Roman" w:cs="Times New Roman"/>
      <w:color w:val="333333"/>
      <w:sz w:val="21"/>
      <w:szCs w:val="21"/>
      <w:lang w:eastAsia="en-GB"/>
    </w:rPr>
  </w:style>
  <w:style w:type="character" w:customStyle="1" w:styleId="MSubHeaderChar">
    <w:name w:val="M.Sub.Header Char"/>
    <w:basedOn w:val="a0"/>
    <w:link w:val="MSubHeader"/>
    <w:rsid w:val="00573C0B"/>
    <w:rPr>
      <w:rFonts w:eastAsia="Times New Roman" w:cs="Times New Roman"/>
      <w:b/>
      <w:bCs/>
      <w:color w:val="4A4A4A"/>
      <w:sz w:val="21"/>
      <w:szCs w:val="21"/>
      <w:shd w:val="clear" w:color="auto" w:fill="FFFFFF"/>
      <w:lang w:eastAsia="en-GB"/>
    </w:rPr>
  </w:style>
  <w:style w:type="paragraph" w:customStyle="1" w:styleId="MIndHeader">
    <w:name w:val="M.Ind.Header"/>
    <w:basedOn w:val="a"/>
    <w:link w:val="MIndHeaderChar"/>
    <w:qFormat/>
    <w:rsid w:val="00EA05D3"/>
    <w:pPr>
      <w:shd w:val="clear" w:color="auto" w:fill="F5F5F5"/>
      <w:spacing w:after="100" w:line="240" w:lineRule="auto"/>
      <w:outlineLvl w:val="1"/>
    </w:pPr>
    <w:rPr>
      <w:rFonts w:eastAsia="Times New Roman" w:cs="Times New Roman"/>
      <w:color w:val="1C75BC"/>
      <w:sz w:val="26"/>
      <w:lang w:eastAsia="en-GB"/>
    </w:rPr>
  </w:style>
  <w:style w:type="character" w:customStyle="1" w:styleId="MGTHeaderChar">
    <w:name w:val="M.G+T.Header Char"/>
    <w:basedOn w:val="a0"/>
    <w:link w:val="MGTHeader"/>
    <w:rsid w:val="00F02379"/>
    <w:rPr>
      <w:rFonts w:eastAsia="Times New Roman" w:cs="Times New Roman"/>
      <w:color w:val="333333"/>
      <w:sz w:val="21"/>
      <w:szCs w:val="21"/>
      <w:shd w:val="clear" w:color="auto" w:fill="F5F5F5"/>
      <w:lang w:eastAsia="en-GB"/>
    </w:rPr>
  </w:style>
  <w:style w:type="character" w:customStyle="1" w:styleId="MIndHeaderChar">
    <w:name w:val="M.Ind.Header Char"/>
    <w:basedOn w:val="a0"/>
    <w:link w:val="MIndHeader"/>
    <w:rsid w:val="00EA05D3"/>
    <w:rPr>
      <w:rFonts w:eastAsia="Times New Roman" w:cs="Times New Roman"/>
      <w:color w:val="1C75BC"/>
      <w:sz w:val="26"/>
      <w:shd w:val="clear" w:color="auto" w:fill="F5F5F5"/>
      <w:lang w:eastAsia="en-GB"/>
    </w:rPr>
  </w:style>
  <w:style w:type="character" w:customStyle="1" w:styleId="UnresolvedMention1">
    <w:name w:val="Unresolved Mention1"/>
    <w:basedOn w:val="a0"/>
    <w:uiPriority w:val="99"/>
    <w:semiHidden/>
    <w:unhideWhenUsed/>
    <w:rsid w:val="00B329B0"/>
    <w:rPr>
      <w:color w:val="808080"/>
      <w:shd w:val="clear" w:color="auto" w:fill="E6E6E6"/>
    </w:rPr>
  </w:style>
  <w:style w:type="character" w:styleId="af0">
    <w:name w:val="Placeholder Text"/>
    <w:basedOn w:val="a0"/>
    <w:uiPriority w:val="99"/>
    <w:semiHidden/>
    <w:rsid w:val="00B329B0"/>
    <w:rPr>
      <w:color w:val="808080"/>
    </w:rPr>
  </w:style>
  <w:style w:type="table" w:styleId="af1">
    <w:name w:val="Table Grid"/>
    <w:basedOn w:val="a1"/>
    <w:uiPriority w:val="59"/>
    <w:rsid w:val="00DA6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A96255"/>
    <w:pPr>
      <w:spacing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A96255"/>
    <w:rPr>
      <w:rFonts w:eastAsiaTheme="minorHAnsi"/>
      <w:sz w:val="20"/>
      <w:szCs w:val="20"/>
      <w:lang w:val="en-US" w:eastAsia="en-US"/>
    </w:rPr>
  </w:style>
  <w:style w:type="paragraph" w:customStyle="1" w:styleId="MHeader2">
    <w:name w:val="M.Header2"/>
    <w:basedOn w:val="MHeader"/>
    <w:link w:val="MHeader2Char"/>
    <w:qFormat/>
    <w:rsid w:val="00EA05D3"/>
    <w:pPr>
      <w:spacing w:after="100" w:line="240" w:lineRule="auto"/>
    </w:pPr>
    <w:rPr>
      <w:sz w:val="26"/>
    </w:rPr>
  </w:style>
  <w:style w:type="paragraph" w:customStyle="1" w:styleId="MIndHeader2">
    <w:name w:val="M.Ind.Header2"/>
    <w:basedOn w:val="MIndHeader"/>
    <w:link w:val="MIndHeader2Char"/>
    <w:qFormat/>
    <w:rsid w:val="00EA05D3"/>
    <w:rPr>
      <w:sz w:val="32"/>
    </w:rPr>
  </w:style>
  <w:style w:type="character" w:customStyle="1" w:styleId="MHeader2Char">
    <w:name w:val="M.Header2 Char"/>
    <w:basedOn w:val="MHeaderChar"/>
    <w:link w:val="MHeader2"/>
    <w:rsid w:val="00EA05D3"/>
    <w:rPr>
      <w:rFonts w:eastAsia="Times New Roman" w:cs="Times New Roman"/>
      <w:color w:val="1C75BC"/>
      <w:sz w:val="26"/>
      <w:szCs w:val="36"/>
      <w:shd w:val="clear" w:color="auto" w:fill="FFFFFF"/>
      <w:lang w:eastAsia="en-GB"/>
    </w:rPr>
  </w:style>
  <w:style w:type="character" w:customStyle="1" w:styleId="MIndHeader2Char">
    <w:name w:val="M.Ind.Header2 Char"/>
    <w:basedOn w:val="MIndHeaderChar"/>
    <w:link w:val="MIndHeader2"/>
    <w:rsid w:val="00EA05D3"/>
    <w:rPr>
      <w:rFonts w:eastAsia="Times New Roman" w:cs="Times New Roman"/>
      <w:color w:val="1C75BC"/>
      <w:sz w:val="32"/>
      <w:shd w:val="clear" w:color="auto" w:fill="F5F5F5"/>
      <w:lang w:eastAsia="en-GB"/>
    </w:rPr>
  </w:style>
  <w:style w:type="paragraph" w:styleId="af4">
    <w:name w:val="Normal (Web)"/>
    <w:basedOn w:val="a"/>
    <w:uiPriority w:val="99"/>
    <w:unhideWhenUsed/>
    <w:rsid w:val="00ED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UnresolvedMention2">
    <w:name w:val="Unresolved Mention2"/>
    <w:basedOn w:val="a0"/>
    <w:uiPriority w:val="99"/>
    <w:unhideWhenUsed/>
    <w:rsid w:val="00EA61F1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0F2861"/>
    <w:rPr>
      <w:color w:val="800080" w:themeColor="followedHyperlink"/>
      <w:u w:val="single"/>
    </w:rPr>
  </w:style>
  <w:style w:type="paragraph" w:styleId="af6">
    <w:name w:val="Revision"/>
    <w:hidden/>
    <w:uiPriority w:val="99"/>
    <w:semiHidden/>
    <w:rsid w:val="00D53F1F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D649D2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form-control-static">
    <w:name w:val="form-control-static"/>
    <w:basedOn w:val="a"/>
    <w:rsid w:val="00D6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f7">
    <w:name w:val="Strong"/>
    <w:basedOn w:val="a0"/>
    <w:uiPriority w:val="22"/>
    <w:qFormat/>
    <w:rsid w:val="00D649D2"/>
    <w:rPr>
      <w:b/>
      <w:bCs/>
    </w:rPr>
  </w:style>
  <w:style w:type="character" w:customStyle="1" w:styleId="apple-converted-space">
    <w:name w:val="apple-converted-space"/>
    <w:basedOn w:val="a0"/>
    <w:rsid w:val="00D649D2"/>
  </w:style>
  <w:style w:type="paragraph" w:styleId="af8">
    <w:name w:val="No Spacing"/>
    <w:uiPriority w:val="1"/>
    <w:qFormat/>
    <w:rsid w:val="00D649D2"/>
    <w:pPr>
      <w:spacing w:after="0" w:line="240" w:lineRule="auto"/>
    </w:pPr>
  </w:style>
  <w:style w:type="character" w:customStyle="1" w:styleId="Mention1">
    <w:name w:val="Mention1"/>
    <w:basedOn w:val="a0"/>
    <w:uiPriority w:val="99"/>
    <w:unhideWhenUsed/>
    <w:rsid w:val="00D649D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9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ao.org/faostat/ru/" TargetMode="External"/><Relationship Id="rId18" Type="http://schemas.openxmlformats.org/officeDocument/2006/relationships/hyperlink" Target="https://www.imf.org/external/np/sta/gfsm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https://www.imf.org/external/Pubs/FT/GFS/Manual/2014/GFSM_2014_rus.pdf" TargetMode="External"/><Relationship Id="rId17" Type="http://schemas.openxmlformats.org/officeDocument/2006/relationships/hyperlink" Target="https://www.imf.org/external/Pubs/FT/GFS/Manual/2014/GFSM_2014_ru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fao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fao.org/docrep/019/i3664e/i3664e.pdf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mf.org/external/Pubs/FT/GFS/Manual/2014/GFSM_2014_rus.pdf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hmedovai\Desktop\&#1047;&#1072;&#1074;&#1077;&#1088;&#1096;&#1077;&#1085;&#1085;&#1086;&#1077;\&#1052;&#1077;&#1090;&#1072;&#1076;&#1072;&#1085;&#1085;&#1099;&#1077;\&#1052;&#1077;&#1090;&#1072;&#1076;&#1072;&#1085;&#1085;&#1099;&#1077;%20&#1087;&#1086;&#1082;&#1072;&#1079;&#1072;&#1090;&#1077;&#1083;&#1103;%20&#1062;&#1059;&#10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3B1E78F91B1A4F8235064F9342392C" ma:contentTypeVersion="14" ma:contentTypeDescription="Creare un nuovo documento." ma:contentTypeScope="" ma:versionID="bf74fae4d11d6f05d8334aead90adc20">
  <xsd:schema xmlns:xsd="http://www.w3.org/2001/XMLSchema" xmlns:xs="http://www.w3.org/2001/XMLSchema" xmlns:p="http://schemas.microsoft.com/office/2006/metadata/properties" xmlns:ns3="b6b65787-2246-41e5-b49e-ac5f4ca125a2" xmlns:ns4="995f7c2d-c1db-40e4-8a53-8db81d16361e" targetNamespace="http://schemas.microsoft.com/office/2006/metadata/properties" ma:root="true" ma:fieldsID="d65cbcea13771732d54b08b3aad66373" ns3:_="" ns4:_="">
    <xsd:import namespace="b6b65787-2246-41e5-b49e-ac5f4ca125a2"/>
    <xsd:import namespace="995f7c2d-c1db-40e4-8a53-8db81d1636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65787-2246-41e5-b49e-ac5f4ca12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f7c2d-c1db-40e4-8a53-8db81d16361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97A22-7BCB-4E17-AD05-698BA4F6D47D}">
  <ds:schemaRefs>
    <ds:schemaRef ds:uri="http://purl.org/dc/elements/1.1/"/>
    <ds:schemaRef ds:uri="995f7c2d-c1db-40e4-8a53-8db81d16361e"/>
    <ds:schemaRef ds:uri="http://schemas.microsoft.com/office/2006/documentManagement/types"/>
    <ds:schemaRef ds:uri="http://schemas.openxmlformats.org/package/2006/metadata/core-properties"/>
    <ds:schemaRef ds:uri="b6b65787-2246-41e5-b49e-ac5f4ca125a2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41597E2-36A1-4F03-9734-5BC6BE2D7E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D0F27-67A2-4A07-811C-E830D5C3A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65787-2246-41e5-b49e-ac5f4ca125a2"/>
    <ds:schemaRef ds:uri="995f7c2d-c1db-40e4-8a53-8db81d163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6C36E-BAEA-41AA-BD13-0064D5E7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Метаданные показателя ЦУР.dotx</Template>
  <TotalTime>1290</TotalTime>
  <Pages>11</Pages>
  <Words>3974</Words>
  <Characters>22652</Characters>
  <Application>Microsoft Office Word</Application>
  <DocSecurity>0</DocSecurity>
  <Lines>188</Lines>
  <Paragraphs>53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United Nations</Company>
  <LinksUpToDate>false</LinksUpToDate>
  <CharactersWithSpaces>26573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Ахмедов Альберт Ильгамович</dc:creator>
  <cp:lastModifiedBy>Ахмедов Альберт Ильгамович</cp:lastModifiedBy>
  <cp:revision>3</cp:revision>
  <cp:lastPrinted>2016-07-16T14:25:00Z</cp:lastPrinted>
  <dcterms:created xsi:type="dcterms:W3CDTF">2024-09-11T11:48:00Z</dcterms:created>
  <dcterms:modified xsi:type="dcterms:W3CDTF">2024-09-16T06:28:00Z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0x0101007A3B1E78F91B1A4F8235064F9342392C</vt:lpwstr>
  </property>
</Properties>
</file>