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FD" w:rsidRPr="00F02379" w:rsidRDefault="00A232E8" w:rsidP="006C4BFD">
      <w:pPr>
        <w:spacing w:after="0"/>
        <w:jc w:val="center"/>
        <w:rPr>
          <w:rFonts w:cs="Calibri"/>
          <w:lang w:val="ru-RU"/>
        </w:rPr>
      </w:pPr>
      <w:r w:rsidRPr="00A232E8">
        <w:rPr>
          <w:rFonts w:eastAsia="Times New Roman" w:cs="Calibri"/>
          <w:color w:val="1C75BC"/>
          <w:sz w:val="36"/>
          <w:szCs w:val="36"/>
          <w:lang w:val="ru-RU" w:eastAsia="en-GB"/>
        </w:rPr>
        <w:t>Метаданные показателя ЦУР</w:t>
      </w:r>
      <w:r>
        <w:rPr>
          <w:rFonts w:eastAsia="Times New Roman" w:cs="Calibri"/>
          <w:color w:val="1C75BC"/>
          <w:sz w:val="36"/>
          <w:szCs w:val="36"/>
          <w:lang w:val="ru-RU" w:eastAsia="en-GB"/>
        </w:rPr>
        <w:t xml:space="preserve"> </w:t>
      </w:r>
    </w:p>
    <w:p w:rsidR="006C4BFD" w:rsidRPr="00A232E8" w:rsidRDefault="00A232E8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</w:pPr>
      <w:r w:rsidRPr="00A232E8"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  <w:t>(Гармонизированный шаблон метаданных – формат версии 1.1)</w:t>
      </w:r>
    </w:p>
    <w:p w:rsidR="006C4BFD" w:rsidRPr="00A232E8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val="ru-RU" w:eastAsia="en-GB"/>
        </w:rPr>
      </w:pPr>
    </w:p>
    <w:p w:rsidR="00B31E2C" w:rsidRPr="00A232E8" w:rsidRDefault="00B31E2C" w:rsidP="00EA05D3">
      <w:pPr>
        <w:pStyle w:val="MIndHeader2"/>
        <w:rPr>
          <w:lang w:val="ru-RU"/>
        </w:rPr>
      </w:pPr>
      <w:r w:rsidRPr="00A232E8">
        <w:rPr>
          <w:lang w:val="ru-RU"/>
        </w:rPr>
        <w:t xml:space="preserve">0. </w:t>
      </w:r>
      <w:r w:rsidR="00A232E8">
        <w:rPr>
          <w:lang w:val="ru-RU"/>
        </w:rPr>
        <w:t>Информация о показателе</w:t>
      </w:r>
      <w:r w:rsidRPr="00A232E8">
        <w:rPr>
          <w:lang w:val="ru-RU"/>
        </w:rPr>
        <w:t xml:space="preserve"> </w:t>
      </w:r>
      <w:r w:rsidRPr="00A232E8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INFO</w:t>
      </w:r>
      <w:r w:rsidRPr="00A232E8">
        <w:rPr>
          <w:color w:val="B4B4B4"/>
          <w:sz w:val="20"/>
          <w:lang w:val="ru-RU"/>
        </w:rPr>
        <w:t>)</w:t>
      </w:r>
    </w:p>
    <w:p w:rsidR="00D24330" w:rsidRPr="002B0E90" w:rsidRDefault="00D24330" w:rsidP="00EA05D3">
      <w:pPr>
        <w:pStyle w:val="MIndHeader"/>
        <w:rPr>
          <w:color w:val="333333"/>
          <w:sz w:val="21"/>
          <w:lang w:val="ru-RU"/>
        </w:rPr>
      </w:pPr>
      <w:r w:rsidRPr="002B0E90">
        <w:rPr>
          <w:lang w:val="ru-RU"/>
        </w:rPr>
        <w:t>0.</w:t>
      </w:r>
      <w:r w:rsidRPr="00A96255">
        <w:t>a</w:t>
      </w:r>
      <w:r w:rsidRPr="002B0E90">
        <w:rPr>
          <w:lang w:val="ru-RU"/>
        </w:rPr>
        <w:t xml:space="preserve">. </w:t>
      </w:r>
      <w:r w:rsidR="00A232E8">
        <w:rPr>
          <w:lang w:val="ru-RU"/>
        </w:rPr>
        <w:t>Цель</w:t>
      </w:r>
      <w:r w:rsidR="00A232E8" w:rsidRPr="002B0E90">
        <w:rPr>
          <w:lang w:val="ru-RU"/>
        </w:rPr>
        <w:t xml:space="preserve"> </w:t>
      </w:r>
      <w:r w:rsidRPr="002B0E9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2B0E9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GOAL</w:t>
      </w:r>
      <w:r w:rsidRPr="002B0E90">
        <w:rPr>
          <w:color w:val="B4B4B4"/>
          <w:sz w:val="20"/>
          <w:lang w:val="ru-RU"/>
        </w:rPr>
        <w:t>)</w:t>
      </w:r>
      <w:r w:rsidR="000F77D0" w:rsidRPr="002B0E90">
        <w:rPr>
          <w:color w:val="333333"/>
          <w:sz w:val="21"/>
          <w:lang w:val="ru-RU"/>
        </w:rPr>
        <w:t xml:space="preserve"> </w:t>
      </w:r>
    </w:p>
    <w:p w:rsidR="002B0E90" w:rsidRPr="002B0E90" w:rsidRDefault="002B0E90" w:rsidP="002B0E90">
      <w:pPr>
        <w:pStyle w:val="MGTHeader"/>
        <w:jc w:val="left"/>
        <w:rPr>
          <w:rFonts w:eastAsia="Arial Unicode MS"/>
          <w:bdr w:val="nil"/>
          <w:lang w:val="ru-RU"/>
        </w:rPr>
      </w:pPr>
      <w:r w:rsidRPr="002B0E90">
        <w:rPr>
          <w:rFonts w:eastAsia="Arial Unicode MS"/>
          <w:bdr w:val="nil"/>
          <w:lang w:val="ru-RU"/>
        </w:rPr>
        <w:t xml:space="preserve">Цель 8: Содействие поступательному, всеохватному и устойчивому экономическому росту, полной и производительной занятости и достойной </w:t>
      </w:r>
      <w:r>
        <w:rPr>
          <w:rFonts w:eastAsia="Arial Unicode MS"/>
          <w:bdr w:val="nil"/>
          <w:lang w:val="ru-RU"/>
        </w:rPr>
        <w:t>работе для всех</w:t>
      </w:r>
    </w:p>
    <w:p w:rsidR="00D24330" w:rsidRPr="002B0E90" w:rsidRDefault="00D24330" w:rsidP="00D24330">
      <w:pPr>
        <w:pStyle w:val="MIndHeader"/>
        <w:rPr>
          <w:color w:val="B4B4B4"/>
          <w:sz w:val="20"/>
          <w:lang w:val="ru-RU"/>
        </w:rPr>
      </w:pPr>
      <w:r w:rsidRPr="002B0E90">
        <w:rPr>
          <w:lang w:val="ru-RU"/>
        </w:rPr>
        <w:t>0.</w:t>
      </w:r>
      <w:r w:rsidRPr="00A96255">
        <w:t>b</w:t>
      </w:r>
      <w:r w:rsidRPr="002B0E90">
        <w:rPr>
          <w:lang w:val="ru-RU"/>
        </w:rPr>
        <w:t xml:space="preserve">. </w:t>
      </w:r>
      <w:r w:rsidR="005B711E">
        <w:rPr>
          <w:lang w:val="ru-RU"/>
        </w:rPr>
        <w:t>Задача</w:t>
      </w:r>
      <w:r w:rsidRPr="002B0E90">
        <w:rPr>
          <w:lang w:val="ru-RU"/>
        </w:rPr>
        <w:t xml:space="preserve"> </w:t>
      </w:r>
      <w:r w:rsidRPr="002B0E9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2B0E9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TARGET</w:t>
      </w:r>
      <w:r w:rsidRPr="002B0E90">
        <w:rPr>
          <w:color w:val="B4B4B4"/>
          <w:sz w:val="20"/>
          <w:lang w:val="ru-RU"/>
        </w:rPr>
        <w:t>)</w:t>
      </w:r>
    </w:p>
    <w:p w:rsidR="002B0E90" w:rsidRPr="002B0E90" w:rsidRDefault="002B0E90" w:rsidP="002B0E90">
      <w:pPr>
        <w:pStyle w:val="MGTHeader"/>
        <w:rPr>
          <w:lang w:val="ru-RU"/>
        </w:rPr>
      </w:pPr>
      <w:r w:rsidRPr="002B0E90">
        <w:rPr>
          <w:lang w:val="ru-RU"/>
        </w:rPr>
        <w:t>8.4.</w:t>
      </w:r>
      <w:r w:rsidR="00E90769">
        <w:rPr>
          <w:lang w:val="ru-RU"/>
        </w:rPr>
        <w:t xml:space="preserve"> </w:t>
      </w:r>
      <w:proofErr w:type="gramStart"/>
      <w:r w:rsidRPr="002B0E90">
        <w:rPr>
          <w:lang w:val="ru-RU"/>
        </w:rPr>
        <w:t xml:space="preserve">На протяжении всего срока до конца 2030 года постепенно повышать глобальную эффективность использования ресурсов в системах потребления и производства </w:t>
      </w:r>
      <w:r w:rsidRPr="002B0E90">
        <w:rPr>
          <w:lang w:val="ru-RU"/>
        </w:rPr>
        <w:br/>
        <w:t>и стремиться к тому, чтобы экономический рост не сопровождался ухудшением состояния окружающей среды, как это предусматривается Десятилетней стратегией действий по переходу к использованию рациональных моделей потребления и производства, причем первыми этим должны заняться развитые страны.</w:t>
      </w:r>
      <w:proofErr w:type="gramEnd"/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F02379">
        <w:rPr>
          <w:lang w:val="ru-RU"/>
        </w:rPr>
        <w:t>0.</w:t>
      </w:r>
      <w:r w:rsidRPr="00A96255">
        <w:t>c</w:t>
      </w:r>
      <w:r w:rsidRPr="00F02379">
        <w:rPr>
          <w:lang w:val="ru-RU"/>
        </w:rPr>
        <w:t xml:space="preserve">. </w:t>
      </w:r>
      <w:r w:rsidR="005B711E">
        <w:rPr>
          <w:lang w:val="ru-RU"/>
        </w:rPr>
        <w:t>Показатель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F02379">
        <w:rPr>
          <w:color w:val="B4B4B4"/>
          <w:sz w:val="20"/>
          <w:lang w:val="ru-RU"/>
        </w:rPr>
        <w:t>)</w:t>
      </w:r>
    </w:p>
    <w:p w:rsidR="002B0E90" w:rsidRDefault="002B0E90" w:rsidP="002B0E90">
      <w:pPr>
        <w:pStyle w:val="MGTHeader"/>
        <w:rPr>
          <w:lang w:val="ru-RU"/>
        </w:rPr>
      </w:pPr>
      <w:r w:rsidRPr="002B0E90">
        <w:rPr>
          <w:lang w:val="ru-RU"/>
        </w:rPr>
        <w:t xml:space="preserve">Показатель 8.4.1. Совокупные </w:t>
      </w:r>
      <w:proofErr w:type="spellStart"/>
      <w:r w:rsidRPr="002B0E90">
        <w:rPr>
          <w:lang w:val="ru-RU"/>
        </w:rPr>
        <w:t>ресурсозатраты</w:t>
      </w:r>
      <w:proofErr w:type="spellEnd"/>
      <w:r w:rsidRPr="002B0E90">
        <w:rPr>
          <w:lang w:val="ru-RU"/>
        </w:rPr>
        <w:t xml:space="preserve"> и </w:t>
      </w:r>
      <w:proofErr w:type="spellStart"/>
      <w:r w:rsidRPr="002B0E90">
        <w:rPr>
          <w:lang w:val="ru-RU"/>
        </w:rPr>
        <w:t>ресурсозатраты</w:t>
      </w:r>
      <w:proofErr w:type="spellEnd"/>
      <w:r w:rsidRPr="002B0E90">
        <w:rPr>
          <w:lang w:val="ru-RU"/>
        </w:rPr>
        <w:t xml:space="preserve"> на душу населения</w:t>
      </w:r>
      <w:r w:rsidR="004D6630">
        <w:rPr>
          <w:lang w:val="ru-RU"/>
        </w:rPr>
        <w:t xml:space="preserve"> и в процентном отношении к ВВП</w:t>
      </w:r>
    </w:p>
    <w:p w:rsidR="00D24330" w:rsidRPr="002B0E90" w:rsidRDefault="00D24330" w:rsidP="00D24330">
      <w:pPr>
        <w:pStyle w:val="MIndHeader"/>
        <w:rPr>
          <w:color w:val="B4B4B4"/>
          <w:sz w:val="20"/>
          <w:lang w:val="en-US"/>
        </w:rPr>
      </w:pPr>
      <w:proofErr w:type="gramStart"/>
      <w:r w:rsidRPr="002B0E90">
        <w:rPr>
          <w:lang w:val="en-US"/>
        </w:rPr>
        <w:t>0.</w:t>
      </w:r>
      <w:r w:rsidRPr="00A96255">
        <w:t>d</w:t>
      </w:r>
      <w:proofErr w:type="gramEnd"/>
      <w:r w:rsidRPr="002B0E90">
        <w:rPr>
          <w:lang w:val="en-US"/>
        </w:rPr>
        <w:t xml:space="preserve">. </w:t>
      </w:r>
      <w:r w:rsidR="005B711E">
        <w:rPr>
          <w:lang w:val="ru-RU"/>
        </w:rPr>
        <w:t>Ряды</w:t>
      </w:r>
      <w:r w:rsidRPr="002B0E90">
        <w:rPr>
          <w:lang w:val="en-US"/>
        </w:rPr>
        <w:t xml:space="preserve"> </w:t>
      </w:r>
      <w:r w:rsidRPr="002B0E90">
        <w:rPr>
          <w:color w:val="B4B4B4"/>
          <w:sz w:val="20"/>
          <w:lang w:val="en-US"/>
        </w:rPr>
        <w:t>(</w:t>
      </w:r>
      <w:r>
        <w:rPr>
          <w:color w:val="B4B4B4"/>
          <w:sz w:val="20"/>
        </w:rPr>
        <w:t>SDG</w:t>
      </w:r>
      <w:r w:rsidRPr="002B0E90">
        <w:rPr>
          <w:color w:val="B4B4B4"/>
          <w:sz w:val="20"/>
          <w:lang w:val="en-US"/>
        </w:rPr>
        <w:t>_</w:t>
      </w:r>
      <w:r>
        <w:rPr>
          <w:color w:val="B4B4B4"/>
          <w:sz w:val="20"/>
        </w:rPr>
        <w:t>SERIES</w:t>
      </w:r>
      <w:r w:rsidRPr="002B0E90">
        <w:rPr>
          <w:color w:val="B4B4B4"/>
          <w:sz w:val="20"/>
          <w:lang w:val="en-US"/>
        </w:rPr>
        <w:t>_</w:t>
      </w:r>
      <w:r>
        <w:rPr>
          <w:color w:val="B4B4B4"/>
          <w:sz w:val="20"/>
        </w:rPr>
        <w:t>DESCR</w:t>
      </w:r>
      <w:r w:rsidRPr="002B0E90">
        <w:rPr>
          <w:color w:val="B4B4B4"/>
          <w:sz w:val="20"/>
          <w:lang w:val="en-US"/>
        </w:rPr>
        <w:t>)</w:t>
      </w:r>
    </w:p>
    <w:p w:rsidR="00217FFC" w:rsidRPr="00217FFC" w:rsidRDefault="00F16DAD" w:rsidP="00217FFC">
      <w:pPr>
        <w:pStyle w:val="MGTHeader"/>
        <w:rPr>
          <w:lang w:val="ru-RU"/>
        </w:rPr>
      </w:pPr>
      <w:r>
        <w:rPr>
          <w:lang w:val="ru-RU"/>
        </w:rPr>
        <w:t xml:space="preserve">EN_MAT_FTPRPC </w:t>
      </w:r>
      <w:r w:rsidR="004D6630">
        <w:rPr>
          <w:lang w:val="ru-RU"/>
        </w:rPr>
        <w:t>-</w:t>
      </w:r>
      <w:r w:rsidR="00217FFC" w:rsidRPr="00217FFC">
        <w:rPr>
          <w:lang w:val="ru-RU"/>
        </w:rPr>
        <w:t xml:space="preserve"> </w:t>
      </w:r>
      <w:proofErr w:type="spellStart"/>
      <w:r w:rsidR="00217FFC">
        <w:rPr>
          <w:lang w:val="ru-RU"/>
        </w:rPr>
        <w:t>Ресурсозатраты</w:t>
      </w:r>
      <w:proofErr w:type="spellEnd"/>
      <w:r w:rsidR="00217FFC" w:rsidRPr="00217FFC">
        <w:rPr>
          <w:lang w:val="ru-RU"/>
        </w:rPr>
        <w:t xml:space="preserve"> след на душу населения [8.4.1, 12.2.1]</w:t>
      </w:r>
    </w:p>
    <w:p w:rsidR="00217FFC" w:rsidRPr="00217FFC" w:rsidRDefault="00217FFC" w:rsidP="00217FFC">
      <w:pPr>
        <w:pStyle w:val="MGTHeader"/>
        <w:rPr>
          <w:lang w:val="ru-RU"/>
        </w:rPr>
      </w:pPr>
      <w:r w:rsidRPr="00217FFC">
        <w:rPr>
          <w:lang w:val="ru-RU"/>
        </w:rPr>
        <w:t xml:space="preserve">EN_MAT_FTPRPG </w:t>
      </w:r>
      <w:r w:rsidR="004D6630">
        <w:rPr>
          <w:lang w:val="ru-RU"/>
        </w:rPr>
        <w:t>-</w:t>
      </w:r>
      <w:r w:rsidRPr="00217FFC">
        <w:rPr>
          <w:lang w:val="ru-RU"/>
        </w:rPr>
        <w:t xml:space="preserve"> </w:t>
      </w:r>
      <w:proofErr w:type="spellStart"/>
      <w:r>
        <w:rPr>
          <w:lang w:val="ru-RU"/>
        </w:rPr>
        <w:t>Ресурсозатраты</w:t>
      </w:r>
      <w:proofErr w:type="spellEnd"/>
      <w:r>
        <w:rPr>
          <w:lang w:val="ru-RU"/>
        </w:rPr>
        <w:t xml:space="preserve"> на единицу ВВП </w:t>
      </w:r>
      <w:r w:rsidRPr="00217FFC">
        <w:rPr>
          <w:lang w:val="ru-RU"/>
        </w:rPr>
        <w:t>[8.4.1, 12.2.1]</w:t>
      </w:r>
    </w:p>
    <w:p w:rsidR="000F77D0" w:rsidRDefault="00F16DAD" w:rsidP="00217FFC">
      <w:pPr>
        <w:pStyle w:val="MGTHeader"/>
        <w:rPr>
          <w:lang w:val="ru-RU"/>
        </w:rPr>
      </w:pPr>
      <w:r>
        <w:rPr>
          <w:lang w:val="ru-RU"/>
        </w:rPr>
        <w:t xml:space="preserve">EN_MAT_FTPRTN </w:t>
      </w:r>
      <w:r w:rsidR="004D6630">
        <w:rPr>
          <w:lang w:val="ru-RU"/>
        </w:rPr>
        <w:t>-</w:t>
      </w:r>
      <w:r w:rsidR="00217FFC" w:rsidRPr="00217FFC">
        <w:rPr>
          <w:lang w:val="ru-RU"/>
        </w:rPr>
        <w:t xml:space="preserve"> </w:t>
      </w:r>
      <w:proofErr w:type="spellStart"/>
      <w:r w:rsidR="00217FFC">
        <w:rPr>
          <w:lang w:val="ru-RU"/>
        </w:rPr>
        <w:t>Ресурсозатраты</w:t>
      </w:r>
      <w:proofErr w:type="spellEnd"/>
      <w:r w:rsidR="00217FFC" w:rsidRPr="00217FFC">
        <w:rPr>
          <w:lang w:val="ru-RU"/>
        </w:rPr>
        <w:t xml:space="preserve"> [8.4.1, 12.2.1]</w:t>
      </w:r>
    </w:p>
    <w:p w:rsidR="00D24330" w:rsidRPr="00217FFC" w:rsidRDefault="00D24330" w:rsidP="00D24330">
      <w:pPr>
        <w:pStyle w:val="MIndHeader"/>
        <w:rPr>
          <w:color w:val="B4B4B4"/>
          <w:sz w:val="20"/>
          <w:lang w:val="ru-RU"/>
        </w:rPr>
      </w:pPr>
      <w:r w:rsidRPr="00450736">
        <w:rPr>
          <w:lang w:val="it-IT"/>
        </w:rPr>
        <w:t xml:space="preserve">0.e. </w:t>
      </w:r>
      <w:r w:rsidR="005B711E">
        <w:rPr>
          <w:lang w:val="ru-RU"/>
        </w:rPr>
        <w:t>Обновление метаданных</w:t>
      </w:r>
      <w:r w:rsidRPr="00450736">
        <w:rPr>
          <w:lang w:val="it-IT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META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LAST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UPDATE</w:t>
      </w:r>
      <w:r w:rsidRPr="005B711E">
        <w:rPr>
          <w:color w:val="B4B4B4"/>
          <w:sz w:val="20"/>
          <w:lang w:val="ru-RU"/>
        </w:rPr>
        <w:t>)</w:t>
      </w:r>
    </w:p>
    <w:p w:rsidR="000F77D0" w:rsidRDefault="00217FFC" w:rsidP="00217FFC">
      <w:pPr>
        <w:pStyle w:val="MGTHeader"/>
        <w:rPr>
          <w:lang w:val="ru-RU"/>
        </w:rPr>
      </w:pPr>
      <w:r>
        <w:rPr>
          <w:lang w:val="ru-RU"/>
        </w:rPr>
        <w:t>29.07.2024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f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Связанные показатели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RELATED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INDICATORS</w:t>
      </w:r>
      <w:r w:rsidRPr="005B711E">
        <w:rPr>
          <w:color w:val="B4B4B4"/>
          <w:sz w:val="20"/>
          <w:lang w:val="ru-RU"/>
        </w:rPr>
        <w:t>)</w:t>
      </w:r>
    </w:p>
    <w:p w:rsidR="000F77D0" w:rsidRPr="005B711E" w:rsidRDefault="002B0E90" w:rsidP="00217FFC">
      <w:pPr>
        <w:pStyle w:val="MGTHeader"/>
        <w:rPr>
          <w:lang w:val="ru-RU"/>
        </w:rPr>
      </w:pPr>
      <w:r>
        <w:rPr>
          <w:lang w:val="ru-RU"/>
        </w:rPr>
        <w:t>12.2.1, 8.4.2, 12.2.2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g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Международные организации, ответственные за глобальный мониторинг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CUSTODIAN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AGENCIES</w:t>
      </w:r>
      <w:r w:rsidRPr="005B711E">
        <w:rPr>
          <w:color w:val="B4B4B4"/>
          <w:sz w:val="20"/>
          <w:lang w:val="ru-RU"/>
        </w:rPr>
        <w:t>)</w:t>
      </w:r>
    </w:p>
    <w:p w:rsidR="00217FFC" w:rsidRDefault="00217FFC" w:rsidP="00217FFC">
      <w:pPr>
        <w:pStyle w:val="MGTHeader"/>
        <w:rPr>
          <w:lang w:val="ru-RU"/>
        </w:rPr>
      </w:pPr>
      <w:r w:rsidRPr="00217FFC">
        <w:rPr>
          <w:lang w:val="ru-RU"/>
        </w:rPr>
        <w:t>Программа Организации Объединенных Наций по окружающей среде (ЮНЕП)</w:t>
      </w:r>
    </w:p>
    <w:p w:rsidR="008A2FEB" w:rsidRDefault="008A2FEB" w:rsidP="008A2FEB">
      <w:pPr>
        <w:pStyle w:val="af7"/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</w:p>
    <w:p w:rsidR="00B31E2C" w:rsidRPr="000F77D0" w:rsidRDefault="00B31E2C" w:rsidP="00EA05D3">
      <w:pPr>
        <w:pStyle w:val="MHeader"/>
        <w:rPr>
          <w:lang w:val="ru-RU"/>
        </w:rPr>
      </w:pPr>
      <w:r w:rsidRPr="000F77D0">
        <w:rPr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5B711E">
        <w:rPr>
          <w:lang w:val="ru-RU"/>
        </w:rPr>
        <w:t xml:space="preserve">Данные предоставлены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)</w:t>
      </w:r>
    </w:p>
    <w:p w:rsidR="00576CFA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1.</w:t>
      </w:r>
      <w:r w:rsidRPr="00A96255">
        <w:t>a</w:t>
      </w:r>
      <w:r w:rsidRPr="000F77D0">
        <w:rPr>
          <w:lang w:val="ru-RU"/>
        </w:rPr>
        <w:t xml:space="preserve">. </w:t>
      </w:r>
      <w:r w:rsidR="005B711E">
        <w:rPr>
          <w:lang w:val="ru-RU"/>
        </w:rPr>
        <w:t>Организация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ORGANISATION</w:t>
      </w:r>
      <w:r w:rsidRPr="000F77D0">
        <w:rPr>
          <w:color w:val="B4B4B4"/>
          <w:sz w:val="20"/>
          <w:lang w:val="ru-RU"/>
        </w:rPr>
        <w:t>)</w:t>
      </w:r>
    </w:p>
    <w:p w:rsidR="00217FFC" w:rsidRPr="00217FFC" w:rsidRDefault="00217FFC" w:rsidP="00217FFC">
      <w:pPr>
        <w:pStyle w:val="MText"/>
      </w:pPr>
      <w:r w:rsidRPr="00217FFC">
        <w:t>Программа Организации Объединенных Наций по окружающей среде (ЮНЕП)</w:t>
      </w:r>
    </w:p>
    <w:p w:rsidR="00F719A8" w:rsidRPr="000F77D0" w:rsidRDefault="00F719A8" w:rsidP="00576CFA">
      <w:pPr>
        <w:pStyle w:val="MText"/>
      </w:pPr>
    </w:p>
    <w:p w:rsidR="00B31E2C" w:rsidRPr="000F77D0" w:rsidRDefault="00B31E2C" w:rsidP="008B0AC7">
      <w:pPr>
        <w:pStyle w:val="MHeader"/>
        <w:rPr>
          <w:lang w:val="ru-RU"/>
        </w:rPr>
      </w:pPr>
      <w:r w:rsidRPr="000F77D0">
        <w:rPr>
          <w:lang w:val="ru-RU"/>
        </w:rPr>
        <w:t xml:space="preserve">2. </w:t>
      </w:r>
      <w:r w:rsidR="004D6630">
        <w:rPr>
          <w:lang w:val="ru-RU"/>
        </w:rPr>
        <w:t>Определение</w:t>
      </w:r>
      <w:r w:rsidR="000F77D0">
        <w:rPr>
          <w:lang w:val="ru-RU"/>
        </w:rPr>
        <w:t>, понятия, классификации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IND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CLASS</w:t>
      </w:r>
      <w:r w:rsidRPr="000F77D0">
        <w:rPr>
          <w:color w:val="B4B4B4"/>
          <w:sz w:val="20"/>
          <w:lang w:val="ru-RU"/>
        </w:rPr>
        <w:t>)</w:t>
      </w:r>
    </w:p>
    <w:p w:rsidR="008B0AC7" w:rsidRPr="005B711E" w:rsidRDefault="008B0AC7" w:rsidP="00F719A8">
      <w:pPr>
        <w:pStyle w:val="MHeader2"/>
        <w:rPr>
          <w:lang w:val="ru-RU"/>
        </w:rPr>
      </w:pPr>
      <w:r w:rsidRPr="005B711E">
        <w:rPr>
          <w:lang w:val="ru-RU"/>
        </w:rPr>
        <w:t>2.</w:t>
      </w:r>
      <w:r w:rsidRPr="00A96255">
        <w:t>a</w:t>
      </w:r>
      <w:r w:rsidRPr="005B711E">
        <w:rPr>
          <w:lang w:val="ru-RU"/>
        </w:rPr>
        <w:t xml:space="preserve">. </w:t>
      </w:r>
      <w:r w:rsidR="004D6630">
        <w:rPr>
          <w:lang w:val="ru-RU"/>
        </w:rPr>
        <w:t>Определение</w:t>
      </w:r>
      <w:r w:rsidR="005B711E">
        <w:rPr>
          <w:lang w:val="ru-RU"/>
        </w:rPr>
        <w:t xml:space="preserve"> и понятия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STAT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CONC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5B711E">
        <w:rPr>
          <w:color w:val="B4B4B4"/>
          <w:sz w:val="20"/>
          <w:lang w:val="ru-RU"/>
        </w:rPr>
        <w:t>)</w:t>
      </w:r>
    </w:p>
    <w:p w:rsidR="00217FFC" w:rsidRPr="00217FFC" w:rsidRDefault="00217FFC" w:rsidP="00217FFC">
      <w:pPr>
        <w:pStyle w:val="MSubHeader"/>
        <w:rPr>
          <w:lang w:val="ru-RU"/>
        </w:rPr>
      </w:pPr>
      <w:r w:rsidRPr="00217FFC">
        <w:rPr>
          <w:lang w:val="ru-RU"/>
        </w:rPr>
        <w:t>Определения:</w:t>
      </w:r>
    </w:p>
    <w:p w:rsidR="00217FFC" w:rsidRPr="00217FFC" w:rsidRDefault="00C81040" w:rsidP="00C76114">
      <w:pPr>
        <w:pStyle w:val="MText"/>
      </w:pPr>
      <w:r>
        <w:t xml:space="preserve">Совокупные </w:t>
      </w:r>
      <w:proofErr w:type="spellStart"/>
      <w:r>
        <w:t>р</w:t>
      </w:r>
      <w:r w:rsidR="00C76114">
        <w:t>есурсозатраты</w:t>
      </w:r>
      <w:proofErr w:type="spellEnd"/>
      <w:r w:rsidR="00C76114">
        <w:t xml:space="preserve"> </w:t>
      </w:r>
      <w:r w:rsidR="00217FFC" w:rsidRPr="00217FFC">
        <w:t>(MF</w:t>
      </w:r>
      <w:r w:rsidR="00C76114">
        <w:t xml:space="preserve">, </w:t>
      </w:r>
      <w:r w:rsidR="00C76114">
        <w:rPr>
          <w:lang w:val="en-US"/>
        </w:rPr>
        <w:t>Material</w:t>
      </w:r>
      <w:r w:rsidR="00C76114" w:rsidRPr="00C76114">
        <w:t xml:space="preserve"> </w:t>
      </w:r>
      <w:r w:rsidR="00C76114">
        <w:rPr>
          <w:lang w:val="en-US"/>
        </w:rPr>
        <w:t>Footprint</w:t>
      </w:r>
      <w:r w:rsidR="00217FFC" w:rsidRPr="00217FFC">
        <w:t xml:space="preserve">) — это отношение </w:t>
      </w:r>
      <w:r w:rsidR="00C76114">
        <w:t>мировой</w:t>
      </w:r>
      <w:r w:rsidR="00217FFC" w:rsidRPr="00217FFC">
        <w:t xml:space="preserve"> добычи </w:t>
      </w:r>
      <w:r w:rsidR="00C76114">
        <w:t>ресурсов</w:t>
      </w:r>
      <w:r w:rsidR="00E90769">
        <w:t xml:space="preserve"> к </w:t>
      </w:r>
      <w:r w:rsidR="00217FFC" w:rsidRPr="00217FFC">
        <w:t>внутреннем</w:t>
      </w:r>
      <w:r w:rsidR="00C76114">
        <w:t>у конечному спросу страны. Общие</w:t>
      </w:r>
      <w:r>
        <w:t xml:space="preserve"> совокупные</w:t>
      </w:r>
      <w:r w:rsidR="00C76114">
        <w:t xml:space="preserve"> </w:t>
      </w:r>
      <w:proofErr w:type="spellStart"/>
      <w:r w:rsidR="00C76114">
        <w:t>ресурсозатраты</w:t>
      </w:r>
      <w:proofErr w:type="spellEnd"/>
      <w:r w:rsidR="00C76114">
        <w:t xml:space="preserve"> </w:t>
      </w:r>
      <w:r w:rsidR="00217FFC" w:rsidRPr="00217FFC">
        <w:t xml:space="preserve">— это сумма </w:t>
      </w:r>
      <w:proofErr w:type="spellStart"/>
      <w:r w:rsidR="000B28C3">
        <w:lastRenderedPageBreak/>
        <w:t>ресурсозатрат</w:t>
      </w:r>
      <w:proofErr w:type="spellEnd"/>
      <w:r w:rsidR="00217FFC" w:rsidRPr="00217FFC">
        <w:t xml:space="preserve"> для биомассы, ископаемого топлива, металлических руд и неметаллических минералов.</w:t>
      </w:r>
    </w:p>
    <w:p w:rsidR="00217FFC" w:rsidRPr="00217FFC" w:rsidRDefault="00217FFC" w:rsidP="00217FFC">
      <w:pPr>
        <w:pStyle w:val="MText"/>
      </w:pPr>
    </w:p>
    <w:p w:rsidR="00217FFC" w:rsidRPr="00217FFC" w:rsidRDefault="00217FFC" w:rsidP="00217FFC">
      <w:pPr>
        <w:pStyle w:val="MSubHeader"/>
        <w:rPr>
          <w:lang w:val="ru-RU"/>
        </w:rPr>
      </w:pPr>
      <w:r w:rsidRPr="00217FFC">
        <w:rPr>
          <w:lang w:val="ru-RU"/>
        </w:rPr>
        <w:t>Концепции:</w:t>
      </w:r>
    </w:p>
    <w:p w:rsidR="00EC2915" w:rsidRDefault="000B28C3" w:rsidP="00217FFC">
      <w:pPr>
        <w:pStyle w:val="MText"/>
      </w:pPr>
      <w:r>
        <w:t xml:space="preserve">Внутреннее материальное потребление </w:t>
      </w:r>
      <w:r w:rsidR="00217FFC" w:rsidRPr="00217FFC">
        <w:t xml:space="preserve">(DMC) и </w:t>
      </w:r>
      <w:r w:rsidR="00C81040">
        <w:t xml:space="preserve">совокупные </w:t>
      </w:r>
      <w:proofErr w:type="spellStart"/>
      <w:r>
        <w:t>ресурсозатраты</w:t>
      </w:r>
      <w:proofErr w:type="spellEnd"/>
      <w:r>
        <w:t xml:space="preserve"> (</w:t>
      </w:r>
      <w:r w:rsidR="00217FFC" w:rsidRPr="00217FFC">
        <w:t>MF</w:t>
      </w:r>
      <w:r>
        <w:t>)</w:t>
      </w:r>
      <w:r w:rsidR="00217FFC" w:rsidRPr="00217FFC">
        <w:t xml:space="preserve"> необходимо рассматривать в сочетании, поскольку они охватывают два аспекта экономики: производство и потребление. DMC сообщает о фактическом количестве мат</w:t>
      </w:r>
      <w:r w:rsidR="00E90769">
        <w:t>ериалов в экономике, MF — о </w:t>
      </w:r>
      <w:r w:rsidR="00217FFC" w:rsidRPr="00217FFC">
        <w:t xml:space="preserve">виртуальном количестве, необходимом по всей цепочке поставок для обслуживания конечного спроса. Например, страна может иметь очень высокий DMC, потому что у нее большой сектор первичного производства для экспорта, или очень низкий DMC, потому что она передала </w:t>
      </w:r>
      <w:r w:rsidR="00E90769">
        <w:t>на </w:t>
      </w:r>
      <w:r>
        <w:t xml:space="preserve">внешний подряд </w:t>
      </w:r>
      <w:r w:rsidR="00217FFC" w:rsidRPr="00217FFC">
        <w:t xml:space="preserve">большую часть материалоемкого промышленного процесса в другие страны. </w:t>
      </w:r>
      <w:proofErr w:type="gramStart"/>
      <w:r w:rsidR="00C81040">
        <w:t>Совокупные</w:t>
      </w:r>
      <w:proofErr w:type="gramEnd"/>
      <w:r w:rsidR="00C81040">
        <w:t xml:space="preserve"> </w:t>
      </w:r>
      <w:proofErr w:type="spellStart"/>
      <w:r w:rsidR="00C81040">
        <w:t>ресурсозатраты</w:t>
      </w:r>
      <w:proofErr w:type="spellEnd"/>
      <w:r w:rsidR="00C81040">
        <w:t xml:space="preserve"> корректирую</w:t>
      </w:r>
      <w:r w:rsidR="00217FFC" w:rsidRPr="00217FFC">
        <w:t>т</w:t>
      </w:r>
      <w:r w:rsidR="00C81040">
        <w:t>ся</w:t>
      </w:r>
      <w:r w:rsidR="00217FFC" w:rsidRPr="00217FFC">
        <w:t xml:space="preserve"> </w:t>
      </w:r>
      <w:r w:rsidR="00C81040">
        <w:t>для обоих явлений</w:t>
      </w:r>
      <w:r w:rsidR="00217FFC" w:rsidRPr="00217FFC">
        <w:t>.</w:t>
      </w:r>
    </w:p>
    <w:p w:rsidR="00C76114" w:rsidRPr="005B711E" w:rsidRDefault="00C76114" w:rsidP="00217FFC">
      <w:pPr>
        <w:pStyle w:val="MText"/>
      </w:pPr>
    </w:p>
    <w:p w:rsidR="008B0AC7" w:rsidRDefault="00576CFA" w:rsidP="00F719A8">
      <w:pPr>
        <w:pStyle w:val="MHeader2"/>
        <w:rPr>
          <w:color w:val="B4B4B4"/>
          <w:sz w:val="20"/>
          <w:lang w:val="ru-RU"/>
        </w:rPr>
      </w:pPr>
      <w:r w:rsidRPr="005B711E">
        <w:rPr>
          <w:lang w:val="ru-RU"/>
        </w:rPr>
        <w:t>2.</w:t>
      </w:r>
      <w:r w:rsidRPr="00A96255">
        <w:t>b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Единицы измерения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UNIT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MEASURE</w:t>
      </w:r>
      <w:r w:rsidRPr="005B711E">
        <w:rPr>
          <w:color w:val="B4B4B4"/>
          <w:sz w:val="20"/>
          <w:lang w:val="ru-RU"/>
        </w:rPr>
        <w:t>)</w:t>
      </w:r>
    </w:p>
    <w:p w:rsidR="00C81040" w:rsidRPr="00C81040" w:rsidRDefault="00C81040" w:rsidP="00C81040">
      <w:pPr>
        <w:pStyle w:val="MText"/>
      </w:pPr>
      <w:r w:rsidRPr="00C81040">
        <w:t>Тонны;</w:t>
      </w:r>
    </w:p>
    <w:p w:rsidR="00C81040" w:rsidRPr="00C81040" w:rsidRDefault="00C81040" w:rsidP="00C81040">
      <w:pPr>
        <w:pStyle w:val="MText"/>
      </w:pPr>
      <w:r w:rsidRPr="00C81040">
        <w:t>Килограммы на доллар США в постоянных ценах;</w:t>
      </w:r>
    </w:p>
    <w:p w:rsidR="00C81040" w:rsidRDefault="00C81040" w:rsidP="00C81040">
      <w:pPr>
        <w:pStyle w:val="MText"/>
      </w:pPr>
      <w:r w:rsidRPr="00C9679B">
        <w:t>Тонн</w:t>
      </w:r>
      <w:r>
        <w:t>ы</w:t>
      </w:r>
      <w:r w:rsidRPr="00C9679B">
        <w:t xml:space="preserve"> на душу населения</w:t>
      </w:r>
      <w:r>
        <w:t>.</w:t>
      </w:r>
    </w:p>
    <w:p w:rsidR="000F77D0" w:rsidRPr="005B711E" w:rsidRDefault="000F77D0" w:rsidP="005540B2">
      <w:pPr>
        <w:rPr>
          <w:lang w:val="ru-RU"/>
        </w:rPr>
      </w:pPr>
    </w:p>
    <w:p w:rsidR="00DA615C" w:rsidRPr="00F02379" w:rsidRDefault="008B0AC7" w:rsidP="00F719A8">
      <w:pPr>
        <w:pStyle w:val="MHeader2"/>
        <w:rPr>
          <w:lang w:val="ru-RU"/>
        </w:rPr>
      </w:pPr>
      <w:r w:rsidRPr="00F02379">
        <w:rPr>
          <w:lang w:val="ru-RU"/>
        </w:rPr>
        <w:t>2.</w:t>
      </w:r>
      <w:r w:rsidRPr="00A96255">
        <w:t>c</w:t>
      </w:r>
      <w:r w:rsidRPr="00F02379">
        <w:rPr>
          <w:lang w:val="ru-RU"/>
        </w:rPr>
        <w:t xml:space="preserve">. </w:t>
      </w:r>
      <w:r w:rsidR="008A7751">
        <w:rPr>
          <w:lang w:val="ru-RU"/>
        </w:rPr>
        <w:t>Классификации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CLASS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SYSTEM</w:t>
      </w:r>
      <w:r w:rsidRPr="00F02379">
        <w:rPr>
          <w:color w:val="B4B4B4"/>
          <w:sz w:val="20"/>
          <w:lang w:val="ru-RU"/>
        </w:rPr>
        <w:t>)</w:t>
      </w:r>
    </w:p>
    <w:p w:rsidR="00C81040" w:rsidRDefault="00C81040" w:rsidP="00C81040">
      <w:pPr>
        <w:pStyle w:val="MText"/>
        <w:numPr>
          <w:ilvl w:val="0"/>
          <w:numId w:val="11"/>
        </w:numPr>
      </w:pPr>
      <w:r>
        <w:t>Категории материалов в соответствии с глобальным руководством СПМ-МЭ</w:t>
      </w:r>
      <w:r w:rsidR="004B071A">
        <w:t xml:space="preserve"> (EW-MFA)</w:t>
      </w:r>
      <w:r>
        <w:t xml:space="preserve"> «ЮНЕП (2021). Использование природных ресурсов в экономике: Глобальное руководство по ведению счетов материальных потоков в масштабах всей экономики» (</w:t>
      </w:r>
      <w:hyperlink r:id="rId12" w:history="1">
        <w:r w:rsidR="004D6630" w:rsidRPr="00517443">
          <w:rPr>
            <w:rStyle w:val="ab"/>
          </w:rPr>
          <w:t>https://wedocs.unep.org/bitstream/handle/20.500.11822/36253/UNRE_RU.pdf?sequence=7&amp;isAllowed=y</w:t>
        </w:r>
      </w:hyperlink>
      <w:r>
        <w:t>);</w:t>
      </w:r>
    </w:p>
    <w:p w:rsidR="00F719A8" w:rsidRPr="004D6630" w:rsidRDefault="00C81040" w:rsidP="004D6630">
      <w:pPr>
        <w:pStyle w:val="MText"/>
        <w:numPr>
          <w:ilvl w:val="0"/>
          <w:numId w:val="11"/>
        </w:numPr>
        <w:jc w:val="left"/>
        <w:rPr>
          <w:rStyle w:val="normaltextrun"/>
          <w:rFonts w:ascii="Calibri" w:hAnsi="Calibri" w:cs="Calibri"/>
          <w:color w:val="D13438"/>
          <w:u w:val="single"/>
          <w:lang w:val="en-GB"/>
        </w:rPr>
      </w:pPr>
      <w:r w:rsidRPr="004D6630">
        <w:rPr>
          <w:rStyle w:val="normaltextrun"/>
          <w:rFonts w:ascii="Calibri" w:hAnsi="Calibri" w:cs="Calibri"/>
          <w:color w:val="D13438"/>
          <w:u w:val="single"/>
          <w:lang w:val="en-GB"/>
        </w:rPr>
        <w:t>Стандартные коды стран или территорий для статистического использования (классификация стран и регионов ООН M49)</w:t>
      </w:r>
    </w:p>
    <w:p w:rsidR="00C81040" w:rsidRPr="00F02379" w:rsidRDefault="00C81040" w:rsidP="00C81040">
      <w:pPr>
        <w:pStyle w:val="MText"/>
      </w:pPr>
    </w:p>
    <w:p w:rsidR="00B31E2C" w:rsidRPr="000F77D0" w:rsidRDefault="00B31E2C" w:rsidP="00F719A8">
      <w:pPr>
        <w:pStyle w:val="MHeader"/>
        <w:rPr>
          <w:lang w:val="ru-RU"/>
        </w:rPr>
      </w:pPr>
      <w:r w:rsidRPr="000F77D0">
        <w:rPr>
          <w:lang w:val="ru-RU"/>
        </w:rPr>
        <w:t xml:space="preserve">3. </w:t>
      </w:r>
      <w:r w:rsidR="000F77D0" w:rsidRPr="000F77D0">
        <w:rPr>
          <w:lang w:val="ru-RU"/>
        </w:rPr>
        <w:t>Тип источника данных и метод сбора данных</w:t>
      </w:r>
      <w:r w:rsidR="000F77D0" w:rsidRPr="000F77D0">
        <w:rPr>
          <w:color w:val="B4B4B4"/>
          <w:sz w:val="20"/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SRC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8B0AC7" w:rsidRPr="000F77D0" w:rsidRDefault="008B0AC7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Источники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)</w:t>
      </w:r>
    </w:p>
    <w:p w:rsidR="00EC2915" w:rsidRDefault="00C81040" w:rsidP="00576CFA">
      <w:pPr>
        <w:pStyle w:val="MText"/>
      </w:pPr>
      <w:proofErr w:type="gramStart"/>
      <w:r w:rsidRPr="00C81040">
        <w:t xml:space="preserve">Глобальная оценка </w:t>
      </w:r>
      <w:r>
        <w:t xml:space="preserve">совокупных </w:t>
      </w:r>
      <w:proofErr w:type="spellStart"/>
      <w:r>
        <w:t>ресурсозатрат</w:t>
      </w:r>
      <w:proofErr w:type="spellEnd"/>
      <w:r>
        <w:t xml:space="preserve"> (</w:t>
      </w:r>
      <w:r w:rsidRPr="00C81040">
        <w:t>MF</w:t>
      </w:r>
      <w:r>
        <w:t xml:space="preserve">) </w:t>
      </w:r>
      <w:r w:rsidRPr="00C81040">
        <w:t>основана на данных, доступных из различных национальных и международных наборов данных в области счетов материальных потоков, сельского хозяйства, лесного хозяйства, рыболовства, г</w:t>
      </w:r>
      <w:r w:rsidR="00E90769">
        <w:t>орнодобывающей промышленности и </w:t>
      </w:r>
      <w:r w:rsidRPr="00C81040">
        <w:t>статистики энергетики.</w:t>
      </w:r>
      <w:proofErr w:type="gramEnd"/>
      <w:r w:rsidRPr="00C81040">
        <w:t xml:space="preserve"> Международные статистические источники для MF включают Международное энергетическое агентство, Статистический отдел ООН, Геологическую службу США, Продовольственную и сельскохозяйственную организацию</w:t>
      </w:r>
      <w:r w:rsidR="00E90769">
        <w:t xml:space="preserve"> </w:t>
      </w:r>
      <w:r>
        <w:t xml:space="preserve">(ФАО) </w:t>
      </w:r>
      <w:r w:rsidRPr="00C81040">
        <w:t>и базы данных COMTRADE.</w:t>
      </w:r>
    </w:p>
    <w:p w:rsidR="00C81040" w:rsidRPr="000F77D0" w:rsidRDefault="00C81040" w:rsidP="00576CFA">
      <w:pPr>
        <w:pStyle w:val="MText"/>
      </w:pPr>
    </w:p>
    <w:p w:rsidR="008B0AC7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Метод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60179C" w:rsidRDefault="00C81040" w:rsidP="00576CFA">
      <w:pPr>
        <w:pStyle w:val="MText"/>
      </w:pPr>
      <w:r w:rsidRPr="00C81040">
        <w:t>Для глобальной оценки рабочая группа по гл</w:t>
      </w:r>
      <w:r w:rsidR="00E90769">
        <w:t>обальным материальным потокам и </w:t>
      </w:r>
      <w:r w:rsidRPr="00C81040">
        <w:t>производительности ресурсов Международной группы по ре</w:t>
      </w:r>
      <w:r w:rsidR="00E90769">
        <w:t>сурсам (IRP) собирает данные из </w:t>
      </w:r>
      <w:r w:rsidRPr="00C81040">
        <w:t>национальных и международных баз данных. В то же время, предоставленные странами показатели собираются с помощью ВОПРОСНИКА ПО СЧЕТАМ МАТЕРИАЛЬНЫХ ПОТОКОВ В ОБЩЕЙ ЭКОНОМИКЕ для показателей ЦУР 8.4.1/12.2.1 и 8.4.2/12.2.2.</w:t>
      </w:r>
    </w:p>
    <w:p w:rsidR="00EC2915" w:rsidRPr="000F77D0" w:rsidRDefault="00EC2915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c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FREQ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)</w:t>
      </w:r>
    </w:p>
    <w:p w:rsidR="00EC2915" w:rsidRPr="000F77D0" w:rsidRDefault="00996E6D" w:rsidP="00576CFA">
      <w:pPr>
        <w:pStyle w:val="MText"/>
      </w:pPr>
      <w:r w:rsidRPr="00996E6D">
        <w:t>Первый сбор данных в 2022 году и каждые 2–3 года после этого.</w:t>
      </w:r>
    </w:p>
    <w:p w:rsidR="00E90769" w:rsidRDefault="00E90769" w:rsidP="00F719A8">
      <w:pPr>
        <w:pStyle w:val="MHeader2"/>
        <w:rPr>
          <w:lang w:val="ru-RU"/>
        </w:rPr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d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выпуска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CAL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POLICY</w:t>
      </w:r>
      <w:r w:rsidRPr="000F77D0">
        <w:rPr>
          <w:color w:val="B4B4B4"/>
          <w:sz w:val="20"/>
          <w:lang w:val="ru-RU"/>
        </w:rPr>
        <w:t>)</w:t>
      </w:r>
    </w:p>
    <w:p w:rsidR="00EC2915" w:rsidRDefault="00996E6D" w:rsidP="00576CFA">
      <w:pPr>
        <w:pStyle w:val="MText"/>
      </w:pPr>
      <w:r w:rsidRPr="00996E6D">
        <w:t>Первый выпуск данных в 2017 году, второй в 2021 году (полно</w:t>
      </w:r>
      <w:r w:rsidR="00E90769">
        <w:t>стью оценочные данные). Затем в </w:t>
      </w:r>
      <w:r w:rsidRPr="00996E6D">
        <w:t>2022 году и каждые 2–3 года после этого (как глобальные оц</w:t>
      </w:r>
      <w:r w:rsidR="00E90769">
        <w:t>еночные данные, так и данные по </w:t>
      </w:r>
      <w:r w:rsidRPr="00996E6D">
        <w:t>странам).</w:t>
      </w:r>
    </w:p>
    <w:p w:rsidR="00996E6D" w:rsidRPr="000F77D0" w:rsidRDefault="00996E6D" w:rsidP="00576CFA">
      <w:pPr>
        <w:pStyle w:val="MText"/>
      </w:pPr>
    </w:p>
    <w:p w:rsidR="00E46D96" w:rsidRPr="00450736" w:rsidRDefault="00E46D96" w:rsidP="00F719A8">
      <w:pPr>
        <w:pStyle w:val="MHeader2"/>
        <w:rPr>
          <w:lang w:val="it-IT"/>
        </w:rPr>
      </w:pPr>
      <w:r w:rsidRPr="00450736">
        <w:rPr>
          <w:lang w:val="it-IT"/>
        </w:rPr>
        <w:t xml:space="preserve">3.e. </w:t>
      </w:r>
      <w:r w:rsidR="000F77D0">
        <w:rPr>
          <w:lang w:val="ru-RU"/>
        </w:rPr>
        <w:t>Поставщики данных</w:t>
      </w:r>
      <w:r w:rsidRPr="00450736">
        <w:rPr>
          <w:lang w:val="it-IT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)</w:t>
      </w:r>
    </w:p>
    <w:p w:rsidR="00EC2915" w:rsidRDefault="00996E6D" w:rsidP="00576CFA">
      <w:pPr>
        <w:pStyle w:val="MText"/>
      </w:pPr>
      <w:r>
        <w:t>Национальные статистические службы</w:t>
      </w:r>
    </w:p>
    <w:p w:rsidR="00996E6D" w:rsidRPr="000F77D0" w:rsidRDefault="00996E6D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f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Составители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COMPILING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</w:t>
      </w:r>
      <w:r w:rsidRPr="000F77D0">
        <w:rPr>
          <w:color w:val="B4B4B4"/>
          <w:sz w:val="20"/>
          <w:lang w:val="ru-RU"/>
        </w:rPr>
        <w:t>)</w:t>
      </w:r>
    </w:p>
    <w:p w:rsidR="00EC2915" w:rsidRDefault="00996E6D" w:rsidP="00576CFA">
      <w:pPr>
        <w:pStyle w:val="MText"/>
      </w:pPr>
      <w:r w:rsidRPr="00996E6D">
        <w:t xml:space="preserve">Программа ООН по окружающей среде (ЮНЕП), Организация </w:t>
      </w:r>
      <w:r w:rsidR="00E90769">
        <w:t>экономического сотрудничества и </w:t>
      </w:r>
      <w:r w:rsidRPr="00996E6D">
        <w:t>развития (ОЭСР) и ЕВРОСТАТ</w:t>
      </w:r>
    </w:p>
    <w:p w:rsidR="00996E6D" w:rsidRPr="000F77D0" w:rsidRDefault="00996E6D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 xml:space="preserve">Институциональный мандат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INST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MANDATE</w:t>
      </w:r>
      <w:r w:rsidRPr="000F77D0">
        <w:rPr>
          <w:color w:val="B4B4B4"/>
          <w:sz w:val="20"/>
          <w:lang w:val="ru-RU"/>
        </w:rPr>
        <w:t>)</w:t>
      </w:r>
    </w:p>
    <w:p w:rsidR="00EC2915" w:rsidRDefault="00996E6D" w:rsidP="00576CFA">
      <w:pPr>
        <w:pStyle w:val="MText"/>
      </w:pPr>
      <w:r w:rsidRPr="00996E6D">
        <w:t xml:space="preserve">ЮНЕП была уполномочена в качестве агентства-хранителя для </w:t>
      </w:r>
      <w:r>
        <w:t>показателя</w:t>
      </w:r>
      <w:r w:rsidRPr="00996E6D">
        <w:t xml:space="preserve"> 8.4.1 / 12.2.1 Межведомственной и экспертной группой по индикаторам ЦУР.</w:t>
      </w:r>
      <w:r w:rsidR="00E90769">
        <w:t xml:space="preserve"> ЮНЕП IRP является механизмом в </w:t>
      </w:r>
      <w:r w:rsidRPr="00996E6D">
        <w:t>ЮНЕП, поддерживающим все аспекты работы, связанные с учетом материальных потоков.</w:t>
      </w:r>
    </w:p>
    <w:p w:rsidR="00996E6D" w:rsidRPr="000F77D0" w:rsidRDefault="00996E6D" w:rsidP="00576CFA">
      <w:pPr>
        <w:pStyle w:val="MText"/>
      </w:pPr>
    </w:p>
    <w:p w:rsidR="00B31E2C" w:rsidRPr="000F77D0" w:rsidRDefault="00B31E2C" w:rsidP="00AF5ED1">
      <w:pPr>
        <w:pStyle w:val="MHeader"/>
        <w:rPr>
          <w:lang w:val="ru-RU"/>
        </w:rPr>
      </w:pPr>
      <w:r w:rsidRPr="000F77D0">
        <w:rPr>
          <w:lang w:val="ru-RU"/>
        </w:rPr>
        <w:t xml:space="preserve">4. </w:t>
      </w:r>
      <w:r w:rsidR="000F77D0">
        <w:rPr>
          <w:lang w:val="ru-RU"/>
        </w:rPr>
        <w:t>Иные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методологические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соображения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AF5ED1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Обоснование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RATIONALE</w:t>
      </w:r>
      <w:r w:rsidRPr="000F77D0">
        <w:rPr>
          <w:color w:val="B4B4B4"/>
          <w:sz w:val="20"/>
          <w:lang w:val="ru-RU"/>
        </w:rPr>
        <w:t>)</w:t>
      </w:r>
    </w:p>
    <w:p w:rsidR="00576CFA" w:rsidRDefault="00996E6D" w:rsidP="00576CFA">
      <w:pPr>
        <w:pStyle w:val="MText"/>
      </w:pPr>
      <w:r>
        <w:t xml:space="preserve">Совокупные </w:t>
      </w:r>
      <w:proofErr w:type="spellStart"/>
      <w:r>
        <w:t>ресурсозатраты</w:t>
      </w:r>
      <w:proofErr w:type="spellEnd"/>
      <w:r>
        <w:t xml:space="preserve"> потребления показываю</w:t>
      </w:r>
      <w:r w:rsidRPr="00996E6D">
        <w:t xml:space="preserve">т количество первичных материалов, необходимых для удовлетворения </w:t>
      </w:r>
      <w:r>
        <w:t>конечного спроса страны, и могут</w:t>
      </w:r>
      <w:r w:rsidRPr="00996E6D">
        <w:t xml:space="preserve"> быть интерпретирован</w:t>
      </w:r>
      <w:r>
        <w:t>ы</w:t>
      </w:r>
      <w:r w:rsidR="00E90769">
        <w:t xml:space="preserve"> как </w:t>
      </w:r>
      <w:r>
        <w:t>показатель</w:t>
      </w:r>
      <w:r w:rsidRPr="00996E6D">
        <w:t xml:space="preserve"> материального </w:t>
      </w:r>
      <w:proofErr w:type="gramStart"/>
      <w:r w:rsidRPr="00996E6D">
        <w:t>уровня жизни/уровня капитализации экономики</w:t>
      </w:r>
      <w:proofErr w:type="gramEnd"/>
      <w:r w:rsidRPr="00996E6D">
        <w:t xml:space="preserve">. </w:t>
      </w:r>
      <w:r>
        <w:t xml:space="preserve">Совокупные </w:t>
      </w:r>
      <w:proofErr w:type="spellStart"/>
      <w:r>
        <w:t>ресурсозатраты</w:t>
      </w:r>
      <w:proofErr w:type="spellEnd"/>
      <w:r>
        <w:t xml:space="preserve"> на душу населения описываю</w:t>
      </w:r>
      <w:r w:rsidRPr="00996E6D">
        <w:t>т среднее использование материалов для конечного спроса.</w:t>
      </w:r>
    </w:p>
    <w:p w:rsidR="00996E6D" w:rsidRPr="000F77D0" w:rsidRDefault="00996E6D" w:rsidP="00576CFA">
      <w:pPr>
        <w:pStyle w:val="MText"/>
      </w:pPr>
    </w:p>
    <w:p w:rsidR="00864917" w:rsidRPr="000F77D0" w:rsidRDefault="00E1050F" w:rsidP="00073094">
      <w:pPr>
        <w:pStyle w:val="MHeader2"/>
        <w:rPr>
          <w:color w:val="4A4A4A"/>
          <w:sz w:val="21"/>
          <w:szCs w:val="21"/>
          <w:lang w:val="ru-RU"/>
        </w:rPr>
      </w:pPr>
      <w:r w:rsidRPr="000F77D0">
        <w:rPr>
          <w:lang w:val="ru-RU"/>
        </w:rPr>
        <w:t>4.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Комментарии и ограничения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USE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LIM</w:t>
      </w:r>
      <w:r w:rsidRPr="000F77D0">
        <w:rPr>
          <w:color w:val="B4B4B4"/>
          <w:sz w:val="20"/>
          <w:lang w:val="ru-RU"/>
        </w:rPr>
        <w:t>)</w:t>
      </w:r>
    </w:p>
    <w:p w:rsidR="00B10373" w:rsidRDefault="00996E6D" w:rsidP="00576CFA">
      <w:pPr>
        <w:pStyle w:val="MText"/>
      </w:pPr>
      <w:r w:rsidRPr="00996E6D">
        <w:t xml:space="preserve">Расчет </w:t>
      </w:r>
      <w:proofErr w:type="spellStart"/>
      <w:r>
        <w:t>ресурсозатрат</w:t>
      </w:r>
      <w:proofErr w:type="spellEnd"/>
      <w:r>
        <w:t xml:space="preserve"> </w:t>
      </w:r>
      <w:r w:rsidRPr="00996E6D">
        <w:t xml:space="preserve">использует глобальный анализ </w:t>
      </w:r>
      <w:proofErr w:type="spellStart"/>
      <w:r>
        <w:t>Мультирегиональные</w:t>
      </w:r>
      <w:proofErr w:type="spellEnd"/>
      <w:r>
        <w:t xml:space="preserve"> «</w:t>
      </w:r>
      <w:proofErr w:type="gramStart"/>
      <w:r>
        <w:t>Затраты-выпуск</w:t>
      </w:r>
      <w:proofErr w:type="gramEnd"/>
      <w:r>
        <w:t>» (</w:t>
      </w:r>
      <w:proofErr w:type="spellStart"/>
      <w:r w:rsidRPr="00996E6D">
        <w:t>Multi-Regional</w:t>
      </w:r>
      <w:proofErr w:type="spellEnd"/>
      <w:r w:rsidRPr="00996E6D">
        <w:t xml:space="preserve"> </w:t>
      </w:r>
      <w:proofErr w:type="spellStart"/>
      <w:r w:rsidRPr="00996E6D">
        <w:t>Input</w:t>
      </w:r>
      <w:proofErr w:type="spellEnd"/>
      <w:r w:rsidRPr="00996E6D">
        <w:t xml:space="preserve"> </w:t>
      </w:r>
      <w:proofErr w:type="spellStart"/>
      <w:r w:rsidRPr="00996E6D">
        <w:t>Output</w:t>
      </w:r>
      <w:proofErr w:type="spellEnd"/>
      <w:r w:rsidRPr="00996E6D">
        <w:t xml:space="preserve"> (MRIO)</w:t>
      </w:r>
      <w:r>
        <w:t>)</w:t>
      </w:r>
      <w:r w:rsidRPr="00996E6D">
        <w:t>, который соб</w:t>
      </w:r>
      <w:r>
        <w:t>ирает информацию из национальной</w:t>
      </w:r>
      <w:r w:rsidRPr="00996E6D">
        <w:t xml:space="preserve"> статистик</w:t>
      </w:r>
      <w:r>
        <w:t>и</w:t>
      </w:r>
      <w:r w:rsidRPr="00996E6D">
        <w:t xml:space="preserve"> многих стран для создания глобальной </w:t>
      </w:r>
      <w:proofErr w:type="spellStart"/>
      <w:r w:rsidRPr="00996E6D">
        <w:t>многорегиональной</w:t>
      </w:r>
      <w:proofErr w:type="spellEnd"/>
      <w:r w:rsidRPr="00996E6D">
        <w:t xml:space="preserve"> таблицы «затраты-выпуск». </w:t>
      </w:r>
      <w:r w:rsidR="00E90769">
        <w:br/>
      </w:r>
      <w:r w:rsidRPr="00996E6D">
        <w:t xml:space="preserve">Этот процесс требует высокого уровня вычислительной мощности суперкомпьютеров. </w:t>
      </w:r>
      <w:r w:rsidR="00E90769">
        <w:br/>
      </w:r>
      <w:r w:rsidRPr="00996E6D">
        <w:t>Поэтому ограниченное число стран может провести анализ самостоятельно.</w:t>
      </w:r>
    </w:p>
    <w:p w:rsidR="00996E6D" w:rsidRPr="000F77D0" w:rsidRDefault="00996E6D" w:rsidP="00576CFA">
      <w:pPr>
        <w:pStyle w:val="MText"/>
      </w:pPr>
    </w:p>
    <w:p w:rsidR="00E1050F" w:rsidRPr="00996E6D" w:rsidRDefault="00E1050F" w:rsidP="00F719A8">
      <w:pPr>
        <w:pStyle w:val="MHeader2"/>
        <w:rPr>
          <w:lang w:val="ru-RU"/>
        </w:rPr>
      </w:pPr>
      <w:r w:rsidRPr="00996E6D">
        <w:rPr>
          <w:lang w:val="ru-RU"/>
        </w:rPr>
        <w:t>4.</w:t>
      </w:r>
      <w:r w:rsidRPr="00A96255">
        <w:t>c</w:t>
      </w:r>
      <w:r w:rsidRPr="00996E6D">
        <w:rPr>
          <w:lang w:val="ru-RU"/>
        </w:rPr>
        <w:t xml:space="preserve">. </w:t>
      </w:r>
      <w:r w:rsidR="000F77D0">
        <w:rPr>
          <w:lang w:val="ru-RU"/>
        </w:rPr>
        <w:t>Метод</w:t>
      </w:r>
      <w:r w:rsidR="000F77D0" w:rsidRPr="00996E6D">
        <w:rPr>
          <w:lang w:val="ru-RU"/>
        </w:rPr>
        <w:t xml:space="preserve"> </w:t>
      </w:r>
      <w:r w:rsidR="000F77D0">
        <w:rPr>
          <w:lang w:val="ru-RU"/>
        </w:rPr>
        <w:t>расчета</w:t>
      </w:r>
      <w:r w:rsidRPr="00996E6D">
        <w:rPr>
          <w:lang w:val="ru-RU"/>
        </w:rPr>
        <w:t xml:space="preserve"> </w:t>
      </w:r>
      <w:r w:rsidRPr="00996E6D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996E6D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COMP</w:t>
      </w:r>
      <w:r w:rsidRPr="00996E6D">
        <w:rPr>
          <w:color w:val="B4B4B4"/>
          <w:sz w:val="20"/>
          <w:lang w:val="ru-RU"/>
        </w:rPr>
        <w:t>)</w:t>
      </w:r>
    </w:p>
    <w:p w:rsidR="00996E6D" w:rsidRPr="00996E6D" w:rsidRDefault="00996E6D" w:rsidP="00996E6D">
      <w:pPr>
        <w:pStyle w:val="MText"/>
      </w:pPr>
      <w:r>
        <w:t xml:space="preserve">Совокупные </w:t>
      </w:r>
      <w:proofErr w:type="spellStart"/>
      <w:r>
        <w:t>р</w:t>
      </w:r>
      <w:r w:rsidRPr="00996E6D">
        <w:t>есурсозатраты</w:t>
      </w:r>
      <w:proofErr w:type="spellEnd"/>
      <w:r w:rsidRPr="00996E6D">
        <w:t xml:space="preserve"> по типу сырья (тонны) рассчитываются, как:</w:t>
      </w:r>
    </w:p>
    <w:p w:rsidR="00996E6D" w:rsidRPr="00996E6D" w:rsidRDefault="00996E6D" w:rsidP="00996E6D">
      <w:pPr>
        <w:pStyle w:val="MText"/>
      </w:pPr>
    </w:p>
    <w:p w:rsidR="00996E6D" w:rsidRPr="00996E6D" w:rsidRDefault="00996E6D" w:rsidP="00996E6D">
      <w:pPr>
        <w:pStyle w:val="MText"/>
        <w:jc w:val="center"/>
      </w:pPr>
      <m:oMath>
        <m:r>
          <w:rPr>
            <w:rFonts w:ascii="Cambria Math" w:hAnsi="Cambria Math"/>
          </w:rPr>
          <m:t xml:space="preserve">MF=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DE</m:t>
            </m:r>
            <m:r>
              <w:rPr>
                <w:rFonts w:ascii="Cambria Math" w:hAnsi="Cambria Math"/>
              </w:rPr>
              <m:t xml:space="preserve">+ </m:t>
            </m:r>
            <m:r>
              <w:rPr>
                <w:rFonts w:ascii="Cambria Math" w:hAnsi="Cambria Math"/>
                <w:lang w:val="en-GB"/>
              </w:rPr>
              <m:t>RME</m:t>
            </m:r>
          </m:e>
          <m:sub>
            <m:r>
              <w:rPr>
                <w:rFonts w:ascii="Cambria Math" w:hAnsi="Cambria Math"/>
                <w:lang w:val="en-GB"/>
              </w:rPr>
              <m:t>IM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RME</m:t>
            </m:r>
          </m:e>
          <m:sub>
            <m:r>
              <w:rPr>
                <w:rFonts w:ascii="Cambria Math" w:hAnsi="Cambria Math"/>
                <w:lang w:val="en-GB"/>
              </w:rPr>
              <m:t>EX</m:t>
            </m:r>
            <m:r>
              <w:rPr>
                <w:rFonts w:ascii="Cambria Math" w:hAnsi="Cambria Math"/>
              </w:rPr>
              <m:t xml:space="preserve"> </m:t>
            </m:r>
          </m:sub>
        </m:sSub>
      </m:oMath>
      <w:r w:rsidRPr="00996E6D">
        <w:rPr>
          <w:rFonts w:eastAsiaTheme="minorEastAsia"/>
        </w:rPr>
        <w:t>,</w:t>
      </w:r>
    </w:p>
    <w:p w:rsidR="00996E6D" w:rsidRPr="00996E6D" w:rsidRDefault="00996E6D" w:rsidP="00996E6D">
      <w:pPr>
        <w:pStyle w:val="MText"/>
      </w:pPr>
      <w:r w:rsidRPr="00996E6D">
        <w:t>где:</w:t>
      </w:r>
    </w:p>
    <w:p w:rsidR="00996E6D" w:rsidRPr="00996E6D" w:rsidRDefault="00996E6D" w:rsidP="00996E6D">
      <w:pPr>
        <w:pStyle w:val="MText"/>
      </w:pPr>
      <m:oMath>
        <m:r>
          <w:rPr>
            <w:rFonts w:ascii="Cambria Math" w:hAnsi="Cambria Math"/>
          </w:rPr>
          <m:t>MF</m:t>
        </m:r>
      </m:oMath>
      <w:r w:rsidRPr="00996E6D">
        <w:t xml:space="preserve"> – совокупные ресурсозатраты;</w:t>
      </w:r>
    </w:p>
    <w:p w:rsidR="00996E6D" w:rsidRPr="00996E6D" w:rsidRDefault="00996E6D" w:rsidP="00996E6D">
      <w:pPr>
        <w:pStyle w:val="MText"/>
      </w:pPr>
      <m:oMath>
        <m:r>
          <w:rPr>
            <w:rFonts w:ascii="Cambria Math" w:hAnsi="Cambria Math"/>
            <w:lang w:val="en-GB"/>
          </w:rPr>
          <m:t>DE</m:t>
        </m:r>
      </m:oMath>
      <w:r w:rsidRPr="00996E6D">
        <w:rPr>
          <w:i/>
          <w:iCs/>
        </w:rPr>
        <w:t xml:space="preserve"> </w:t>
      </w:r>
      <w:r w:rsidRPr="00996E6D">
        <w:t>– внутренняя добыча сырья;</w:t>
      </w:r>
    </w:p>
    <w:p w:rsidR="00996E6D" w:rsidRPr="00996E6D" w:rsidRDefault="004D6630" w:rsidP="00996E6D">
      <w:pPr>
        <w:pStyle w:val="MTex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RME</m:t>
            </m:r>
          </m:e>
          <m:sub>
            <m:r>
              <w:rPr>
                <w:rFonts w:ascii="Cambria Math" w:hAnsi="Cambria Math"/>
                <w:lang w:val="en-GB"/>
              </w:rPr>
              <m:t>IM</m:t>
            </m:r>
          </m:sub>
        </m:sSub>
      </m:oMath>
      <w:r w:rsidR="00996E6D" w:rsidRPr="00996E6D">
        <w:t xml:space="preserve"> – сырьевой эквивалент импорта;</w:t>
      </w:r>
    </w:p>
    <w:p w:rsidR="00996E6D" w:rsidRPr="00996E6D" w:rsidRDefault="004D6630" w:rsidP="00996E6D">
      <w:pPr>
        <w:pStyle w:val="MTex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RME</m:t>
            </m:r>
          </m:e>
          <m:sub>
            <m:r>
              <w:rPr>
                <w:rFonts w:ascii="Cambria Math" w:hAnsi="Cambria Math"/>
                <w:lang w:val="en-GB"/>
              </w:rPr>
              <m:t>EX</m:t>
            </m:r>
          </m:sub>
        </m:sSub>
      </m:oMath>
      <w:r w:rsidR="00996E6D" w:rsidRPr="00996E6D">
        <w:t xml:space="preserve"> – сырьевой эквивалент экспорта.</w:t>
      </w:r>
    </w:p>
    <w:p w:rsidR="00996E6D" w:rsidRPr="00F73B7C" w:rsidRDefault="00996E6D" w:rsidP="00996E6D">
      <w:pPr>
        <w:pStyle w:val="af7"/>
        <w:spacing w:line="276" w:lineRule="auto"/>
      </w:pPr>
    </w:p>
    <w:p w:rsidR="00996E6D" w:rsidRPr="002B0E90" w:rsidRDefault="00996E6D" w:rsidP="008A2FEB">
      <w:pPr>
        <w:pStyle w:val="MText"/>
      </w:pPr>
      <w:r w:rsidRPr="00996E6D">
        <w:t xml:space="preserve">Для определения первичных материальных потребностей конечного спроса требуется применение глобальной, </w:t>
      </w:r>
      <w:proofErr w:type="spellStart"/>
      <w:r w:rsidRPr="00996E6D">
        <w:t>мультирегиональной</w:t>
      </w:r>
      <w:proofErr w:type="spellEnd"/>
      <w:r w:rsidRPr="00996E6D">
        <w:t xml:space="preserve"> системы «</w:t>
      </w:r>
      <w:proofErr w:type="gramStart"/>
      <w:r w:rsidRPr="00996E6D">
        <w:t>Затраты-Выпуск</w:t>
      </w:r>
      <w:proofErr w:type="gramEnd"/>
      <w:r w:rsidRPr="00996E6D">
        <w:t>»</w:t>
      </w:r>
      <w:r w:rsidR="008A2FEB">
        <w:t xml:space="preserve"> (</w:t>
      </w:r>
      <w:r w:rsidR="008A2FEB">
        <w:rPr>
          <w:lang w:val="en-US"/>
        </w:rPr>
        <w:t>MRIO</w:t>
      </w:r>
      <w:r w:rsidR="008A2FEB" w:rsidRPr="008A2FEB">
        <w:t>)</w:t>
      </w:r>
      <w:r w:rsidRPr="00996E6D">
        <w:t>. Метод атрибуции, основанный на аналитических инструментах «</w:t>
      </w:r>
      <w:proofErr w:type="gramStart"/>
      <w:r w:rsidRPr="00996E6D">
        <w:t>Затраты-Выпуск</w:t>
      </w:r>
      <w:proofErr w:type="gramEnd"/>
      <w:r w:rsidRPr="00996E6D">
        <w:t xml:space="preserve">», подробно описан в </w:t>
      </w:r>
      <w:proofErr w:type="spellStart"/>
      <w:r w:rsidRPr="008A2FEB">
        <w:rPr>
          <w:i/>
        </w:rPr>
        <w:t>Wiedmann</w:t>
      </w:r>
      <w:proofErr w:type="spellEnd"/>
      <w:r w:rsidRPr="008A2FEB">
        <w:rPr>
          <w:i/>
        </w:rPr>
        <w:t xml:space="preserve"> </w:t>
      </w:r>
      <w:proofErr w:type="spellStart"/>
      <w:r w:rsidRPr="008A2FEB">
        <w:rPr>
          <w:i/>
        </w:rPr>
        <w:t>et</w:t>
      </w:r>
      <w:proofErr w:type="spellEnd"/>
      <w:r w:rsidRPr="008A2FEB">
        <w:rPr>
          <w:i/>
        </w:rPr>
        <w:t xml:space="preserve"> </w:t>
      </w:r>
      <w:proofErr w:type="spellStart"/>
      <w:r w:rsidRPr="008A2FEB">
        <w:rPr>
          <w:i/>
        </w:rPr>
        <w:t>al</w:t>
      </w:r>
      <w:proofErr w:type="spellEnd"/>
      <w:r w:rsidRPr="008A2FEB">
        <w:rPr>
          <w:i/>
        </w:rPr>
        <w:t>. 2015</w:t>
      </w:r>
      <w:r w:rsidRPr="00996E6D">
        <w:t xml:space="preserve">. Он основан на </w:t>
      </w:r>
      <w:proofErr w:type="spellStart"/>
      <w:r w:rsidR="008A2FEB">
        <w:t>Мультирегиональной</w:t>
      </w:r>
      <w:proofErr w:type="spellEnd"/>
      <w:r w:rsidRPr="00996E6D">
        <w:t xml:space="preserve"> </w:t>
      </w:r>
      <w:r w:rsidR="008A2FEB">
        <w:t xml:space="preserve">системе </w:t>
      </w:r>
      <w:r w:rsidRPr="00996E6D">
        <w:t>«</w:t>
      </w:r>
      <w:proofErr w:type="gramStart"/>
      <w:r w:rsidRPr="00996E6D">
        <w:t>Затраты-Выпуск</w:t>
      </w:r>
      <w:proofErr w:type="gramEnd"/>
      <w:r w:rsidRPr="00996E6D">
        <w:t>» (</w:t>
      </w:r>
      <w:r w:rsidRPr="009408FF">
        <w:t>EORA</w:t>
      </w:r>
      <w:r w:rsidRPr="00996E6D">
        <w:t xml:space="preserve"> </w:t>
      </w:r>
      <w:r w:rsidRPr="009408FF">
        <w:t>MRIO</w:t>
      </w:r>
      <w:r w:rsidRPr="00996E6D">
        <w:t>), разработанно</w:t>
      </w:r>
      <w:r w:rsidR="008A2FEB">
        <w:t>й</w:t>
      </w:r>
      <w:r w:rsidRPr="00996E6D">
        <w:t xml:space="preserve"> Университетом Сиднея, Австралия (</w:t>
      </w:r>
      <w:proofErr w:type="spellStart"/>
      <w:r w:rsidRPr="008A2FEB">
        <w:rPr>
          <w:i/>
        </w:rPr>
        <w:t>Lenzen</w:t>
      </w:r>
      <w:proofErr w:type="spellEnd"/>
      <w:r w:rsidRPr="008A2FEB">
        <w:rPr>
          <w:i/>
        </w:rPr>
        <w:t xml:space="preserve"> и др., 2013</w:t>
      </w:r>
      <w:r w:rsidRPr="00996E6D">
        <w:t>), которы</w:t>
      </w:r>
      <w:r w:rsidR="00E90769">
        <w:t>й хорошо зарекомендовал себя на </w:t>
      </w:r>
      <w:r w:rsidRPr="00996E6D">
        <w:t>международном уровне и является наиболее подробным и надежным подходом</w:t>
      </w:r>
      <w:r w:rsidR="008A2FEB">
        <w:t xml:space="preserve"> </w:t>
      </w:r>
      <w:r w:rsidR="008A2FEB">
        <w:rPr>
          <w:lang w:val="en-US"/>
        </w:rPr>
        <w:t>MRIO</w:t>
      </w:r>
      <w:r w:rsidRPr="00996E6D">
        <w:t xml:space="preserve">, доступным на сегодняшний день. </w:t>
      </w:r>
    </w:p>
    <w:p w:rsidR="008A2FEB" w:rsidRPr="002B0E90" w:rsidRDefault="008A2FEB" w:rsidP="00996E6D">
      <w:pPr>
        <w:spacing w:after="0"/>
        <w:rPr>
          <w:lang w:val="ru-RU"/>
        </w:rPr>
      </w:pPr>
    </w:p>
    <w:p w:rsidR="00996E6D" w:rsidRDefault="00996E6D" w:rsidP="008A2FEB">
      <w:pPr>
        <w:pStyle w:val="MText"/>
      </w:pPr>
      <w:proofErr w:type="spellStart"/>
      <w:r>
        <w:t>Ресурсозатраты</w:t>
      </w:r>
      <w:proofErr w:type="spellEnd"/>
      <w:r w:rsidRPr="0033106A">
        <w:t xml:space="preserve"> на душу населения по видам сырья (тонн</w:t>
      </w:r>
      <w:r>
        <w:t>ы</w:t>
      </w:r>
      <w:r w:rsidRPr="0033106A">
        <w:t>) рассчитыва</w:t>
      </w:r>
      <w:r>
        <w:t>ю</w:t>
      </w:r>
      <w:r w:rsidRPr="0033106A">
        <w:t>тся</w:t>
      </w:r>
      <w:r>
        <w:t>,</w:t>
      </w:r>
      <w:r w:rsidRPr="0033106A">
        <w:t xml:space="preserve"> </w:t>
      </w:r>
      <w:r>
        <w:t>как:</w:t>
      </w:r>
    </w:p>
    <w:p w:rsidR="00996E6D" w:rsidRDefault="00996E6D" w:rsidP="008A2FEB">
      <w:pPr>
        <w:pStyle w:val="MText"/>
      </w:pPr>
    </w:p>
    <w:p w:rsidR="00996E6D" w:rsidRPr="008A2FEB" w:rsidRDefault="00996E6D" w:rsidP="008A2FEB">
      <w:pPr>
        <w:pStyle w:val="MText"/>
        <w:rPr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MF</m:t>
          </m:r>
          <m:r>
            <w:rPr>
              <w:rFonts w:ascii="Cambria Math" w:hAnsi="Cambria Math"/>
            </w:rPr>
            <m:t xml:space="preserve"> на душу=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MF</m:t>
              </m:r>
            </m:num>
            <m:den>
              <m:r>
                <w:rPr>
                  <w:rFonts w:ascii="Cambria Math" w:hAnsi="Cambria Math"/>
                  <w:lang w:val="en-GB"/>
                </w:rPr>
                <m:t>Среднегодовая численность населения</m:t>
              </m:r>
            </m:den>
          </m:f>
        </m:oMath>
      </m:oMathPara>
    </w:p>
    <w:p w:rsidR="008A2FEB" w:rsidRPr="008A2FEB" w:rsidRDefault="008A2FEB" w:rsidP="00996E6D">
      <w:pPr>
        <w:pStyle w:val="af7"/>
        <w:spacing w:line="276" w:lineRule="auto"/>
        <w:rPr>
          <w:lang w:val="en-US"/>
        </w:rPr>
      </w:pPr>
    </w:p>
    <w:p w:rsidR="00996E6D" w:rsidRDefault="00996E6D" w:rsidP="008A2FEB">
      <w:pPr>
        <w:pStyle w:val="MText"/>
      </w:pPr>
      <w:proofErr w:type="spellStart"/>
      <w:r>
        <w:t>Ресурсозатраты</w:t>
      </w:r>
      <w:proofErr w:type="spellEnd"/>
      <w:r w:rsidRPr="00D96DB6">
        <w:t xml:space="preserve"> </w:t>
      </w:r>
      <w:r w:rsidRPr="00CE5ECD">
        <w:t>на единицу ВВП по видам сырья (килограмм</w:t>
      </w:r>
      <w:r>
        <w:t>ы</w:t>
      </w:r>
      <w:r w:rsidRPr="00CE5ECD">
        <w:t xml:space="preserve"> на доллар США </w:t>
      </w:r>
      <w:r>
        <w:t xml:space="preserve">в постоянных ценах </w:t>
      </w:r>
      <w:r w:rsidRPr="00CE5ECD">
        <w:t>2015 год</w:t>
      </w:r>
      <w:r>
        <w:t>а</w:t>
      </w:r>
      <w:r w:rsidRPr="00CE5ECD">
        <w:t>) рассчитыва</w:t>
      </w:r>
      <w:r>
        <w:t>ю</w:t>
      </w:r>
      <w:r w:rsidRPr="00CE5ECD">
        <w:t>тся</w:t>
      </w:r>
      <w:r>
        <w:t>,</w:t>
      </w:r>
      <w:r w:rsidRPr="00CE5ECD">
        <w:t xml:space="preserve"> </w:t>
      </w:r>
      <w:r>
        <w:t>как:</w:t>
      </w:r>
    </w:p>
    <w:p w:rsidR="00996E6D" w:rsidRDefault="00996E6D" w:rsidP="008A2FEB">
      <w:pPr>
        <w:pStyle w:val="MText"/>
      </w:pPr>
    </w:p>
    <w:p w:rsidR="00996E6D" w:rsidRPr="008A2FEB" w:rsidRDefault="008A2FEB" w:rsidP="008A2FEB">
      <w:pPr>
        <w:pStyle w:val="MText"/>
        <w:rPr>
          <w:i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 xml:space="preserve">MF на единицу ВВП= 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MF</m:t>
              </m:r>
            </m:num>
            <m:den>
              <m:r>
                <w:rPr>
                  <w:rFonts w:ascii="Cambria Math" w:hAnsi="Cambria Math"/>
                  <w:lang w:val="es-ES"/>
                </w:rPr>
                <m:t xml:space="preserve">ВВП в </m:t>
              </m:r>
              <m:r>
                <w:rPr>
                  <w:rFonts w:ascii="Cambria Math" w:hAnsi="Cambria Math"/>
                </w:rPr>
                <m:t>долларах США в постоянных ценах 2015 года</m:t>
              </m:r>
            </m:den>
          </m:f>
        </m:oMath>
      </m:oMathPara>
    </w:p>
    <w:p w:rsidR="008A2FEB" w:rsidRDefault="008A2FEB" w:rsidP="00996E6D">
      <w:pPr>
        <w:spacing w:after="0"/>
        <w:rPr>
          <w:lang w:val="en-US"/>
        </w:rPr>
      </w:pPr>
    </w:p>
    <w:p w:rsidR="00E1050F" w:rsidRPr="008A2FEB" w:rsidRDefault="00576CFA" w:rsidP="00F719A8">
      <w:pPr>
        <w:pStyle w:val="MHeader2"/>
        <w:rPr>
          <w:lang w:val="ru-RU"/>
        </w:rPr>
      </w:pPr>
      <w:r w:rsidRPr="008A2FEB">
        <w:rPr>
          <w:lang w:val="ru-RU"/>
        </w:rPr>
        <w:t>4.</w:t>
      </w:r>
      <w:r w:rsidRPr="00873C70">
        <w:t>d</w:t>
      </w:r>
      <w:r w:rsidRPr="008A2FEB">
        <w:rPr>
          <w:lang w:val="ru-RU"/>
        </w:rPr>
        <w:t xml:space="preserve">. </w:t>
      </w:r>
      <w:r w:rsidR="000F77D0">
        <w:rPr>
          <w:lang w:val="ru-RU"/>
        </w:rPr>
        <w:t>Валидация</w:t>
      </w:r>
      <w:r w:rsidRPr="008A2FEB">
        <w:rPr>
          <w:lang w:val="ru-RU"/>
        </w:rPr>
        <w:t xml:space="preserve"> </w:t>
      </w:r>
      <w:r w:rsidRPr="008A2FEB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8A2FEB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VALIDATION</w:t>
      </w:r>
      <w:r w:rsidRPr="008A2FEB">
        <w:rPr>
          <w:color w:val="B4B4B4"/>
          <w:sz w:val="20"/>
          <w:lang w:val="ru-RU"/>
        </w:rPr>
        <w:t>)</w:t>
      </w:r>
    </w:p>
    <w:p w:rsidR="00F719A8" w:rsidRPr="008A2FEB" w:rsidRDefault="008A2FEB" w:rsidP="00576CFA">
      <w:pPr>
        <w:pStyle w:val="MText"/>
      </w:pPr>
      <w:r w:rsidRPr="008A2FEB">
        <w:t>Программа ООН по окружающей среде (ЮНЕП) отправляет пред</w:t>
      </w:r>
      <w:r w:rsidR="00E90769">
        <w:t>варительно заполненную анкету с </w:t>
      </w:r>
      <w:r w:rsidRPr="008A2FEB">
        <w:t>оценочными данными в национа</w:t>
      </w:r>
      <w:r>
        <w:t>льные статистические службы (НС</w:t>
      </w:r>
      <w:proofErr w:type="gramStart"/>
      <w:r>
        <w:rPr>
          <w:lang w:val="en-US"/>
        </w:rPr>
        <w:t>C</w:t>
      </w:r>
      <w:proofErr w:type="gramEnd"/>
      <w:r>
        <w:t>) координаторов</w:t>
      </w:r>
      <w:r w:rsidRPr="008A2FEB">
        <w:t xml:space="preserve"> с просьбой проверить глобальные оценочные данные по этому показателю и заменить данные, если это необходимо/возможно. </w:t>
      </w:r>
      <w:r>
        <w:t>Координатор</w:t>
      </w:r>
      <w:r w:rsidRPr="008A2FEB">
        <w:t xml:space="preserve"> </w:t>
      </w:r>
      <w:r>
        <w:t>организует</w:t>
      </w:r>
      <w:r w:rsidRPr="008A2FEB">
        <w:t xml:space="preserve"> проверку данных с заинтересованными сторонами в своих </w:t>
      </w:r>
      <w:proofErr w:type="gramStart"/>
      <w:r w:rsidRPr="008A2FEB">
        <w:t>странах</w:t>
      </w:r>
      <w:proofErr w:type="gramEnd"/>
      <w:r w:rsidRPr="008A2FEB">
        <w:t xml:space="preserve"> и сообщают данные в ЮНЕП. Для стран, в которых не собраны национальные данные по этому показателю, ЮНЕП просит согласиться на публикацию и выпуск оценочных данных в </w:t>
      </w:r>
      <w:r>
        <w:t>Центр мировой окружающей среды</w:t>
      </w:r>
      <w:r w:rsidRPr="008A2FEB">
        <w:t xml:space="preserve"> ЮНЕП и в Глобальной базе данных ЦУР СОООН.</w:t>
      </w:r>
    </w:p>
    <w:p w:rsidR="008A2FEB" w:rsidRPr="008A2FEB" w:rsidRDefault="008A2FEB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e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Корректировки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ADJUSTMENT</w:t>
      </w:r>
      <w:r w:rsidRPr="000F77D0">
        <w:rPr>
          <w:color w:val="B4B4B4"/>
          <w:sz w:val="20"/>
          <w:lang w:val="ru-RU"/>
        </w:rPr>
        <w:t>)</w:t>
      </w:r>
    </w:p>
    <w:p w:rsidR="00EC2915" w:rsidRDefault="008A2FEB" w:rsidP="00576CFA">
      <w:pPr>
        <w:pStyle w:val="MText"/>
      </w:pPr>
      <w:r w:rsidRPr="008A2FEB">
        <w:t>ЮНЕП заменяет глобальные оценочные данные национальными данными по запросу страны.</w:t>
      </w:r>
    </w:p>
    <w:p w:rsidR="008A2FEB" w:rsidRPr="000F77D0" w:rsidRDefault="008A2FEB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f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Обработка отсутствующих значений (</w:t>
      </w:r>
      <w:r w:rsidR="000F77D0" w:rsidRPr="000F77D0">
        <w:t>i</w:t>
      </w:r>
      <w:r w:rsidR="000F77D0" w:rsidRPr="000F77D0">
        <w:rPr>
          <w:lang w:val="ru-RU"/>
        </w:rPr>
        <w:t>) на уровне страны и (</w:t>
      </w:r>
      <w:r w:rsidR="000F77D0" w:rsidRPr="000F77D0">
        <w:t>ii</w:t>
      </w:r>
      <w:r w:rsidR="000F77D0" w:rsidRPr="000F77D0">
        <w:rPr>
          <w:lang w:val="ru-RU"/>
        </w:rPr>
        <w:t>) на региональном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IMPUTATION</w:t>
      </w:r>
      <w:r w:rsidRPr="000F77D0">
        <w:rPr>
          <w:color w:val="B4B4B4"/>
          <w:sz w:val="20"/>
          <w:lang w:val="ru-RU"/>
        </w:rPr>
        <w:t>)</w:t>
      </w:r>
    </w:p>
    <w:p w:rsidR="008A2FEB" w:rsidRPr="008A2FEB" w:rsidRDefault="008A2FEB" w:rsidP="008A2FEB">
      <w:pPr>
        <w:pStyle w:val="MSubHeader"/>
        <w:numPr>
          <w:ilvl w:val="0"/>
          <w:numId w:val="12"/>
        </w:numPr>
      </w:pPr>
      <w:proofErr w:type="spellStart"/>
      <w:r w:rsidRPr="008A2FEB">
        <w:t>На</w:t>
      </w:r>
      <w:proofErr w:type="spellEnd"/>
      <w:r w:rsidRPr="008A2FEB">
        <w:t xml:space="preserve"> </w:t>
      </w:r>
      <w:proofErr w:type="spellStart"/>
      <w:r w:rsidRPr="008A2FEB">
        <w:t>уровне</w:t>
      </w:r>
      <w:proofErr w:type="spellEnd"/>
      <w:r w:rsidRPr="008A2FEB">
        <w:t xml:space="preserve"> </w:t>
      </w:r>
      <w:proofErr w:type="spellStart"/>
      <w:r w:rsidRPr="008A2FEB">
        <w:t>страны</w:t>
      </w:r>
      <w:proofErr w:type="spellEnd"/>
      <w:r w:rsidRPr="008A2FEB">
        <w:t>:</w:t>
      </w:r>
    </w:p>
    <w:p w:rsidR="008A2FEB" w:rsidRPr="008A2FEB" w:rsidRDefault="008A2FEB" w:rsidP="008A2FEB">
      <w:pPr>
        <w:pStyle w:val="MText"/>
      </w:pPr>
      <w:r w:rsidRPr="008A2FEB">
        <w:t xml:space="preserve">Ноль вменяется, когда в используемых базовых наборах данных официально не было зарегистрировано положительного реального значения для любого из базовых компонентов, составляющих этот агрегированный итог. Таким образом, «0,0» может представлять либо </w:t>
      </w:r>
      <w:r w:rsidR="00704F3B">
        <w:t>недоступность</w:t>
      </w:r>
      <w:r w:rsidRPr="008A2FEB">
        <w:t xml:space="preserve">, либо </w:t>
      </w:r>
      <w:proofErr w:type="gramStart"/>
      <w:r w:rsidRPr="008A2FEB">
        <w:t>подлинный</w:t>
      </w:r>
      <w:proofErr w:type="gramEnd"/>
      <w:r w:rsidRPr="008A2FEB">
        <w:t xml:space="preserve"> 0,0, либо (что особенно важно) комбинацию обоих, что является распространенной ситуацией. Это позволяет легко агрегировать значения дальше; однако следует отметить, что из-за вменения отсутствующих значений </w:t>
      </w:r>
      <w:r w:rsidR="00704F3B">
        <w:t xml:space="preserve">в виде </w:t>
      </w:r>
      <w:r w:rsidRPr="008A2FEB">
        <w:t>«0,0» агрегации могут представлять более низкое значение, чем фактическая ситуация.</w:t>
      </w:r>
    </w:p>
    <w:p w:rsidR="008A2FEB" w:rsidRPr="008A2FEB" w:rsidRDefault="008A2FEB" w:rsidP="008A2FEB">
      <w:pPr>
        <w:pStyle w:val="MText"/>
      </w:pPr>
    </w:p>
    <w:p w:rsidR="008A2FEB" w:rsidRPr="008A2FEB" w:rsidRDefault="00E90769" w:rsidP="008A2FEB">
      <w:pPr>
        <w:pStyle w:val="MSubHeader"/>
        <w:numPr>
          <w:ilvl w:val="0"/>
          <w:numId w:val="12"/>
        </w:numPr>
        <w:rPr>
          <w:lang w:val="ru-RU"/>
        </w:rPr>
      </w:pPr>
      <w:r>
        <w:rPr>
          <w:lang w:val="ru-RU"/>
        </w:rPr>
        <w:t>Н</w:t>
      </w:r>
      <w:r w:rsidR="008A2FEB" w:rsidRPr="008A2FEB">
        <w:rPr>
          <w:lang w:val="ru-RU"/>
        </w:rPr>
        <w:t>а региональном и глобальном уровнях:</w:t>
      </w:r>
    </w:p>
    <w:p w:rsidR="00EC2915" w:rsidRDefault="008A2FEB" w:rsidP="008A2FEB">
      <w:pPr>
        <w:pStyle w:val="MText"/>
      </w:pPr>
      <w:r w:rsidRPr="008A2FEB">
        <w:t>Аналогичным образом отсутствующие значения вменяются как ноль в региональных и глобальных агрегациях. Однако в случае, когда данные по конкретной стран</w:t>
      </w:r>
      <w:r w:rsidR="00E90769">
        <w:t>е вообще отсутствуют, оценки на </w:t>
      </w:r>
      <w:r w:rsidRPr="008A2FEB">
        <w:t>душу населения и ВВП являются средневзвешенными значениями доступных данных.</w:t>
      </w:r>
    </w:p>
    <w:p w:rsidR="00704F3B" w:rsidRDefault="00704F3B" w:rsidP="008A2FEB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Региональное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агрегирование</w:t>
      </w:r>
      <w:r w:rsidR="000F77D0"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AGG</w:t>
      </w:r>
      <w:r w:rsidRPr="000F77D0">
        <w:rPr>
          <w:color w:val="B4B4B4"/>
          <w:sz w:val="20"/>
          <w:lang w:val="ru-RU"/>
        </w:rPr>
        <w:t>)</w:t>
      </w:r>
    </w:p>
    <w:p w:rsidR="00EC2915" w:rsidRDefault="00704F3B" w:rsidP="00576CFA">
      <w:pPr>
        <w:pStyle w:val="MText"/>
      </w:pPr>
      <w:r w:rsidRPr="00704F3B">
        <w:t xml:space="preserve">Данные </w:t>
      </w:r>
      <w:proofErr w:type="spellStart"/>
      <w:r w:rsidRPr="00704F3B">
        <w:t>агрегируются</w:t>
      </w:r>
      <w:proofErr w:type="spellEnd"/>
      <w:r w:rsidRPr="00704F3B">
        <w:t xml:space="preserve"> на субрегиональном, региональном и глобальном уровнях. Для методов агрегации см.: </w:t>
      </w:r>
      <w:hyperlink r:id="rId13" w:history="1">
        <w:r w:rsidRPr="001D5BFC">
          <w:rPr>
            <w:rStyle w:val="ab"/>
          </w:rPr>
          <w:t>http://wesr.unep.org/media/docs/graphs/aggregation_methods.pdf</w:t>
        </w:r>
      </w:hyperlink>
      <w:r>
        <w:t xml:space="preserve"> (на английском).</w:t>
      </w:r>
    </w:p>
    <w:p w:rsidR="00704F3B" w:rsidRPr="000F77D0" w:rsidRDefault="00704F3B" w:rsidP="00576CFA">
      <w:pPr>
        <w:pStyle w:val="MText"/>
      </w:pPr>
    </w:p>
    <w:p w:rsidR="00E1050F" w:rsidRPr="000F77D0" w:rsidRDefault="00576CFA" w:rsidP="00704F3B">
      <w:pPr>
        <w:pStyle w:val="MHeader2"/>
        <w:jc w:val="both"/>
        <w:rPr>
          <w:lang w:val="ru-RU"/>
        </w:rPr>
      </w:pPr>
      <w:r w:rsidRPr="000F77D0">
        <w:rPr>
          <w:lang w:val="ru-RU"/>
        </w:rPr>
        <w:t>4.</w:t>
      </w:r>
      <w:r w:rsidRPr="00A96255">
        <w:t>h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Доступные странам методы и рекомендации для сбора данных на национальном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704F3B" w:rsidRDefault="00704F3B" w:rsidP="004D6630">
      <w:pPr>
        <w:pStyle w:val="MText"/>
        <w:numPr>
          <w:ilvl w:val="0"/>
          <w:numId w:val="12"/>
        </w:numPr>
      </w:pPr>
      <w:proofErr w:type="gramStart"/>
      <w:r>
        <w:t>Программа ООН по окружающей среде (ЮНЕП) совме</w:t>
      </w:r>
      <w:r w:rsidR="00E90769">
        <w:t>стно с Международной группой по </w:t>
      </w:r>
      <w:r>
        <w:t>ресурсам (IRP), Статистическим отделом ООН (СОООН), Статистическим управлением Европейского союза (</w:t>
      </w:r>
      <w:proofErr w:type="spellStart"/>
      <w:r>
        <w:t>Евростат</w:t>
      </w:r>
      <w:proofErr w:type="spellEnd"/>
      <w:r>
        <w:t>) и Организацией экономического сотрудничества и развития (ОЭСР) разработали Глобальное руководство ведению счетов материальных потоков в масштабах всей экономики (СПМ-МЭ</w:t>
      </w:r>
      <w:r w:rsidR="004B071A" w:rsidRPr="004B071A">
        <w:t xml:space="preserve"> </w:t>
      </w:r>
      <w:r w:rsidR="004B071A">
        <w:t xml:space="preserve">или </w:t>
      </w:r>
      <w:r>
        <w:t>EW-MFA</w:t>
      </w:r>
      <w:r w:rsidR="004B071A">
        <w:t>)</w:t>
      </w:r>
      <w:r>
        <w:t>, которое включает евро</w:t>
      </w:r>
      <w:r w:rsidR="004B071A">
        <w:t>пейские руководящие принципы и</w:t>
      </w:r>
      <w:r w:rsidR="00E90769">
        <w:t> </w:t>
      </w:r>
      <w:r>
        <w:t xml:space="preserve">обеспечивает модульный подход для стран, впервые желающих разработать </w:t>
      </w:r>
      <w:r w:rsidR="004B071A">
        <w:t>СПМ-МЭ</w:t>
      </w:r>
      <w:r w:rsidR="004B071A" w:rsidRPr="004B071A">
        <w:t>.</w:t>
      </w:r>
      <w:proofErr w:type="gramEnd"/>
      <w:r w:rsidR="004B071A">
        <w:t xml:space="preserve"> В</w:t>
      </w:r>
      <w:r>
        <w:t xml:space="preserve"> нем рассматриваются конкретные вопросы, связанные с </w:t>
      </w:r>
      <w:r w:rsidR="004B071A">
        <w:t xml:space="preserve">государственными </w:t>
      </w:r>
      <w:r>
        <w:t>экономиками,</w:t>
      </w:r>
      <w:r w:rsidR="004B071A">
        <w:t xml:space="preserve"> основанными на добыче ресурсов:</w:t>
      </w:r>
      <w:r>
        <w:t xml:space="preserve"> </w:t>
      </w:r>
      <w:r w:rsidR="004B071A">
        <w:br/>
      </w:r>
      <w:r>
        <w:t xml:space="preserve">ЮНЕП (2021). </w:t>
      </w:r>
      <w:r w:rsidR="004B071A" w:rsidRPr="004B071A">
        <w:t>Использование природных ресурсов в эконо</w:t>
      </w:r>
      <w:r w:rsidR="00E90769">
        <w:t>мике: глобальное руководство по </w:t>
      </w:r>
      <w:r w:rsidR="004B071A" w:rsidRPr="004B071A">
        <w:t>ведению счетов потоков материалов в масштабах всей экономики</w:t>
      </w:r>
      <w:r>
        <w:t xml:space="preserve">: </w:t>
      </w:r>
      <w:hyperlink r:id="rId14" w:history="1">
        <w:r w:rsidR="004B071A" w:rsidRPr="001D5BFC">
          <w:rPr>
            <w:rStyle w:val="ab"/>
          </w:rPr>
          <w:t>https://wedocs.unep.org/bitstream/handle/20.500.11822/36253/UNRE_RU.pdf?sequence=7&amp;isAllowed=y</w:t>
        </w:r>
      </w:hyperlink>
      <w:r w:rsidR="004B071A">
        <w:br/>
      </w:r>
    </w:p>
    <w:p w:rsidR="00EC2915" w:rsidRDefault="00704F3B" w:rsidP="004D6630">
      <w:pPr>
        <w:pStyle w:val="MText"/>
        <w:numPr>
          <w:ilvl w:val="0"/>
          <w:numId w:val="12"/>
        </w:numPr>
      </w:pPr>
      <w:r>
        <w:t xml:space="preserve">ЕВРОСТАТ (2018). Справочник по счетам материальных потоков в экономике ЕС 2018: </w:t>
      </w:r>
      <w:hyperlink r:id="rId15" w:history="1">
        <w:r w:rsidR="004B071A" w:rsidRPr="001D5BFC">
          <w:rPr>
            <w:rStyle w:val="ab"/>
          </w:rPr>
          <w:t>https://ec.europa.eu/eurostat/web/products-manuals-and-guidelines/-/KS-GQ-18-006</w:t>
        </w:r>
      </w:hyperlink>
      <w:r w:rsidR="004B071A">
        <w:t xml:space="preserve"> (на английском).</w:t>
      </w:r>
    </w:p>
    <w:p w:rsidR="004B071A" w:rsidRPr="000F77D0" w:rsidRDefault="004B071A" w:rsidP="004B071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i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Управление качеством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MGMNT</w:t>
      </w:r>
      <w:r w:rsidRPr="000F77D0">
        <w:rPr>
          <w:color w:val="B4B4B4"/>
          <w:sz w:val="20"/>
          <w:lang w:val="ru-RU"/>
        </w:rPr>
        <w:t>)</w:t>
      </w:r>
    </w:p>
    <w:p w:rsidR="00EC2915" w:rsidRDefault="004B071A" w:rsidP="00576CFA">
      <w:pPr>
        <w:pStyle w:val="MText"/>
      </w:pPr>
      <w:r w:rsidRPr="004B071A">
        <w:t xml:space="preserve">Управление качеством осуществляется Программой ООН по окружающей среде (ЮНЕП) совместно с Международной группой по ресурсам (IRP) с использованием Глобального руководства по </w:t>
      </w:r>
      <w:r>
        <w:t>СПМ-МЭ</w:t>
      </w:r>
      <w:r w:rsidRPr="004B071A">
        <w:t xml:space="preserve"> (ЮНЕП, 2021).</w:t>
      </w:r>
    </w:p>
    <w:p w:rsidR="004B071A" w:rsidRPr="000F77D0" w:rsidRDefault="004B071A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j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Обеспечение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ASSURE</w:t>
      </w:r>
      <w:r w:rsidRPr="000F77D0">
        <w:rPr>
          <w:color w:val="B4B4B4"/>
          <w:sz w:val="20"/>
          <w:lang w:val="ru-RU"/>
        </w:rPr>
        <w:t>)</w:t>
      </w:r>
    </w:p>
    <w:p w:rsidR="00EC2915" w:rsidRDefault="004B071A" w:rsidP="00576CFA">
      <w:pPr>
        <w:pStyle w:val="MText"/>
      </w:pPr>
      <w:r>
        <w:t>Контроль</w:t>
      </w:r>
      <w:r w:rsidRPr="004B071A">
        <w:t xml:space="preserve"> качества осуществляется Программой ООН по окру</w:t>
      </w:r>
      <w:r w:rsidR="00E90769">
        <w:t>жающей среде (ЮНЕП) совместно с </w:t>
      </w:r>
      <w:r w:rsidRPr="004B071A">
        <w:t>Международной группой по ресурсам (IRP) с использованием Г</w:t>
      </w:r>
      <w:r>
        <w:t xml:space="preserve">лобального руководства по СПМ-МЭ </w:t>
      </w:r>
      <w:r w:rsidRPr="004B071A">
        <w:t>(ЮНЕП, 2021).</w:t>
      </w:r>
    </w:p>
    <w:p w:rsidR="004D6630" w:rsidRPr="000F77D0" w:rsidRDefault="004D6630" w:rsidP="00576CFA">
      <w:pPr>
        <w:pStyle w:val="MText"/>
      </w:pPr>
      <w:bookmarkStart w:id="5" w:name="_GoBack"/>
      <w:bookmarkEnd w:id="5"/>
    </w:p>
    <w:p w:rsidR="00E1050F" w:rsidRPr="000F77D0" w:rsidRDefault="004D6630" w:rsidP="00F719A8">
      <w:pPr>
        <w:pStyle w:val="MHeader2"/>
        <w:rPr>
          <w:lang w:val="ru-RU"/>
        </w:rPr>
      </w:pPr>
      <w:r>
        <w:rPr>
          <w:lang w:val="ru-RU"/>
        </w:rPr>
        <w:br w:type="column"/>
      </w:r>
      <w:r w:rsidR="00576CFA" w:rsidRPr="000F77D0">
        <w:rPr>
          <w:lang w:val="ru-RU"/>
        </w:rPr>
        <w:t>4.</w:t>
      </w:r>
      <w:r w:rsidR="00576CFA" w:rsidRPr="00A96255">
        <w:t>k</w:t>
      </w:r>
      <w:r w:rsidR="00576CFA" w:rsidRPr="000F77D0">
        <w:rPr>
          <w:lang w:val="ru-RU"/>
        </w:rPr>
        <w:t xml:space="preserve"> </w:t>
      </w:r>
      <w:r w:rsidR="000F77D0">
        <w:rPr>
          <w:lang w:val="ru-RU"/>
        </w:rPr>
        <w:t>Оценка качества</w:t>
      </w:r>
      <w:r w:rsidR="00576CFA" w:rsidRPr="000F77D0">
        <w:rPr>
          <w:lang w:val="ru-RU"/>
        </w:rPr>
        <w:t xml:space="preserve"> </w:t>
      </w:r>
      <w:r w:rsidR="00576CFA" w:rsidRPr="000F77D0">
        <w:rPr>
          <w:color w:val="B4B4B4"/>
          <w:sz w:val="20"/>
          <w:lang w:val="ru-RU"/>
        </w:rPr>
        <w:t>(</w:t>
      </w:r>
      <w:r w:rsidR="00576CFA">
        <w:rPr>
          <w:color w:val="B4B4B4"/>
          <w:sz w:val="20"/>
        </w:rPr>
        <w:t>QUALITY</w:t>
      </w:r>
      <w:r w:rsidR="00576CFA" w:rsidRPr="000F77D0">
        <w:rPr>
          <w:color w:val="B4B4B4"/>
          <w:sz w:val="20"/>
          <w:lang w:val="ru-RU"/>
        </w:rPr>
        <w:t>_</w:t>
      </w:r>
      <w:r w:rsidR="00576CFA">
        <w:rPr>
          <w:color w:val="B4B4B4"/>
          <w:sz w:val="20"/>
        </w:rPr>
        <w:t>ASSMNT</w:t>
      </w:r>
      <w:r w:rsidR="00576CFA" w:rsidRPr="000F77D0">
        <w:rPr>
          <w:color w:val="B4B4B4"/>
          <w:sz w:val="20"/>
          <w:lang w:val="ru-RU"/>
        </w:rPr>
        <w:t>)</w:t>
      </w:r>
    </w:p>
    <w:p w:rsidR="00576CFA" w:rsidRDefault="004B071A" w:rsidP="00576CFA">
      <w:pPr>
        <w:pStyle w:val="MText"/>
      </w:pPr>
      <w:r w:rsidRPr="004B071A">
        <w:t>Оценка качества проводится Программой ООН по окру</w:t>
      </w:r>
      <w:r w:rsidR="00E90769">
        <w:t>жающей среде (ЮНЕП) совместно с </w:t>
      </w:r>
      <w:r w:rsidRPr="004B071A">
        <w:t>Международной группой по ресурсам (IRP) по согласованию со странами (назначенными координаторами) после получения их отзывов по глобальным оценочным показателям.</w:t>
      </w:r>
    </w:p>
    <w:p w:rsidR="004B071A" w:rsidRPr="000F77D0" w:rsidRDefault="004B071A" w:rsidP="00576CFA">
      <w:pPr>
        <w:pStyle w:val="MText"/>
      </w:pPr>
    </w:p>
    <w:p w:rsidR="00F719A8" w:rsidRPr="000F77D0" w:rsidRDefault="00576CFA" w:rsidP="0071343D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5. </w:t>
      </w:r>
      <w:r w:rsidR="000F77D0">
        <w:rPr>
          <w:lang w:val="ru-RU"/>
        </w:rPr>
        <w:t>Доступность и дезагрегация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COVERAGE</w:t>
      </w:r>
      <w:r w:rsidRPr="000F77D0">
        <w:rPr>
          <w:color w:val="B4B4B4"/>
          <w:sz w:val="20"/>
          <w:lang w:val="ru-RU"/>
        </w:rPr>
        <w:t>)</w:t>
      </w:r>
    </w:p>
    <w:p w:rsidR="004B071A" w:rsidRPr="003900C6" w:rsidRDefault="004B071A" w:rsidP="003900C6">
      <w:pPr>
        <w:pStyle w:val="MSubHeader"/>
        <w:rPr>
          <w:lang w:val="ru-RU"/>
        </w:rPr>
      </w:pPr>
      <w:r w:rsidRPr="003900C6">
        <w:rPr>
          <w:lang w:val="ru-RU"/>
        </w:rPr>
        <w:t>Доступность данных:</w:t>
      </w:r>
    </w:p>
    <w:p w:rsidR="004B071A" w:rsidRDefault="004B071A" w:rsidP="004B071A">
      <w:pPr>
        <w:pStyle w:val="MText"/>
      </w:pPr>
      <w:r>
        <w:t>Данные охватывают около 160 стран (глобально оцененные или данные по странам).</w:t>
      </w:r>
    </w:p>
    <w:p w:rsidR="004B071A" w:rsidRDefault="004B071A" w:rsidP="004B071A">
      <w:pPr>
        <w:pStyle w:val="MText"/>
      </w:pPr>
    </w:p>
    <w:p w:rsidR="004B071A" w:rsidRPr="002B0E90" w:rsidRDefault="004B071A" w:rsidP="003900C6">
      <w:pPr>
        <w:pStyle w:val="MSubHeader"/>
        <w:rPr>
          <w:lang w:val="ru-RU"/>
        </w:rPr>
      </w:pPr>
      <w:r w:rsidRPr="002B0E90">
        <w:rPr>
          <w:lang w:val="ru-RU"/>
        </w:rPr>
        <w:t>Временные ряды:</w:t>
      </w:r>
    </w:p>
    <w:p w:rsidR="004B071A" w:rsidRDefault="004B071A" w:rsidP="004B071A">
      <w:pPr>
        <w:pStyle w:val="MText"/>
      </w:pPr>
      <w:r>
        <w:t>Набор данных, представленный в базе данных ЦУР, охватывает период времени в 20 лет (2000-2019).</w:t>
      </w:r>
    </w:p>
    <w:p w:rsidR="004B071A" w:rsidRDefault="004B071A" w:rsidP="004B071A">
      <w:pPr>
        <w:pStyle w:val="MText"/>
      </w:pPr>
      <w:r>
        <w:t>Международная группа по ресурсам (IRP) публикует на своем веб</w:t>
      </w:r>
      <w:r w:rsidR="00E90769">
        <w:t>-сайте оценочные ряды данных за </w:t>
      </w:r>
      <w:r>
        <w:t>1970-2019 годы.</w:t>
      </w:r>
    </w:p>
    <w:p w:rsidR="004B071A" w:rsidRDefault="004B071A" w:rsidP="004B071A">
      <w:pPr>
        <w:pStyle w:val="MText"/>
      </w:pPr>
    </w:p>
    <w:p w:rsidR="004B071A" w:rsidRPr="003900C6" w:rsidRDefault="004B071A" w:rsidP="003900C6">
      <w:pPr>
        <w:pStyle w:val="MSubHeader"/>
        <w:rPr>
          <w:lang w:val="ru-RU"/>
        </w:rPr>
      </w:pPr>
      <w:r w:rsidRPr="003900C6">
        <w:rPr>
          <w:lang w:val="ru-RU"/>
        </w:rPr>
        <w:t>Дезагрегация:</w:t>
      </w:r>
    </w:p>
    <w:p w:rsidR="0071343D" w:rsidRPr="000F77D0" w:rsidRDefault="003900C6" w:rsidP="004B071A">
      <w:pPr>
        <w:pStyle w:val="MText"/>
      </w:pPr>
      <w:r>
        <w:t>Показатель</w:t>
      </w:r>
      <w:r w:rsidR="004B071A">
        <w:t xml:space="preserve"> </w:t>
      </w:r>
      <w:proofErr w:type="spellStart"/>
      <w:r>
        <w:t>ресурсозатрат</w:t>
      </w:r>
      <w:proofErr w:type="spellEnd"/>
      <w:r>
        <w:t xml:space="preserve"> разбивается</w:t>
      </w:r>
      <w:r w:rsidR="004B071A">
        <w:t xml:space="preserve"> на четыре основные категории материалов (биомасса, ископаемое топливо, металлические руды и неметаллические минералы).</w:t>
      </w:r>
    </w:p>
    <w:p w:rsidR="00D51E7C" w:rsidRPr="000F77D0" w:rsidRDefault="00D51E7C" w:rsidP="00576CFA">
      <w:pPr>
        <w:pStyle w:val="MText"/>
        <w:rPr>
          <w:highlight w:val="cyan"/>
        </w:rPr>
      </w:pPr>
    </w:p>
    <w:p w:rsidR="00382CF3" w:rsidRPr="000F77D0" w:rsidRDefault="00B31E2C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6. </w:t>
      </w:r>
      <w:r w:rsidR="000F77D0">
        <w:rPr>
          <w:lang w:val="ru-RU"/>
        </w:rPr>
        <w:t>Сопоставимость</w:t>
      </w:r>
      <w:r w:rsidRPr="000F77D0">
        <w:rPr>
          <w:lang w:val="ru-RU"/>
        </w:rPr>
        <w:t xml:space="preserve"> / </w:t>
      </w:r>
      <w:r w:rsidR="000F77D0">
        <w:rPr>
          <w:lang w:val="ru-RU"/>
        </w:rPr>
        <w:t>отклонение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от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международных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стандартов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COMPARABILITY</w:t>
      </w:r>
      <w:r w:rsidRPr="000F77D0">
        <w:rPr>
          <w:color w:val="B4B4B4"/>
          <w:sz w:val="20"/>
          <w:lang w:val="ru-RU"/>
        </w:rPr>
        <w:t>)</w:t>
      </w:r>
    </w:p>
    <w:p w:rsidR="00F719A8" w:rsidRDefault="003900C6" w:rsidP="00576CFA">
      <w:pPr>
        <w:pStyle w:val="MText"/>
      </w:pPr>
      <w:proofErr w:type="gramStart"/>
      <w:r>
        <w:t xml:space="preserve">Совокупные </w:t>
      </w:r>
      <w:proofErr w:type="spellStart"/>
      <w:r>
        <w:t>ресурсозатраты</w:t>
      </w:r>
      <w:proofErr w:type="spellEnd"/>
      <w:r w:rsidR="004B071A" w:rsidRPr="004B071A">
        <w:t xml:space="preserve"> рассчитывается в соответствии с международными стандартами, рекомендациями и классификациями, такими как Система национальных счетов 2008 года, Система эколого-экономического учета – Центральная основ</w:t>
      </w:r>
      <w:r w:rsidR="00E90769">
        <w:t>а 2012 года, Платежный баланс и </w:t>
      </w:r>
      <w:r w:rsidR="004B071A" w:rsidRPr="004B071A">
        <w:t>международная инвестиционная позиция</w:t>
      </w:r>
      <w:r>
        <w:t xml:space="preserve"> (</w:t>
      </w:r>
      <w:r>
        <w:rPr>
          <w:lang w:val="en-US"/>
        </w:rPr>
        <w:t>BOP</w:t>
      </w:r>
      <w:r w:rsidRPr="003900C6">
        <w:t>/</w:t>
      </w:r>
      <w:r>
        <w:rPr>
          <w:lang w:val="en-US"/>
        </w:rPr>
        <w:t>IIP</w:t>
      </w:r>
      <w:r w:rsidRPr="003900C6">
        <w:t>)</w:t>
      </w:r>
      <w:r w:rsidR="004B071A" w:rsidRPr="004B071A">
        <w:t>, Международная стандартная отраслевая классификация всех видов экономической деятельности (МСОК), Классификация основных продуктов (</w:t>
      </w:r>
      <w:r>
        <w:rPr>
          <w:lang w:val="en-US"/>
        </w:rPr>
        <w:t>CPC</w:t>
      </w:r>
      <w:r w:rsidR="004B071A" w:rsidRPr="004B071A">
        <w:t xml:space="preserve">) и </w:t>
      </w:r>
      <w:r>
        <w:t>Базовые принципы развития статистики окружающей среды (</w:t>
      </w:r>
      <w:r>
        <w:rPr>
          <w:lang w:val="en-US"/>
        </w:rPr>
        <w:t>FDES</w:t>
      </w:r>
      <w:r w:rsidRPr="003900C6">
        <w:t>)</w:t>
      </w:r>
      <w:r w:rsidR="004B071A" w:rsidRPr="004B071A">
        <w:t>.</w:t>
      </w:r>
      <w:proofErr w:type="gramEnd"/>
    </w:p>
    <w:p w:rsidR="003900C6" w:rsidRDefault="003900C6" w:rsidP="00576CFA">
      <w:pPr>
        <w:pStyle w:val="MText"/>
      </w:pPr>
    </w:p>
    <w:p w:rsidR="003900C6" w:rsidRPr="002B0E90" w:rsidRDefault="003900C6" w:rsidP="003900C6">
      <w:pPr>
        <w:pStyle w:val="MSubHeader"/>
        <w:rPr>
          <w:lang w:val="ru-RU"/>
        </w:rPr>
      </w:pPr>
      <w:r w:rsidRPr="002B0E90">
        <w:rPr>
          <w:lang w:val="ru-RU"/>
        </w:rPr>
        <w:t>Источники расхождений:</w:t>
      </w:r>
    </w:p>
    <w:p w:rsidR="003900C6" w:rsidRDefault="003900C6" w:rsidP="003900C6">
      <w:pPr>
        <w:pStyle w:val="MText"/>
      </w:pPr>
      <w:r>
        <w:t>Не применимо</w:t>
      </w:r>
    </w:p>
    <w:p w:rsidR="003900C6" w:rsidRPr="000F77D0" w:rsidRDefault="003900C6" w:rsidP="003900C6">
      <w:pPr>
        <w:pStyle w:val="MText"/>
      </w:pPr>
    </w:p>
    <w:p w:rsidR="00382CF3" w:rsidRPr="000F77D0" w:rsidRDefault="00576CFA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7. </w:t>
      </w:r>
      <w:r w:rsidR="000F77D0">
        <w:rPr>
          <w:lang w:val="ru-RU"/>
        </w:rPr>
        <w:t>Ссылки и документы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)</w:t>
      </w:r>
    </w:p>
    <w:p w:rsidR="003900C6" w:rsidRPr="002B0E90" w:rsidRDefault="003900C6" w:rsidP="003900C6">
      <w:pPr>
        <w:pStyle w:val="MSubHeader"/>
        <w:rPr>
          <w:lang w:val="ru-RU"/>
        </w:rPr>
      </w:pPr>
      <w:r>
        <w:t>URL</w:t>
      </w:r>
      <w:r w:rsidRPr="002B0E90">
        <w:rPr>
          <w:lang w:val="ru-RU"/>
        </w:rPr>
        <w:t>:</w:t>
      </w:r>
    </w:p>
    <w:p w:rsidR="003900C6" w:rsidRDefault="003900C6" w:rsidP="003900C6">
      <w:pPr>
        <w:pStyle w:val="MText"/>
      </w:pPr>
      <w:r>
        <w:t xml:space="preserve">ЮНЕП (2021), </w:t>
      </w:r>
      <w:r w:rsidRPr="003900C6">
        <w:t>Использование природных ресурсов в эконо</w:t>
      </w:r>
      <w:r w:rsidR="00E90769">
        <w:t>мике: глобальное руководство по </w:t>
      </w:r>
      <w:r w:rsidRPr="003900C6">
        <w:t>ведению счетов потоков материалов в масштабах всей экономики</w:t>
      </w:r>
      <w:r>
        <w:t xml:space="preserve">. </w:t>
      </w:r>
      <w:hyperlink r:id="rId16" w:history="1">
        <w:r w:rsidRPr="001D5BFC">
          <w:rPr>
            <w:rStyle w:val="ab"/>
          </w:rPr>
          <w:t>https://wedocs.unep.org/bitstream/handle/20.500.11822/36253/UNRE.pdf?sequence=3&amp;isAllowed=y</w:t>
        </w:r>
      </w:hyperlink>
      <w:r>
        <w:t xml:space="preserve"> </w:t>
      </w:r>
    </w:p>
    <w:p w:rsidR="003900C6" w:rsidRDefault="003900C6" w:rsidP="003900C6">
      <w:pPr>
        <w:pStyle w:val="MText"/>
      </w:pPr>
    </w:p>
    <w:p w:rsidR="003900C6" w:rsidRPr="002B0E90" w:rsidRDefault="003900C6" w:rsidP="003900C6">
      <w:pPr>
        <w:pStyle w:val="MSubHeader"/>
        <w:rPr>
          <w:lang w:val="ru-RU"/>
        </w:rPr>
      </w:pPr>
      <w:r w:rsidRPr="002B0E90">
        <w:rPr>
          <w:lang w:val="ru-RU"/>
        </w:rPr>
        <w:t>Ссылки:</w:t>
      </w:r>
    </w:p>
    <w:p w:rsidR="003900C6" w:rsidRDefault="003900C6" w:rsidP="003900C6">
      <w:pPr>
        <w:pStyle w:val="MText"/>
      </w:pPr>
      <w:r>
        <w:t>ЕВРОСТАТ (2013). Счета материальных потоков в масштабах</w:t>
      </w:r>
      <w:r w:rsidR="00E90769">
        <w:t xml:space="preserve"> всей экономики. Руководство по </w:t>
      </w:r>
      <w:r>
        <w:t xml:space="preserve">составлению 2013: </w:t>
      </w:r>
      <w:hyperlink r:id="rId17" w:history="1">
        <w:r w:rsidRPr="001D5BFC">
          <w:rPr>
            <w:rStyle w:val="ab"/>
          </w:rPr>
          <w:t>https://ec.europa.eu/eurostat/documents/1798247/6191533/2013-EW-MFA-Guide-10Sep2013.pdf/54087dfb-1fb0-40f2-b1e4-64ed22ae3f4c</w:t>
        </w:r>
      </w:hyperlink>
    </w:p>
    <w:p w:rsidR="003900C6" w:rsidRDefault="003900C6" w:rsidP="003900C6">
      <w:pPr>
        <w:pStyle w:val="MText"/>
      </w:pPr>
    </w:p>
    <w:p w:rsidR="003900C6" w:rsidRDefault="003900C6" w:rsidP="003900C6">
      <w:pPr>
        <w:pStyle w:val="MText"/>
      </w:pPr>
      <w:r>
        <w:t xml:space="preserve">ЕВРОСТАТ (2018). Справочник по счетам материальных потоков в экономике ЕС 2018: </w:t>
      </w:r>
      <w:hyperlink r:id="rId18" w:history="1">
        <w:r w:rsidRPr="001D5BFC">
          <w:rPr>
            <w:rStyle w:val="ab"/>
          </w:rPr>
          <w:t>https://ec.europa.eu/eurostat/web/products-manuals-and-guidelines/-/KS-GQ-18-006</w:t>
        </w:r>
      </w:hyperlink>
      <w:r>
        <w:t xml:space="preserve"> </w:t>
      </w:r>
    </w:p>
    <w:p w:rsidR="003900C6" w:rsidRDefault="003900C6" w:rsidP="003900C6">
      <w:pPr>
        <w:pStyle w:val="MText"/>
      </w:pPr>
    </w:p>
    <w:p w:rsidR="003900C6" w:rsidRDefault="003900C6" w:rsidP="003900C6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proofErr w:type="spellStart"/>
      <w:r>
        <w:rPr>
          <w:rFonts w:eastAsia="Times New Roman" w:cs="Times New Roman"/>
          <w:color w:val="4A4A4A"/>
          <w:sz w:val="21"/>
          <w:szCs w:val="21"/>
          <w:lang w:eastAsia="en-GB"/>
        </w:rPr>
        <w:t>Wiedmann</w:t>
      </w:r>
      <w:proofErr w:type="spell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, T., H.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en-GB"/>
        </w:rPr>
        <w:t>Schandl</w:t>
      </w:r>
      <w:proofErr w:type="spell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, M.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en-GB"/>
        </w:rPr>
        <w:t>Lenzen</w:t>
      </w:r>
      <w:proofErr w:type="spell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, D. Moran, S.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en-GB"/>
        </w:rPr>
        <w:t>Suh</w:t>
      </w:r>
      <w:proofErr w:type="spell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, J. West, K.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en-GB"/>
        </w:rPr>
        <w:t>Kanemoto</w:t>
      </w:r>
      <w:proofErr w:type="spell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, (2013) </w:t>
      </w:r>
      <w:proofErr w:type="gramStart"/>
      <w:r>
        <w:rPr>
          <w:rFonts w:eastAsia="Times New Roman" w:cs="Times New Roman"/>
          <w:color w:val="4A4A4A"/>
          <w:sz w:val="21"/>
          <w:szCs w:val="21"/>
          <w:lang w:eastAsia="en-GB"/>
        </w:rPr>
        <w:t>The</w:t>
      </w:r>
      <w:proofErr w:type="gramEnd"/>
      <w:r>
        <w:rPr>
          <w:rFonts w:eastAsia="Times New Roman" w:cs="Times New Roman"/>
          <w:color w:val="4A4A4A"/>
          <w:sz w:val="21"/>
          <w:szCs w:val="21"/>
          <w:lang w:eastAsia="en-GB"/>
        </w:rPr>
        <w:t xml:space="preserve"> Material Footprint of Nations, Proc. Nat. Acad. Sci. Online before print.</w:t>
      </w:r>
    </w:p>
    <w:p w:rsidR="003900C6" w:rsidRDefault="003900C6" w:rsidP="003900C6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:rsidR="003900C6" w:rsidRDefault="003900C6" w:rsidP="003900C6">
      <w:pPr>
        <w:shd w:val="clear" w:color="auto" w:fill="FFFFFF"/>
        <w:spacing w:after="0"/>
      </w:pPr>
      <w:proofErr w:type="spellStart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>Lenzen</w:t>
      </w:r>
      <w:proofErr w:type="spellEnd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 xml:space="preserve">, M., Moran, D., </w:t>
      </w:r>
      <w:proofErr w:type="spellStart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>Kanemoto</w:t>
      </w:r>
      <w:proofErr w:type="spellEnd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 xml:space="preserve">, K., </w:t>
      </w:r>
      <w:proofErr w:type="spellStart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>Geschke</w:t>
      </w:r>
      <w:proofErr w:type="spellEnd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 xml:space="preserve">, A. (2013) Building </w:t>
      </w:r>
      <w:proofErr w:type="spellStart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>Eora</w:t>
      </w:r>
      <w:proofErr w:type="spellEnd"/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 xml:space="preserve">: A global Multi-regional Input-Output Database at High Country and </w:t>
      </w:r>
      <w:r>
        <w:rPr>
          <w:rFonts w:eastAsia="Times New Roman" w:cs="Times New Roman"/>
          <w:color w:val="4A4A4A"/>
          <w:sz w:val="21"/>
          <w:szCs w:val="21"/>
          <w:lang w:val="en-US" w:eastAsia="en-GB"/>
        </w:rPr>
        <w:t>Sector</w:t>
      </w:r>
      <w:r w:rsidRPr="00423089">
        <w:rPr>
          <w:rFonts w:eastAsia="Times New Roman" w:cs="Times New Roman"/>
          <w:color w:val="4A4A4A"/>
          <w:sz w:val="21"/>
          <w:szCs w:val="21"/>
          <w:lang w:val="en-US" w:eastAsia="en-GB"/>
        </w:rPr>
        <w:t xml:space="preserve"> Resolution, Economic Systems Research, 25:1, 20-49. </w:t>
      </w:r>
    </w:p>
    <w:sectPr w:rsidR="003900C6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90" w:rsidRDefault="002B0E90" w:rsidP="00573C0B">
      <w:pPr>
        <w:spacing w:after="0" w:line="240" w:lineRule="auto"/>
      </w:pPr>
      <w:r>
        <w:separator/>
      </w:r>
    </w:p>
  </w:endnote>
  <w:endnote w:type="continuationSeparator" w:id="0">
    <w:p w:rsidR="002B0E90" w:rsidRDefault="002B0E90" w:rsidP="00573C0B">
      <w:pPr>
        <w:spacing w:after="0" w:line="240" w:lineRule="auto"/>
      </w:pPr>
      <w:r>
        <w:continuationSeparator/>
      </w:r>
    </w:p>
  </w:endnote>
  <w:endnote w:type="continuationNotice" w:id="1">
    <w:p w:rsidR="002B0E90" w:rsidRDefault="002B0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90" w:rsidRPr="00217FFC" w:rsidRDefault="002B0E90">
    <w:pPr>
      <w:pStyle w:val="ae"/>
      <w:rPr>
        <w:sz w:val="12"/>
        <w:lang w:val="ru-RU"/>
      </w:rPr>
    </w:pPr>
    <w:r w:rsidRPr="00217FFC">
      <w:rPr>
        <w:sz w:val="12"/>
        <w:lang w:val="ru-RU"/>
      </w:rP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90" w:rsidRDefault="002B0E90" w:rsidP="00573C0B">
      <w:pPr>
        <w:spacing w:after="0" w:line="240" w:lineRule="auto"/>
      </w:pPr>
      <w:r>
        <w:separator/>
      </w:r>
    </w:p>
  </w:footnote>
  <w:footnote w:type="continuationSeparator" w:id="0">
    <w:p w:rsidR="002B0E90" w:rsidRDefault="002B0E90" w:rsidP="00573C0B">
      <w:pPr>
        <w:spacing w:after="0" w:line="240" w:lineRule="auto"/>
      </w:pPr>
      <w:r>
        <w:continuationSeparator/>
      </w:r>
    </w:p>
  </w:footnote>
  <w:footnote w:type="continuationNotice" w:id="1">
    <w:p w:rsidR="002B0E90" w:rsidRDefault="002B0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90" w:rsidRPr="00757E8A" w:rsidRDefault="002B0E90" w:rsidP="00C441A1">
    <w:pPr>
      <w:pStyle w:val="ac"/>
      <w:jc w:val="right"/>
      <w:rPr>
        <w:color w:val="404040" w:themeColor="text1" w:themeTint="BF"/>
        <w:sz w:val="18"/>
        <w:szCs w:val="18"/>
      </w:rPr>
    </w:pPr>
    <w:bookmarkStart w:id="6" w:name="_Hlk506197003"/>
    <w:bookmarkStart w:id="7" w:name="_Hlk506197004"/>
    <w:bookmarkStart w:id="8" w:name="_Hlk506197005"/>
    <w:bookmarkStart w:id="9" w:name="_Hlk516233502"/>
    <w:bookmarkStart w:id="10" w:name="_Hlk516233503"/>
    <w:bookmarkStart w:id="11" w:name="_Hlk516233504"/>
    <w:r>
      <w:rPr>
        <w:color w:val="404040" w:themeColor="text1" w:themeTint="BF"/>
        <w:sz w:val="18"/>
        <w:szCs w:val="18"/>
        <w:lang w:val="ru-RU"/>
      </w:rPr>
      <w:t>Дата перевода</w:t>
    </w:r>
    <w:r w:rsidRPr="00757E8A">
      <w:rPr>
        <w:color w:val="404040" w:themeColor="text1" w:themeTint="BF"/>
        <w:sz w:val="18"/>
        <w:szCs w:val="18"/>
      </w:rPr>
      <w:t>:</w:t>
    </w:r>
    <w:bookmarkEnd w:id="6"/>
    <w:bookmarkEnd w:id="7"/>
    <w:bookmarkEnd w:id="8"/>
    <w:bookmarkEnd w:id="9"/>
    <w:bookmarkEnd w:id="10"/>
    <w:bookmarkEnd w:id="11"/>
    <w:r>
      <w:rPr>
        <w:color w:val="404040" w:themeColor="text1" w:themeTint="BF"/>
        <w:sz w:val="18"/>
        <w:szCs w:val="18"/>
      </w:rPr>
      <w:t xml:space="preserve"> 2024-07-29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999"/>
    <w:multiLevelType w:val="hybridMultilevel"/>
    <w:tmpl w:val="6C4C30DA"/>
    <w:lvl w:ilvl="0" w:tplc="D90EA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3C8"/>
    <w:multiLevelType w:val="hybridMultilevel"/>
    <w:tmpl w:val="59FA3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5F1D"/>
    <w:multiLevelType w:val="hybridMultilevel"/>
    <w:tmpl w:val="668A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54AE"/>
    <w:multiLevelType w:val="hybridMultilevel"/>
    <w:tmpl w:val="A4F6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13D"/>
    <w:multiLevelType w:val="hybridMultilevel"/>
    <w:tmpl w:val="7C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390C"/>
    <w:multiLevelType w:val="hybridMultilevel"/>
    <w:tmpl w:val="723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B4358"/>
    <w:multiLevelType w:val="hybridMultilevel"/>
    <w:tmpl w:val="4018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FC"/>
    <w:rsid w:val="00004604"/>
    <w:rsid w:val="000070BA"/>
    <w:rsid w:val="00013D61"/>
    <w:rsid w:val="000173F9"/>
    <w:rsid w:val="000263F9"/>
    <w:rsid w:val="000412A0"/>
    <w:rsid w:val="00041F8B"/>
    <w:rsid w:val="00047DDA"/>
    <w:rsid w:val="0005455A"/>
    <w:rsid w:val="00061246"/>
    <w:rsid w:val="00071F07"/>
    <w:rsid w:val="00073094"/>
    <w:rsid w:val="0007759D"/>
    <w:rsid w:val="000777AB"/>
    <w:rsid w:val="00077F46"/>
    <w:rsid w:val="00090B11"/>
    <w:rsid w:val="00090FB1"/>
    <w:rsid w:val="00093CCB"/>
    <w:rsid w:val="00096186"/>
    <w:rsid w:val="00096D10"/>
    <w:rsid w:val="000A2A1A"/>
    <w:rsid w:val="000A72E4"/>
    <w:rsid w:val="000B0E2F"/>
    <w:rsid w:val="000B2430"/>
    <w:rsid w:val="000B28C3"/>
    <w:rsid w:val="000D0B30"/>
    <w:rsid w:val="000E21F1"/>
    <w:rsid w:val="000F1D8A"/>
    <w:rsid w:val="000F2861"/>
    <w:rsid w:val="000F703E"/>
    <w:rsid w:val="000F77D0"/>
    <w:rsid w:val="001024D2"/>
    <w:rsid w:val="00115EA3"/>
    <w:rsid w:val="00120E86"/>
    <w:rsid w:val="00125DE9"/>
    <w:rsid w:val="001332E0"/>
    <w:rsid w:val="00134DE7"/>
    <w:rsid w:val="00185354"/>
    <w:rsid w:val="001854DC"/>
    <w:rsid w:val="00186795"/>
    <w:rsid w:val="00194D09"/>
    <w:rsid w:val="001A7D5C"/>
    <w:rsid w:val="001B60AA"/>
    <w:rsid w:val="001B63C8"/>
    <w:rsid w:val="001C1972"/>
    <w:rsid w:val="001C421F"/>
    <w:rsid w:val="001D360D"/>
    <w:rsid w:val="001F2066"/>
    <w:rsid w:val="00217FFC"/>
    <w:rsid w:val="00261A8D"/>
    <w:rsid w:val="00272069"/>
    <w:rsid w:val="00283C1C"/>
    <w:rsid w:val="00291A00"/>
    <w:rsid w:val="00291A11"/>
    <w:rsid w:val="002926E6"/>
    <w:rsid w:val="002A28ED"/>
    <w:rsid w:val="002A315C"/>
    <w:rsid w:val="002A3342"/>
    <w:rsid w:val="002A64BA"/>
    <w:rsid w:val="002B0E90"/>
    <w:rsid w:val="002B4989"/>
    <w:rsid w:val="002C2510"/>
    <w:rsid w:val="002D714E"/>
    <w:rsid w:val="002E53C3"/>
    <w:rsid w:val="002F1468"/>
    <w:rsid w:val="002F5F0C"/>
    <w:rsid w:val="003265EB"/>
    <w:rsid w:val="00336C0C"/>
    <w:rsid w:val="0034329E"/>
    <w:rsid w:val="00343FAA"/>
    <w:rsid w:val="00347F5E"/>
    <w:rsid w:val="00352B30"/>
    <w:rsid w:val="00353C98"/>
    <w:rsid w:val="00365477"/>
    <w:rsid w:val="00371A20"/>
    <w:rsid w:val="00375018"/>
    <w:rsid w:val="00375DC4"/>
    <w:rsid w:val="003814BB"/>
    <w:rsid w:val="003821B4"/>
    <w:rsid w:val="00382CF3"/>
    <w:rsid w:val="00387D52"/>
    <w:rsid w:val="003900C6"/>
    <w:rsid w:val="003A3A8F"/>
    <w:rsid w:val="003A7CEA"/>
    <w:rsid w:val="003B10B4"/>
    <w:rsid w:val="003C3A27"/>
    <w:rsid w:val="003F0BD3"/>
    <w:rsid w:val="003F278A"/>
    <w:rsid w:val="003F7A02"/>
    <w:rsid w:val="00420F4D"/>
    <w:rsid w:val="00422EA5"/>
    <w:rsid w:val="00422EFA"/>
    <w:rsid w:val="0042791F"/>
    <w:rsid w:val="00427DA8"/>
    <w:rsid w:val="004456ED"/>
    <w:rsid w:val="00450736"/>
    <w:rsid w:val="00471393"/>
    <w:rsid w:val="004723D0"/>
    <w:rsid w:val="0048045A"/>
    <w:rsid w:val="004841B8"/>
    <w:rsid w:val="004930F2"/>
    <w:rsid w:val="004B071A"/>
    <w:rsid w:val="004B0F1C"/>
    <w:rsid w:val="004D6630"/>
    <w:rsid w:val="004D6D36"/>
    <w:rsid w:val="004F2EE6"/>
    <w:rsid w:val="004F3243"/>
    <w:rsid w:val="00502DBA"/>
    <w:rsid w:val="005040C4"/>
    <w:rsid w:val="00507637"/>
    <w:rsid w:val="00507852"/>
    <w:rsid w:val="00514DBF"/>
    <w:rsid w:val="005150F5"/>
    <w:rsid w:val="00523E53"/>
    <w:rsid w:val="00550921"/>
    <w:rsid w:val="005540B2"/>
    <w:rsid w:val="00563712"/>
    <w:rsid w:val="00573631"/>
    <w:rsid w:val="00573C0B"/>
    <w:rsid w:val="00574703"/>
    <w:rsid w:val="00576CFA"/>
    <w:rsid w:val="0058556D"/>
    <w:rsid w:val="00592AF2"/>
    <w:rsid w:val="005947AD"/>
    <w:rsid w:val="00597748"/>
    <w:rsid w:val="005979E8"/>
    <w:rsid w:val="00597A4E"/>
    <w:rsid w:val="005B56D5"/>
    <w:rsid w:val="005B711E"/>
    <w:rsid w:val="005D0AF4"/>
    <w:rsid w:val="005D5510"/>
    <w:rsid w:val="005D6DAC"/>
    <w:rsid w:val="005E2E34"/>
    <w:rsid w:val="005E54BD"/>
    <w:rsid w:val="005F6CCA"/>
    <w:rsid w:val="0060179C"/>
    <w:rsid w:val="006104AF"/>
    <w:rsid w:val="00621893"/>
    <w:rsid w:val="006322A4"/>
    <w:rsid w:val="006351E1"/>
    <w:rsid w:val="006447B1"/>
    <w:rsid w:val="00652EA7"/>
    <w:rsid w:val="00662775"/>
    <w:rsid w:val="006725E5"/>
    <w:rsid w:val="00672FA1"/>
    <w:rsid w:val="006775B8"/>
    <w:rsid w:val="006852FC"/>
    <w:rsid w:val="0069193E"/>
    <w:rsid w:val="006A0DA2"/>
    <w:rsid w:val="006B40AB"/>
    <w:rsid w:val="006B5DC5"/>
    <w:rsid w:val="006B6CBA"/>
    <w:rsid w:val="006C4BFD"/>
    <w:rsid w:val="006C7D30"/>
    <w:rsid w:val="006E3C08"/>
    <w:rsid w:val="00700ACF"/>
    <w:rsid w:val="00704F3B"/>
    <w:rsid w:val="00712487"/>
    <w:rsid w:val="0071343D"/>
    <w:rsid w:val="0075257E"/>
    <w:rsid w:val="007530CA"/>
    <w:rsid w:val="007551F4"/>
    <w:rsid w:val="00756D68"/>
    <w:rsid w:val="007578D9"/>
    <w:rsid w:val="00757E8A"/>
    <w:rsid w:val="00763E43"/>
    <w:rsid w:val="00764EB5"/>
    <w:rsid w:val="007677B1"/>
    <w:rsid w:val="00777493"/>
    <w:rsid w:val="00777A95"/>
    <w:rsid w:val="00782416"/>
    <w:rsid w:val="00796AE7"/>
    <w:rsid w:val="007A1354"/>
    <w:rsid w:val="007B0364"/>
    <w:rsid w:val="007B4751"/>
    <w:rsid w:val="007C2FF5"/>
    <w:rsid w:val="007D0981"/>
    <w:rsid w:val="007D1929"/>
    <w:rsid w:val="00803CF1"/>
    <w:rsid w:val="008104BB"/>
    <w:rsid w:val="00816279"/>
    <w:rsid w:val="00822208"/>
    <w:rsid w:val="008249C5"/>
    <w:rsid w:val="008526F9"/>
    <w:rsid w:val="0085285E"/>
    <w:rsid w:val="00853023"/>
    <w:rsid w:val="008534D4"/>
    <w:rsid w:val="00855F32"/>
    <w:rsid w:val="00864917"/>
    <w:rsid w:val="00873C70"/>
    <w:rsid w:val="00881E28"/>
    <w:rsid w:val="00882E4F"/>
    <w:rsid w:val="00894C4B"/>
    <w:rsid w:val="008A12E3"/>
    <w:rsid w:val="008A2FEB"/>
    <w:rsid w:val="008A42FA"/>
    <w:rsid w:val="008A4EB9"/>
    <w:rsid w:val="008A7751"/>
    <w:rsid w:val="008B0AC7"/>
    <w:rsid w:val="008C2335"/>
    <w:rsid w:val="008C67C1"/>
    <w:rsid w:val="008D1D39"/>
    <w:rsid w:val="008F07D2"/>
    <w:rsid w:val="008F3E22"/>
    <w:rsid w:val="00917851"/>
    <w:rsid w:val="00917F65"/>
    <w:rsid w:val="009311E7"/>
    <w:rsid w:val="009350B9"/>
    <w:rsid w:val="00942694"/>
    <w:rsid w:val="00996E6D"/>
    <w:rsid w:val="009A47E9"/>
    <w:rsid w:val="009A7E3A"/>
    <w:rsid w:val="009B1265"/>
    <w:rsid w:val="009B4A15"/>
    <w:rsid w:val="009B5693"/>
    <w:rsid w:val="009C61A2"/>
    <w:rsid w:val="009C78E4"/>
    <w:rsid w:val="009D687E"/>
    <w:rsid w:val="009D6A6F"/>
    <w:rsid w:val="009F6DE7"/>
    <w:rsid w:val="00A10583"/>
    <w:rsid w:val="00A232E8"/>
    <w:rsid w:val="00A37FCB"/>
    <w:rsid w:val="00A54863"/>
    <w:rsid w:val="00A6053A"/>
    <w:rsid w:val="00A61D74"/>
    <w:rsid w:val="00A8688B"/>
    <w:rsid w:val="00A91163"/>
    <w:rsid w:val="00A9286F"/>
    <w:rsid w:val="00A96255"/>
    <w:rsid w:val="00A96DB5"/>
    <w:rsid w:val="00AA55CC"/>
    <w:rsid w:val="00AB285B"/>
    <w:rsid w:val="00AB41AD"/>
    <w:rsid w:val="00AE3A9D"/>
    <w:rsid w:val="00AF5552"/>
    <w:rsid w:val="00AF5CB4"/>
    <w:rsid w:val="00AF5ED1"/>
    <w:rsid w:val="00AF71D6"/>
    <w:rsid w:val="00AF77A8"/>
    <w:rsid w:val="00B0365B"/>
    <w:rsid w:val="00B10373"/>
    <w:rsid w:val="00B13D97"/>
    <w:rsid w:val="00B216EE"/>
    <w:rsid w:val="00B30CE4"/>
    <w:rsid w:val="00B3175F"/>
    <w:rsid w:val="00B31E2C"/>
    <w:rsid w:val="00B329B0"/>
    <w:rsid w:val="00B402D8"/>
    <w:rsid w:val="00B4237C"/>
    <w:rsid w:val="00B42FE8"/>
    <w:rsid w:val="00B52AFD"/>
    <w:rsid w:val="00B54077"/>
    <w:rsid w:val="00B8087E"/>
    <w:rsid w:val="00B8166B"/>
    <w:rsid w:val="00B83BE2"/>
    <w:rsid w:val="00BA4759"/>
    <w:rsid w:val="00BB1243"/>
    <w:rsid w:val="00BB646E"/>
    <w:rsid w:val="00BD1BA1"/>
    <w:rsid w:val="00BE4A12"/>
    <w:rsid w:val="00BF1E54"/>
    <w:rsid w:val="00BF2D8D"/>
    <w:rsid w:val="00C019E5"/>
    <w:rsid w:val="00C35BC4"/>
    <w:rsid w:val="00C43F5B"/>
    <w:rsid w:val="00C441A1"/>
    <w:rsid w:val="00C478F0"/>
    <w:rsid w:val="00C6048C"/>
    <w:rsid w:val="00C6721B"/>
    <w:rsid w:val="00C734DC"/>
    <w:rsid w:val="00C76114"/>
    <w:rsid w:val="00C81040"/>
    <w:rsid w:val="00C81EB3"/>
    <w:rsid w:val="00C82FCE"/>
    <w:rsid w:val="00C851DA"/>
    <w:rsid w:val="00C921B9"/>
    <w:rsid w:val="00CB4371"/>
    <w:rsid w:val="00CC516D"/>
    <w:rsid w:val="00CF6BBB"/>
    <w:rsid w:val="00D24330"/>
    <w:rsid w:val="00D40056"/>
    <w:rsid w:val="00D42953"/>
    <w:rsid w:val="00D51E7C"/>
    <w:rsid w:val="00D53F1F"/>
    <w:rsid w:val="00D54F29"/>
    <w:rsid w:val="00D66EB9"/>
    <w:rsid w:val="00D7020C"/>
    <w:rsid w:val="00D70AD9"/>
    <w:rsid w:val="00D72152"/>
    <w:rsid w:val="00D94BA5"/>
    <w:rsid w:val="00D9510F"/>
    <w:rsid w:val="00DA615C"/>
    <w:rsid w:val="00DB4842"/>
    <w:rsid w:val="00DD1BC6"/>
    <w:rsid w:val="00DE5DC3"/>
    <w:rsid w:val="00DF3A7A"/>
    <w:rsid w:val="00E00D8A"/>
    <w:rsid w:val="00E1050F"/>
    <w:rsid w:val="00E11604"/>
    <w:rsid w:val="00E11D92"/>
    <w:rsid w:val="00E130A0"/>
    <w:rsid w:val="00E210C4"/>
    <w:rsid w:val="00E23DB7"/>
    <w:rsid w:val="00E4112A"/>
    <w:rsid w:val="00E46D96"/>
    <w:rsid w:val="00E52CCA"/>
    <w:rsid w:val="00E66409"/>
    <w:rsid w:val="00E81D5B"/>
    <w:rsid w:val="00E90769"/>
    <w:rsid w:val="00E976B9"/>
    <w:rsid w:val="00EA05D3"/>
    <w:rsid w:val="00EA0D9A"/>
    <w:rsid w:val="00EA61F1"/>
    <w:rsid w:val="00EB19AD"/>
    <w:rsid w:val="00EB2F31"/>
    <w:rsid w:val="00EB6493"/>
    <w:rsid w:val="00EB77A0"/>
    <w:rsid w:val="00EC2915"/>
    <w:rsid w:val="00ED05A9"/>
    <w:rsid w:val="00ED1BA0"/>
    <w:rsid w:val="00ED2E32"/>
    <w:rsid w:val="00ED4859"/>
    <w:rsid w:val="00ED52ED"/>
    <w:rsid w:val="00ED7A03"/>
    <w:rsid w:val="00EE3ACF"/>
    <w:rsid w:val="00EF1919"/>
    <w:rsid w:val="00EF1CD8"/>
    <w:rsid w:val="00EF36DF"/>
    <w:rsid w:val="00EF3AB5"/>
    <w:rsid w:val="00F01BEF"/>
    <w:rsid w:val="00F02379"/>
    <w:rsid w:val="00F1274F"/>
    <w:rsid w:val="00F16DAD"/>
    <w:rsid w:val="00F17257"/>
    <w:rsid w:val="00F34D24"/>
    <w:rsid w:val="00F366BD"/>
    <w:rsid w:val="00F4130B"/>
    <w:rsid w:val="00F556A2"/>
    <w:rsid w:val="00F62BE9"/>
    <w:rsid w:val="00F719A8"/>
    <w:rsid w:val="00F878B9"/>
    <w:rsid w:val="00F967A0"/>
    <w:rsid w:val="00FB24E8"/>
    <w:rsid w:val="00FB3B2B"/>
    <w:rsid w:val="00FC18DA"/>
    <w:rsid w:val="00FC3917"/>
    <w:rsid w:val="00FD60DA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C76114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C76114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No Spacing"/>
    <w:uiPriority w:val="1"/>
    <w:qFormat/>
    <w:rsid w:val="00217FFC"/>
    <w:pPr>
      <w:spacing w:after="0" w:line="240" w:lineRule="auto"/>
      <w:jc w:val="both"/>
    </w:pPr>
    <w:rPr>
      <w:rFonts w:ascii="Times New Roman" w:eastAsiaTheme="minorHAnsi" w:hAnsi="Times New Roman"/>
      <w:sz w:val="24"/>
      <w:lang w:val="ru-RU" w:eastAsia="en-US"/>
    </w:rPr>
  </w:style>
  <w:style w:type="character" w:customStyle="1" w:styleId="normaltextrun">
    <w:name w:val="normaltextrun"/>
    <w:basedOn w:val="a0"/>
    <w:rsid w:val="004D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C76114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C76114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No Spacing"/>
    <w:uiPriority w:val="1"/>
    <w:qFormat/>
    <w:rsid w:val="00217FFC"/>
    <w:pPr>
      <w:spacing w:after="0" w:line="240" w:lineRule="auto"/>
      <w:jc w:val="both"/>
    </w:pPr>
    <w:rPr>
      <w:rFonts w:ascii="Times New Roman" w:eastAsiaTheme="minorHAnsi" w:hAnsi="Times New Roman"/>
      <w:sz w:val="24"/>
      <w:lang w:val="ru-RU" w:eastAsia="en-US"/>
    </w:rPr>
  </w:style>
  <w:style w:type="character" w:customStyle="1" w:styleId="normaltextrun">
    <w:name w:val="normaltextrun"/>
    <w:basedOn w:val="a0"/>
    <w:rsid w:val="004D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esr.unep.org/media/docs/graphs/aggregation_methods.pdf" TargetMode="External"/><Relationship Id="rId18" Type="http://schemas.openxmlformats.org/officeDocument/2006/relationships/hyperlink" Target="https://ec.europa.eu/eurostat/web/products-manuals-and-guidelines/-/KS-GQ-18-00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wedocs.unep.org/bitstream/handle/20.500.11822/36253/UNRE_RU.pdf?sequence=7&amp;isAllowed=y" TargetMode="External"/><Relationship Id="rId17" Type="http://schemas.openxmlformats.org/officeDocument/2006/relationships/hyperlink" Target="https://ec.europa.eu/eurostat/documents/1798247/6191533/2013-EW-MFA-Guide-10Sep2013.pdf/54087dfb-1fb0-40f2-b1e4-64ed22ae3f4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docs.unep.org/bitstream/handle/20.500.11822/36253/UNRE.pdf?sequence=3&amp;isAllowed=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ec.europa.eu/eurostat/web/products-manuals-and-guidelines/-/KS-GQ-18-006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docs.unep.org/bitstream/handle/20.500.11822/36253/UNRE_RU.pdf?sequence=7&amp;isAllowed=y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hmedovai\Desktop\&#1047;&#1072;&#1074;&#1077;&#1088;&#1096;&#1077;&#1085;&#1085;&#1086;&#1077;\&#1052;&#1077;&#1090;&#1072;&#1076;&#1072;&#1085;&#1085;&#1099;&#1077;\&#1052;&#1077;&#1090;&#1072;&#1076;&#1072;&#1085;&#1085;&#1099;&#1077;%20&#1087;&#1086;&#1082;&#1072;&#1079;&#1072;&#1090;&#1077;&#1083;&#1103;%20&#1062;&#1059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B1E78F91B1A4F8235064F9342392C" ma:contentTypeVersion="14" ma:contentTypeDescription="Creare un nuovo documento." ma:contentTypeScope="" ma:versionID="bf74fae4d11d6f05d8334aead90adc20">
  <xsd:schema xmlns:xsd="http://www.w3.org/2001/XMLSchema" xmlns:xs="http://www.w3.org/2001/XMLSchema" xmlns:p="http://schemas.microsoft.com/office/2006/metadata/properties" xmlns:ns3="b6b65787-2246-41e5-b49e-ac5f4ca125a2" xmlns:ns4="995f7c2d-c1db-40e4-8a53-8db81d16361e" targetNamespace="http://schemas.microsoft.com/office/2006/metadata/properties" ma:root="true" ma:fieldsID="d65cbcea13771732d54b08b3aad66373" ns3:_="" ns4:_="">
    <xsd:import namespace="b6b65787-2246-41e5-b49e-ac5f4ca125a2"/>
    <xsd:import namespace="995f7c2d-c1db-40e4-8a53-8db81d163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787-2246-41e5-b49e-ac5f4ca1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7c2d-c1db-40e4-8a53-8db81d16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A22-7BCB-4E17-AD05-698BA4F6D47D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b65787-2246-41e5-b49e-ac5f4ca125a2"/>
    <ds:schemaRef ds:uri="995f7c2d-c1db-40e4-8a53-8db81d16361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D0F27-67A2-4A07-811C-E830D5C3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787-2246-41e5-b49e-ac5f4ca125a2"/>
    <ds:schemaRef ds:uri="995f7c2d-c1db-40e4-8a53-8db81d16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06FB8-99EA-4C10-B3AC-6EA1015A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Метаданные показателя ЦУР.dotx</Template>
  <TotalTime>3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United Nations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Альберт Ильгамович</dc:creator>
  <cp:lastModifiedBy>Ахмедов Альберт Ильгамович</cp:lastModifiedBy>
  <cp:revision>5</cp:revision>
  <cp:lastPrinted>2016-07-16T14:25:00Z</cp:lastPrinted>
  <dcterms:created xsi:type="dcterms:W3CDTF">2024-09-12T13:29:00Z</dcterms:created>
  <dcterms:modified xsi:type="dcterms:W3CDTF">2024-09-16T07:11:00Z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0x0101007A3B1E78F91B1A4F8235064F9342392C</vt:lpwstr>
  </property>
</Properties>
</file>