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7958D" w14:textId="1660488F" w:rsidR="00306B5C" w:rsidRPr="007D5500" w:rsidRDefault="00306B5C" w:rsidP="009D7E41">
      <w:pPr>
        <w:spacing w:after="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Метаданные показателя ЦУР</w:t>
      </w:r>
    </w:p>
    <w:p w14:paraId="129054E9" w14:textId="41A863E6" w:rsidR="006C4BFD" w:rsidRPr="007D5500" w:rsidRDefault="002C2510" w:rsidP="009D7E41">
      <w:pPr>
        <w:spacing w:after="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(</w:t>
      </w:r>
      <w:r w:rsidR="00306B5C" w:rsidRPr="007D550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bdr w:val="nil"/>
          <w:lang w:val="ru-RU" w:eastAsia="ru-RU"/>
        </w:rPr>
        <w:t xml:space="preserve">Гармонизированный шаблон метаданных - версия формата </w:t>
      </w: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1.</w:t>
      </w:r>
      <w:r w:rsidR="00B72BD3" w:rsidRPr="007D550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)</w:t>
      </w:r>
    </w:p>
    <w:p w14:paraId="773F63CF" w14:textId="77777777" w:rsidR="006C4BFD" w:rsidRPr="007D5500" w:rsidRDefault="006C4BFD" w:rsidP="009D7E41">
      <w:pPr>
        <w:spacing w:after="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</w:pPr>
    </w:p>
    <w:p w14:paraId="6AEAC6DA" w14:textId="2627362F" w:rsidR="00B31E2C" w:rsidRPr="00EB3DD1" w:rsidRDefault="00B31E2C" w:rsidP="009D7E41">
      <w:pPr>
        <w:pStyle w:val="MInd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0. </w:t>
      </w:r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Информация о показателе</w:t>
      </w:r>
    </w:p>
    <w:p w14:paraId="043ED752" w14:textId="13E6BF58" w:rsidR="00D24330" w:rsidRPr="00EB3DD1" w:rsidRDefault="00D24330" w:rsidP="009D7E41">
      <w:pPr>
        <w:pStyle w:val="MIndHeader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0.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Цель</w:t>
      </w:r>
    </w:p>
    <w:p w14:paraId="31055AE7" w14:textId="167FC087" w:rsidR="00D34340" w:rsidRPr="007D5500" w:rsidRDefault="00306B5C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Цель</w:t>
      </w:r>
      <w:r w:rsidR="00D34340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16: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14:paraId="084142D2" w14:textId="16473DE8" w:rsidR="00D24330" w:rsidRPr="007D5500" w:rsidRDefault="00D24330" w:rsidP="009D7E41">
      <w:pPr>
        <w:pStyle w:val="MIndHeader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0.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Задача</w:t>
      </w:r>
    </w:p>
    <w:p w14:paraId="4986C2A2" w14:textId="08A4534E" w:rsidR="00D34340" w:rsidRPr="007D5500" w:rsidRDefault="00306B5C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Задача</w:t>
      </w:r>
      <w:r w:rsidR="00D34340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16.5: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Значительно сократить масштабы коррупции и взяточничества во всех их формах</w:t>
      </w:r>
    </w:p>
    <w:p w14:paraId="3E67E7E0" w14:textId="461EA3D4" w:rsidR="00D24330" w:rsidRPr="007D5500" w:rsidRDefault="00306B5C" w:rsidP="009D7E41">
      <w:pPr>
        <w:pStyle w:val="MIndHeader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0.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 Показатель</w:t>
      </w:r>
    </w:p>
    <w:p w14:paraId="466F7FBB" w14:textId="5C7C04EA" w:rsidR="00D34340" w:rsidRPr="007D5500" w:rsidRDefault="00306B5C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Показатель</w:t>
      </w:r>
      <w:r w:rsidR="00D34340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16.5.1: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взятку.</w:t>
      </w:r>
      <w:proofErr w:type="gramEnd"/>
    </w:p>
    <w:p w14:paraId="37E5E4F6" w14:textId="13786F2D" w:rsidR="00D24330" w:rsidRPr="009D7E41" w:rsidRDefault="00D24330" w:rsidP="009D7E41">
      <w:pPr>
        <w:pStyle w:val="MIndHeader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EB3DD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0.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Pr="00EB3DD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Ряды</w:t>
      </w:r>
      <w:r w:rsidR="00306B5C" w:rsidRPr="00EB3DD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данных</w:t>
      </w:r>
    </w:p>
    <w:p w14:paraId="771888BA" w14:textId="0061F887" w:rsidR="00D24330" w:rsidRPr="00EB3DD1" w:rsidRDefault="00EB3DD1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B3DD1">
        <w:rPr>
          <w:rFonts w:ascii="Times New Roman" w:hAnsi="Times New Roman"/>
          <w:color w:val="000000" w:themeColor="text1"/>
          <w:sz w:val="24"/>
          <w:szCs w:val="24"/>
          <w:lang w:val="en-US"/>
        </w:rPr>
        <w:t>IU</w:t>
      </w:r>
      <w:r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>_</w:t>
      </w:r>
      <w:r w:rsidRPr="00EB3DD1">
        <w:rPr>
          <w:rFonts w:ascii="Times New Roman" w:hAnsi="Times New Roman"/>
          <w:color w:val="000000" w:themeColor="text1"/>
          <w:sz w:val="24"/>
          <w:szCs w:val="24"/>
          <w:lang w:val="en-US"/>
        </w:rPr>
        <w:t>COR</w:t>
      </w:r>
      <w:r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>_</w:t>
      </w:r>
      <w:r w:rsidRPr="00EB3DD1">
        <w:rPr>
          <w:rFonts w:ascii="Times New Roman" w:hAnsi="Times New Roman"/>
          <w:color w:val="000000" w:themeColor="text1"/>
          <w:sz w:val="24"/>
          <w:szCs w:val="24"/>
          <w:lang w:val="en-US"/>
        </w:rPr>
        <w:t>BRIB</w:t>
      </w:r>
      <w:r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Уровень распространенности взяточничества [16.5.1]</w:t>
      </w:r>
    </w:p>
    <w:p w14:paraId="157DACE7" w14:textId="594DDB45" w:rsidR="00D24330" w:rsidRPr="007D5500" w:rsidRDefault="00D24330" w:rsidP="009D7E41">
      <w:pPr>
        <w:pStyle w:val="MInd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0.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e</w:t>
      </w:r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Обновление метад</w:t>
      </w:r>
      <w:bookmarkStart w:id="0" w:name="_GoBack"/>
      <w:bookmarkEnd w:id="0"/>
      <w:r w:rsidR="00306B5C"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анных</w:t>
      </w:r>
    </w:p>
    <w:p w14:paraId="35C616A7" w14:textId="0240F010" w:rsidR="00CA60F2" w:rsidRPr="009D7E41" w:rsidRDefault="00EB3DD1" w:rsidP="009D7E41">
      <w:pPr>
        <w:pStyle w:val="MGTHeader"/>
        <w:shd w:val="clear" w:color="auto" w:fill="auto"/>
        <w:tabs>
          <w:tab w:val="left" w:pos="2525"/>
        </w:tabs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29.07.2024</w:t>
      </w:r>
    </w:p>
    <w:p w14:paraId="415C9FF1" w14:textId="33DDC7CA" w:rsidR="00D24330" w:rsidRPr="009D7E41" w:rsidRDefault="00D24330" w:rsidP="009D7E41">
      <w:pPr>
        <w:pStyle w:val="MInd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055D3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0.</w:t>
      </w:r>
      <w:r w:rsidRPr="00055D33">
        <w:rPr>
          <w:rFonts w:ascii="Times New Roman" w:hAnsi="Times New Roman"/>
          <w:b/>
          <w:color w:val="000000" w:themeColor="text1"/>
          <w:sz w:val="24"/>
          <w:szCs w:val="24"/>
        </w:rPr>
        <w:t>f</w:t>
      </w:r>
      <w:r w:rsidRPr="00055D3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055D3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Связанные показатели</w:t>
      </w:r>
    </w:p>
    <w:p w14:paraId="18B52F2A" w14:textId="4653421E" w:rsidR="007A1528" w:rsidRPr="007D5500" w:rsidRDefault="00306B5C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Показатель</w:t>
      </w:r>
      <w:r w:rsidR="007A1528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16.5.2: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Доля коммерческих компаний,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</w:r>
      <w:proofErr w:type="gramEnd"/>
    </w:p>
    <w:p w14:paraId="1D705D74" w14:textId="77777777" w:rsidR="00306B5C" w:rsidRPr="007D5500" w:rsidRDefault="00306B5C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Показатель</w:t>
      </w:r>
      <w:r w:rsidR="00254CD6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16.4.1: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Общий объем входящих и исходящих незаконных финансовых потоков (в долларах США в текущих ценах) </w:t>
      </w:r>
    </w:p>
    <w:p w14:paraId="077BC49E" w14:textId="40D7B855" w:rsidR="00D24330" w:rsidRPr="009D7E41" w:rsidRDefault="00D24330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0.g. </w:t>
      </w:r>
      <w:r w:rsidR="00306B5C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Международная организация, ответственная за глобальный мониторинг</w:t>
      </w:r>
    </w:p>
    <w:p w14:paraId="559188DD" w14:textId="788EFD3C" w:rsidR="00D34340" w:rsidRPr="007D5500" w:rsidRDefault="00306B5C" w:rsidP="009D7E41">
      <w:pPr>
        <w:pStyle w:val="MGTHeader"/>
        <w:shd w:val="clear" w:color="auto" w:fill="auto"/>
        <w:spacing w:after="4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Управление Организации Объединенных Наций по наркотикам и преступности (УНП ООН)</w:t>
      </w:r>
    </w:p>
    <w:p w14:paraId="19F29921" w14:textId="77777777" w:rsidR="008D1D39" w:rsidRPr="007D5500" w:rsidRDefault="008D1D39" w:rsidP="009D7E41">
      <w:p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2E0D73A" w14:textId="4B527B0E" w:rsidR="00B31E2C" w:rsidRPr="007D5500" w:rsidRDefault="00B31E2C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7D5500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1. </w:t>
      </w:r>
      <w:r w:rsid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Данные представлены</w:t>
      </w:r>
      <w:bookmarkEnd w:id="1"/>
      <w:bookmarkEnd w:id="2"/>
      <w:bookmarkEnd w:id="3"/>
      <w:bookmarkEnd w:id="4"/>
      <w:bookmarkEnd w:id="5"/>
    </w:p>
    <w:p w14:paraId="0BD77982" w14:textId="3F59A446" w:rsidR="00576CFA" w:rsidRPr="009D7E41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1.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Организация</w:t>
      </w:r>
    </w:p>
    <w:p w14:paraId="6E829FD0" w14:textId="7D7114D3" w:rsidR="00F719A8" w:rsidRPr="007D5500" w:rsidRDefault="00306B5C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Управление Организации Объединенных Наций по наркотикам и преступности (УНП ООН)</w:t>
      </w:r>
    </w:p>
    <w:p w14:paraId="669CA718" w14:textId="77777777" w:rsidR="009D7E41" w:rsidRPr="007D5500" w:rsidRDefault="009D7E41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915AC8" w14:textId="529AF601" w:rsidR="00B31E2C" w:rsidRPr="009D7E41" w:rsidRDefault="00B31E2C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2. </w:t>
      </w:r>
      <w:r w:rsidR="00306B5C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Определения, концепции и классификации</w:t>
      </w:r>
    </w:p>
    <w:p w14:paraId="2AC373EA" w14:textId="3149A474" w:rsidR="008B0AC7" w:rsidRPr="009D7E41" w:rsidRDefault="008B0AC7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2.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06B5C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Определения и концепции</w:t>
      </w:r>
    </w:p>
    <w:p w14:paraId="5839E444" w14:textId="73C59DF0" w:rsidR="00D34340" w:rsidRPr="009D7E41" w:rsidRDefault="00306B5C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Определение</w:t>
      </w:r>
      <w:r w:rsidR="00D34340" w:rsidRPr="009D7E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:</w:t>
      </w:r>
    </w:p>
    <w:p w14:paraId="7EA45691" w14:textId="5CF1E9D7" w:rsidR="00D34340" w:rsidRPr="007D5500" w:rsidRDefault="00074F69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gramStart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lastRenderedPageBreak/>
        <w:t xml:space="preserve">Показатель определяется как процент лиц, которые заплатили хотя бы одну взятку (предоставили деньги, подарок или </w:t>
      </w:r>
      <w:r w:rsidR="00DE60E6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встречную 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услугу) государственному должностному лицу или у которых попросили дать взятку этим государственным должностным лицам за последние 12 месяцев, как процент лиц, имевших хотя бы один контакт с государственным должностным лицом за тот же период.</w:t>
      </w:r>
      <w:proofErr w:type="gramEnd"/>
    </w:p>
    <w:p w14:paraId="0199FAC1" w14:textId="77777777" w:rsidR="00D34340" w:rsidRPr="007D5500" w:rsidRDefault="00D34340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0B357E2E" w14:textId="2B0B1792" w:rsidR="00D34340" w:rsidRPr="007D5500" w:rsidRDefault="009D7E4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Основные понятия</w:t>
      </w:r>
      <w:r w:rsidR="00D34340"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:</w:t>
      </w:r>
    </w:p>
    <w:p w14:paraId="3A8DF574" w14:textId="77777777" w:rsidR="00074F69" w:rsidRPr="007D5500" w:rsidRDefault="00074F69" w:rsidP="009D7E41">
      <w:p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В Международной классификации преступлений для статистических целей (МКПС) взяточничество определяется как: «Обещание, предложение, предоставление, вымогательство или получение неправомерного преимущества от государственного должностного лица или лица, которое руководит или работает в организации частного сектора, прямо или косвенно, с </w:t>
      </w:r>
      <w:proofErr w:type="gramStart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тем</w:t>
      </w:r>
      <w:proofErr w:type="gramEnd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чтобы лицо действовало или воздерживалось от действий при исполнении своих служебных обязанностей» </w:t>
      </w:r>
      <w:r w:rsidR="0045680E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(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МКПС</w:t>
      </w:r>
      <w:r w:rsidR="0045680E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категория</w:t>
      </w:r>
      <w:r w:rsidR="0045680E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07031)</w:t>
      </w:r>
      <w:r w:rsidR="00D34340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Это определение основано на определениях подкупа национальных публичных должностных лиц, подкупа иностранных публичных должностных лиц и должностных лиц международных организаций и подкупа в частном секторе, содержащихся в Конвенции Организации Объединенных Наций против коррупции (статьи 15, 16 и 21).</w:t>
      </w:r>
    </w:p>
    <w:p w14:paraId="63941068" w14:textId="77777777" w:rsidR="009D7E41" w:rsidRDefault="009D7E4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46410134" w14:textId="2541B13F" w:rsidR="00D34340" w:rsidRPr="007D5500" w:rsidRDefault="00BC2EE4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Хотя концепция взяточничества шире, поскольку она включает также такие действия, как обещание или предложение, и охватывает как государственный, так и частный сектор, этот показатель фокусируется на конкретных формах взяточничества, которые более поддаются измерению (дача и/или вымогательство взяток), и он ограничивает сферу применения государственным сектором.</w:t>
      </w:r>
    </w:p>
    <w:p w14:paraId="64397FF9" w14:textId="77777777" w:rsidR="00BC2EE4" w:rsidRPr="007D5500" w:rsidRDefault="00BC2EE4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9794113" w14:textId="2E7A5394" w:rsidR="00D34340" w:rsidRPr="007D5500" w:rsidRDefault="00BC2EE4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Концепция неправомерного преимущества реализуется посредством ссылки на предоставление денег (в дополнение к официальному гонорару), подарков или предоставление услуги, запрошенной/предлагаемой государственным должностным лицом в обмен на особое отношение.</w:t>
      </w:r>
    </w:p>
    <w:p w14:paraId="25E52B03" w14:textId="77777777" w:rsidR="00BC2EE4" w:rsidRPr="007D5500" w:rsidRDefault="00BC2EE4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1CE3AADF" w14:textId="685DD7AF" w:rsidR="00D34340" w:rsidRPr="007D5500" w:rsidRDefault="00BC2EE4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Этот показатель отражает часто называемый </w:t>
      </w:r>
      <w:r w:rsidR="009D7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«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административный подкуп</w:t>
      </w:r>
      <w:r w:rsidR="009D7E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»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, который часто подразумевается как вид взяточничества, затрагивающий граждан в их отношениях с органами государственной власти и/или государственными служащими.</w:t>
      </w:r>
    </w:p>
    <w:p w14:paraId="35EF62FE" w14:textId="77777777" w:rsidR="00BC2EE4" w:rsidRPr="007D5500" w:rsidRDefault="00BC2EE4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E54D3D6" w14:textId="7D5148CB" w:rsidR="00EC2915" w:rsidRPr="007D5500" w:rsidRDefault="00BC2EE4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 этого показателя под государственным должностным лицом понимаются лица, занимающие должность в законодательной, исполнительной, административной или судебной системе. При практической реализации показателя используется список выборных должностных лиц и гражданских служащих.</w:t>
      </w:r>
    </w:p>
    <w:p w14:paraId="69612186" w14:textId="77777777" w:rsidR="00BC2EE4" w:rsidRPr="007D5500" w:rsidRDefault="00BC2EE4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32F8BD" w14:textId="01672FB7" w:rsidR="008B0AC7" w:rsidRPr="009D7E41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2.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  <w:r w:rsidR="008B0AC7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74F69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Единицы измерения</w:t>
      </w:r>
    </w:p>
    <w:p w14:paraId="548E9AAA" w14:textId="7595F4CD" w:rsidR="00EC2915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Процент</w:t>
      </w:r>
      <w:proofErr w:type="gramStart"/>
      <w:r w:rsidR="004F0F61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(%)</w:t>
      </w:r>
      <w:proofErr w:type="gramEnd"/>
    </w:p>
    <w:p w14:paraId="6ED65320" w14:textId="77777777" w:rsidR="004F0F61" w:rsidRPr="007D5500" w:rsidRDefault="004F0F61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1AA7AC" w14:textId="5DC0284D" w:rsidR="00DA615C" w:rsidRPr="009D7E41" w:rsidRDefault="008B0AC7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2.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74F69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Классификации</w:t>
      </w:r>
    </w:p>
    <w:p w14:paraId="42220654" w14:textId="6C9CD6B8" w:rsidR="00E51E20" w:rsidRPr="009D7E41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УНП ООН</w:t>
      </w:r>
      <w:r w:rsidR="00E06DE0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2015. </w:t>
      </w:r>
      <w:hyperlink r:id="rId13" w:history="1">
        <w:r w:rsidR="009D7E41" w:rsidRPr="009D7E41">
          <w:rPr>
            <w:rStyle w:val="ab"/>
            <w:rFonts w:ascii="Times New Roman" w:hAnsi="Times New Roman"/>
            <w:sz w:val="24"/>
            <w:szCs w:val="24"/>
            <w:lang w:val="ru-RU"/>
          </w:rPr>
          <w:t>Международная классификация преступлений для статистических целей</w:t>
        </w:r>
      </w:hyperlink>
      <w:r w:rsid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>(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МКПС</w:t>
      </w:r>
      <w:r w:rsidRP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</w:p>
    <w:p w14:paraId="123172F4" w14:textId="77777777" w:rsidR="00F719A8" w:rsidRPr="009D7E41" w:rsidRDefault="00F719A8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8FEC9B" w14:textId="53C5A714" w:rsidR="009D7E41" w:rsidRPr="009D7E41" w:rsidRDefault="00074F69" w:rsidP="009D7E41">
      <w:pPr>
        <w:pStyle w:val="MText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УНП ООН</w:t>
      </w:r>
      <w:r w:rsidR="00E06DE0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8F3E01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202</w:t>
      </w:r>
      <w:r w:rsidR="00F91049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E06DE0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9D7E41" w:rsidRP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Переч</w:t>
      </w:r>
      <w:r w:rsid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>ень</w:t>
      </w:r>
      <w:r w:rsidR="009D7E41" w:rsidRP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статистических показателей для измерения коррупции</w:t>
      </w:r>
      <w:r w:rsidR="009D7E41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7D6F2E5D" w14:textId="77777777" w:rsidR="00E51E20" w:rsidRPr="007D5500" w:rsidRDefault="00E51E20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3AEECA" w14:textId="4A797652" w:rsidR="00B31E2C" w:rsidRPr="009D7E41" w:rsidRDefault="00B31E2C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3. </w:t>
      </w:r>
      <w:r w:rsidR="00074F69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Тип источн</w:t>
      </w:r>
      <w:r w:rsidR="009D7E41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ика данных и метод сбора данных</w:t>
      </w:r>
    </w:p>
    <w:p w14:paraId="340B050E" w14:textId="3D5603DE" w:rsidR="008B0AC7" w:rsidRPr="009D7E41" w:rsidRDefault="008B0AC7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74F69" w:rsidRPr="009D7E41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Источники данных</w:t>
      </w:r>
    </w:p>
    <w:p w14:paraId="2CD1DD04" w14:textId="24A61004" w:rsidR="00293F57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Этот показатель получают на основе обследований домашних хозяйств об опыте коррупции и/или обследований </w:t>
      </w:r>
      <w:proofErr w:type="spell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виктимизации</w:t>
      </w:r>
      <w:proofErr w:type="spell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модулем, посвященным взяточничеству.</w:t>
      </w:r>
    </w:p>
    <w:p w14:paraId="0A18ADFC" w14:textId="77777777" w:rsidR="00293F57" w:rsidRPr="007D5500" w:rsidRDefault="00293F57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2AFC1A5" w14:textId="48738744" w:rsidR="00293F57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Показатель относится к индивидуальному (</w:t>
      </w:r>
      <w:r w:rsidR="002415E5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прямому</w:t>
      </w:r>
      <w:r w:rsidR="002415E5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) опыту респондента, который случайным образом выбирается среди членов домохозяйства, в то время как (</w:t>
      </w:r>
      <w:r w:rsidR="002415E5">
        <w:rPr>
          <w:rFonts w:ascii="Times New Roman" w:hAnsi="Times New Roman"/>
          <w:color w:val="000000" w:themeColor="text1"/>
          <w:sz w:val="24"/>
          <w:szCs w:val="24"/>
          <w:lang w:val="ru-RU"/>
        </w:rPr>
        <w:t>«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косвенный</w:t>
      </w:r>
      <w:r w:rsidR="002415E5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опыт взяточничества со стороны других членов домохозяйства включать не следует. Однако опыт </w:t>
      </w:r>
      <w:proofErr w:type="spell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взяточнитечества</w:t>
      </w:r>
      <w:proofErr w:type="spell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респондента может включать случаи, когда передача денег (в дополнение к официальному гонорару), подарков или предоставление услуги осуществляется через кого-либо другого (например, посредников). Информация об опыте взяточничества собирается с помощью серии вопросов о конкретных контактах и опыте взяточничества со списком государственных должностных лиц и гражданских служащих.</w:t>
      </w:r>
    </w:p>
    <w:p w14:paraId="785C529E" w14:textId="77777777" w:rsidR="00074F69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BA4AA7D" w14:textId="013C10C7" w:rsidR="00293F57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Знаменатель относится только к тем лицам, которые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имели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крайней мере одно прямое взаимодействие с государственным должностным лицом/гражданским служащим, поскольку они составляют группу населения, подверженную риску вовлечения во взяточничество.</w:t>
      </w:r>
    </w:p>
    <w:p w14:paraId="172D4532" w14:textId="77777777" w:rsidR="00293F57" w:rsidRPr="007D5500" w:rsidRDefault="00293F57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18A8D8" w14:textId="528A501F" w:rsidR="00EC2915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Управление Организации Объединенных Наций по наркотикам и преступности (УНП ООН) собирает данные о распространенности взяточничества в рамках своего ежегодного сбора данных: Обзора тенденций преступности и функционирования систем уголовного правосудия ООН (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UN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). Сбору данных через 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ООН способствует сеть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из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более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чем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140 национальных координационных центров, назначенных ответственными органами.</w:t>
      </w:r>
    </w:p>
    <w:p w14:paraId="05226EFD" w14:textId="77777777" w:rsidR="00293F57" w:rsidRPr="007D5500" w:rsidRDefault="00293F57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368080" w14:textId="4E31D27C" w:rsidR="008B0AC7" w:rsidRPr="002415E5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8B0AC7"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74F69"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Метод сбора данных</w:t>
      </w:r>
    </w:p>
    <w:p w14:paraId="7D9F065F" w14:textId="676BB7FA" w:rsidR="00EC2915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 международном уровне данные собираются Управлением Организации Объединенных Наций по наркотикам и преступности (УНП ООН) в рамках ежегодного сбора данных 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UN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Данные по показателю взяточничества направляются в УНП ООН государствами-членами, обычно через национальные координационные центры 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ООН (более 140 назначенных координационных центров), которые в большинстве случаев являются национальными учреждениями, ответственными за подготовку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данных в области преступности и уголовного правосудия (Национальные статистические управления, Министерство внутренних дел, Министерство юстиции, и т.д.). Для стран, которые не назначили координатора, запрос о предоставлении данных направляется в постоянное представительство в Вене. Когда страна не отчитывается перед УНП ООН, используются другие официальные источники, такие как авторитетные веб-сайты, публикации или другие формы коммуникации. После консолидации данные передаются странам для проверки их точности и достоверности.</w:t>
      </w:r>
    </w:p>
    <w:p w14:paraId="2A7DCE6F" w14:textId="77777777" w:rsidR="00074F69" w:rsidRPr="007D5500" w:rsidRDefault="00074F6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0A2C05" w14:textId="2580A8C1" w:rsidR="00E46D96" w:rsidRPr="00EB3DD1" w:rsidRDefault="00E46D96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74F69"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Календарь сбора данных</w:t>
      </w:r>
    </w:p>
    <w:p w14:paraId="74C0F06C" w14:textId="7B914893" w:rsidR="00BD034D" w:rsidRPr="002415E5" w:rsidRDefault="00BD034D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</w:rPr>
        <w:t>III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IV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06B5C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квартал года</w:t>
      </w:r>
      <w:r w:rsidR="002415E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2415E5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</w:p>
    <w:p w14:paraId="01BA862E" w14:textId="77777777" w:rsidR="00EC2915" w:rsidRPr="007D5500" w:rsidRDefault="00EC2915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466604" w14:textId="524CCD0E" w:rsidR="00E46D96" w:rsidRPr="002415E5" w:rsidRDefault="00E46D96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74F69"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Календарь выпуска данных</w:t>
      </w:r>
    </w:p>
    <w:p w14:paraId="64C749BD" w14:textId="5178AA01" w:rsidR="00EC2915" w:rsidRPr="007D5500" w:rsidRDefault="00237D3C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gramStart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II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квартал года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+1 (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данные за год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</w:t>
      </w: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-1).</w:t>
      </w:r>
      <w:proofErr w:type="gramEnd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Например, данные за 2022 год собираются в 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III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IV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квартале 2023 года и публикуются во 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II</w:t>
      </w:r>
      <w:r w:rsidR="00074F69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квартале 2024 года.</w:t>
      </w:r>
    </w:p>
    <w:p w14:paraId="3438F55C" w14:textId="77777777" w:rsidR="00FC770E" w:rsidRPr="007D5500" w:rsidRDefault="00FC770E" w:rsidP="009D7E41">
      <w:p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A4F3065" w14:textId="21FFBBF6" w:rsidR="00E46D96" w:rsidRPr="00EB3DD1" w:rsidRDefault="00E46D96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FC770E"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Поставщики данных</w:t>
      </w:r>
    </w:p>
    <w:p w14:paraId="5DC8783D" w14:textId="77777777" w:rsidR="00FC770E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Основным источником данных по показателю опыта взяточничества обычно является учреждение, ответственное за проведение обследований коррупции/</w:t>
      </w:r>
      <w:proofErr w:type="spell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виктимизации</w:t>
      </w:r>
      <w:proofErr w:type="spell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(Национальное статистическое управление, Агентство по борьбе с коррупцией и т.д.).</w:t>
      </w:r>
    </w:p>
    <w:p w14:paraId="36FA01E1" w14:textId="13507C5C" w:rsidR="00D34340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Данные о взяточничестве направляются в УНП ООН государствами-членами, обычно через национальные координационные центры 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ООН, которые в большинстве случаев являются национальными учреждениями, ответственными за подготовку данных в области преступности и уголовного правосудия (Национальные статистические управления, Министерство внутренних дел, Министерство юстиции и т.д.).</w:t>
      </w:r>
    </w:p>
    <w:p w14:paraId="11BF82E8" w14:textId="77777777" w:rsidR="00FC770E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DC8E05" w14:textId="27960F52" w:rsidR="00E46D96" w:rsidRPr="00EB3DD1" w:rsidRDefault="00E46D96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3.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</w:rPr>
        <w:t>f</w:t>
      </w:r>
      <w:r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FC770E" w:rsidRPr="002415E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Составители данных</w:t>
      </w:r>
    </w:p>
    <w:p w14:paraId="759E17BE" w14:textId="39723D4C" w:rsidR="00D34340" w:rsidRPr="007D5500" w:rsidRDefault="002415E5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Наименование</w:t>
      </w:r>
      <w:r w:rsidR="00D34340"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:</w:t>
      </w:r>
    </w:p>
    <w:p w14:paraId="79EFC007" w14:textId="1CB676FA" w:rsidR="0045680E" w:rsidRPr="007D5500" w:rsidRDefault="00FC770E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Управление Организации Объединенных Наций по наркотикам и преступности (УНП ООН)</w:t>
      </w:r>
    </w:p>
    <w:p w14:paraId="1EFF097F" w14:textId="77777777" w:rsidR="00FC770E" w:rsidRPr="007D5500" w:rsidRDefault="00FC770E" w:rsidP="009D7E41">
      <w:pPr>
        <w:spacing w:after="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410662A7" w14:textId="7B108A8D" w:rsidR="00D34340" w:rsidRPr="007D5500" w:rsidRDefault="00FC770E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Описание</w:t>
      </w:r>
      <w:r w:rsidR="00D34340"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:</w:t>
      </w:r>
    </w:p>
    <w:p w14:paraId="5C43435B" w14:textId="3BE4C2EF" w:rsidR="00EC2915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На международном уровне данные регулярно собираются и распространяются Управлением Организации Объединенных Наций по наркотикам и преступности (УНП ООН) в рамках ежегодного обзора тенденций в области преступности и функционирования систем уголовного правосудия ООН (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UN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). УНП ООН сотрудничает с региональными организациями в области сбора и распространения данных, соответственно с </w:t>
      </w:r>
      <w:proofErr w:type="spell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Евростатом</w:t>
      </w:r>
      <w:proofErr w:type="spell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Европе и Организацией американских госуда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рств в С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еверной и Южной Америке.</w:t>
      </w:r>
    </w:p>
    <w:p w14:paraId="52172DE1" w14:textId="77777777" w:rsidR="00FC770E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55E768" w14:textId="5B96880D" w:rsidR="00E46D96" w:rsidRPr="0002598E" w:rsidRDefault="00E46D96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3.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g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Институциональный мандат</w:t>
      </w:r>
    </w:p>
    <w:p w14:paraId="5D68D8E9" w14:textId="4341ECB2" w:rsidR="00717E2F" w:rsidRPr="007D5500" w:rsidRDefault="00717E2F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Управление Организации Объединенных Наций по наркотикам и преступности (УНП ООН) – являясь куратором стандартов и норм ООН в области предупреждения преступности и уголовного правосудия, оказывает помощь государствам-членам в реформировании их систем уголовного правосудия, с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тем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чтобы они были эффективными, справедливыми и гуманными для всего населения. УНП ООН разрабатывает технические инструменты для оказания помощи государствам-членам во внедрении стандартов и норм ООН и поддерживает государства-члены путем предоставления технической помощи в области предупреждения преступности и реформы уголовного правосудия. Оно осуществляет это через несколько глобальных программ и сеть отделений УНП ООН на местах.</w:t>
      </w:r>
    </w:p>
    <w:p w14:paraId="3D063F4C" w14:textId="67E718AD" w:rsidR="00F719A8" w:rsidRPr="007D5500" w:rsidRDefault="00D259BF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УНП ООН отвечает за проведение Обзора тенденций в области преступности и функционирования систем уголовного правосудия Организации Объединенных Наций (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UN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), который был представлен резолюцией Генеральной Ассамблеи </w:t>
      </w:r>
      <w:hyperlink r:id="rId14" w:history="1">
        <w:r w:rsidR="0002598E" w:rsidRPr="0002598E">
          <w:rPr>
            <w:rStyle w:val="ab"/>
            <w:rFonts w:ascii="Times New Roman" w:hAnsi="Times New Roman"/>
            <w:sz w:val="24"/>
            <w:szCs w:val="24"/>
          </w:rPr>
          <w:t>A</w:t>
        </w:r>
        <w:r w:rsidR="0002598E" w:rsidRPr="0002598E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02598E" w:rsidRPr="0002598E">
          <w:rPr>
            <w:rStyle w:val="ab"/>
            <w:rFonts w:ascii="Times New Roman" w:hAnsi="Times New Roman"/>
            <w:sz w:val="24"/>
            <w:szCs w:val="24"/>
          </w:rPr>
          <w:t>RES</w:t>
        </w:r>
        <w:r w:rsidR="0002598E" w:rsidRPr="0002598E">
          <w:rPr>
            <w:rStyle w:val="ab"/>
            <w:rFonts w:ascii="Times New Roman" w:hAnsi="Times New Roman"/>
            <w:sz w:val="24"/>
            <w:szCs w:val="24"/>
            <w:lang w:val="ru-RU"/>
          </w:rPr>
          <w:t>/3021(</w:t>
        </w:r>
        <w:r w:rsidR="0002598E" w:rsidRPr="0002598E">
          <w:rPr>
            <w:rStyle w:val="ab"/>
            <w:rFonts w:ascii="Times New Roman" w:hAnsi="Times New Roman"/>
            <w:sz w:val="24"/>
            <w:szCs w:val="24"/>
          </w:rPr>
          <w:t>XXVII</w:t>
        </w:r>
        <w:r w:rsidR="0002598E" w:rsidRPr="0002598E">
          <w:rPr>
            <w:rStyle w:val="ab"/>
            <w:rFonts w:ascii="Times New Roman" w:hAnsi="Times New Roman"/>
            <w:sz w:val="24"/>
            <w:szCs w:val="24"/>
            <w:lang w:val="ru-RU"/>
          </w:rPr>
          <w:t>)</w:t>
        </w:r>
      </w:hyperlink>
      <w:r w:rsidR="0002598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F20FB5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1972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году</w:t>
      </w:r>
      <w:r w:rsidR="00F20FB5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717E2F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Экономический и Социальный Совет в своей резолюции 1984/48 от 25 мая 1984 года просил Генерального секретаря поддерживать и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далее </w:t>
      </w:r>
      <w:r w:rsidR="00717E2F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развивать базу данных Организации Объединенных Наций, связанную с преступностью, продолжая проводить обзоры тенденций в области преступности и функционирования систем уголовного правосудия.</w:t>
      </w:r>
    </w:p>
    <w:p w14:paraId="72502DC1" w14:textId="77777777" w:rsidR="00D63F4D" w:rsidRPr="007D5500" w:rsidRDefault="00D63F4D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49DC94" w14:textId="458B0C50" w:rsidR="00B31E2C" w:rsidRPr="0002598E" w:rsidRDefault="00B31E2C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4.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Прочие методологические соображения</w:t>
      </w:r>
    </w:p>
    <w:p w14:paraId="1AFA5517" w14:textId="36D16676" w:rsidR="00AF5ED1" w:rsidRPr="0002598E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Обоснование</w:t>
      </w:r>
    </w:p>
    <w:p w14:paraId="009787D1" w14:textId="64D3C038" w:rsidR="00D34340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Коррупция является антонимом равной доступности государственных услуг и правильного функционирования экономики; как таковая, она оказывает негативное влияние на справедливое распределение ресурсов и возможностей развития. Кроме того, коррупция подрывает доверие общества к властям и верховенству закона; когда административный подкуп становится постоянным явлением для широких слоев населения и бизнеса, его негативные последствия оказывают длительное негативное воздействие на верховенство закона, демократические процессы и правосудие. Обеспечивая прямую оценку опыта взяточничества, этот показатель обеспечивает объективный показатель коррупции, критерий для мониторинга прогресса в борьбе с коррупцией</w:t>
      </w:r>
    </w:p>
    <w:p w14:paraId="2529B069" w14:textId="165AC4E6" w:rsidR="00E1050F" w:rsidRPr="0002598E" w:rsidRDefault="00E1050F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Комментарии и </w:t>
      </w:r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ограничения</w:t>
      </w:r>
    </w:p>
    <w:p w14:paraId="71A8FB07" w14:textId="77777777" w:rsidR="00DE60E6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Распространенность взяточничества в системе показателей ЦУР определяется как процент лиц, которые заплатили хотя бы одну взятку (передали государственному должностному лицу деньги, подарок или встречную услугу) государственному должностному лицу или </w:t>
      </w:r>
      <w:r w:rsidRPr="0002598E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были запрошены о взятке этими государственными должностными лицами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за последние 12 месяцев, в процентах от лиц который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имел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крайней мере один контакт с государственным должностным лицом за тот же период.</w:t>
      </w:r>
    </w:p>
    <w:p w14:paraId="419CA655" w14:textId="1043AA7D" w:rsidR="00D34340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этой формулировке доля населения, контактировавшего с государственными должностными лицами, которых просили дать взятку (но они ее не дали), должна быть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 xml:space="preserve">включена в числитель показателя. Однако несколько исторических и текущих программ обследования, реализованных на национальном и международном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уровнях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не учитывают опыт отказа во взяточничестве при формулировании и расчете распространенности.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Ожидается, что данные в соответствии с предпочтительным определением (которое включает отказ от дачи взятки) будут становиться все более доступными на национальном и глобальном уровнях по мере применения стандартизированных формулировок вопросов и расчета показателей.</w:t>
      </w:r>
      <w:proofErr w:type="gramEnd"/>
    </w:p>
    <w:p w14:paraId="745A44F4" w14:textId="69DD50B1" w:rsidR="00D34340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На более общем уровне следует отметить, что этот показатель предоставляет информацию о случаях взяточничества, имевших место во время взаимодействия между гражданами и государственным сектором, в то время как он не охватывает другие формы коррупции, такие как крупная коррупция, торговля влиянием или злоупотребление властью.</w:t>
      </w:r>
    </w:p>
    <w:p w14:paraId="6A6D7947" w14:textId="77777777" w:rsidR="00DE60E6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EEEE38" w14:textId="7CF4E140" w:rsidR="00E1050F" w:rsidRPr="0002598E" w:rsidRDefault="00E1050F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Метод расчета</w:t>
      </w:r>
    </w:p>
    <w:p w14:paraId="59AF5966" w14:textId="5B0C3037" w:rsidR="00D34340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Показатель рассчитывается как общее число лиц, которые дали хотя бы одну взятку государственному должностному лицу (или у которых просили взятку) за последние 12 месяцев, по отношению к общему числу лиц, имевших хотя бы один контакт с государственным должностным лицом за тот же период, умноженное на 100.</w:t>
      </w:r>
      <w:proofErr w:type="gramEnd"/>
    </w:p>
    <w:p w14:paraId="110DCCCF" w14:textId="45D82307" w:rsidR="006654F9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Распространенность взяточничества=100*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C</m:t>
              </m:r>
            </m:den>
          </m:f>
        </m:oMath>
      </m:oMathPara>
    </w:p>
    <w:p w14:paraId="06FBAB3F" w14:textId="77777777" w:rsidR="00A37B2C" w:rsidRPr="007D5500" w:rsidRDefault="00A37B2C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2B8071" w14:textId="419C4C0E" w:rsidR="00C0551D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Где 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относится к числу людей, которые заплатили взятку государственному должностному лицу или были запрошены о взятке государственным должностным лицом за последние 12 месяцев, а 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относится к общему числу людей, которые контактировали с государственными должностными лицами за последние 12 месяцев.</w:t>
      </w:r>
    </w:p>
    <w:p w14:paraId="241E8ACE" w14:textId="77777777" w:rsidR="00DE60E6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14CE3C0" w14:textId="1456661D" w:rsidR="00E1050F" w:rsidRPr="0002598E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Валидация</w:t>
      </w:r>
    </w:p>
    <w:p w14:paraId="0A4A1ABA" w14:textId="280AB130" w:rsidR="00392B2E" w:rsidRPr="007D5500" w:rsidRDefault="00DE60E6" w:rsidP="009D7E41">
      <w:pPr>
        <w:pStyle w:val="paragraph"/>
        <w:spacing w:before="0" w:beforeAutospacing="0" w:after="40" w:afterAutospacing="0" w:line="276" w:lineRule="auto"/>
        <w:jc w:val="both"/>
        <w:textAlignment w:val="baseline"/>
        <w:rPr>
          <w:rStyle w:val="eop"/>
          <w:color w:val="000000" w:themeColor="text1"/>
          <w:lang w:val="ru-RU"/>
        </w:rPr>
      </w:pPr>
      <w:r w:rsidRPr="007D5500">
        <w:rPr>
          <w:color w:val="000000" w:themeColor="text1"/>
          <w:lang w:val="ru-RU" w:eastAsia="en-GB"/>
        </w:rPr>
        <w:t xml:space="preserve">После отправки вопросника </w:t>
      </w:r>
      <w:r w:rsidRPr="007D5500">
        <w:rPr>
          <w:color w:val="000000" w:themeColor="text1"/>
          <w:lang w:eastAsia="en-GB"/>
        </w:rPr>
        <w:t>CTS</w:t>
      </w:r>
      <w:r w:rsidRPr="007D5500">
        <w:rPr>
          <w:color w:val="000000" w:themeColor="text1"/>
          <w:lang w:val="ru-RU" w:eastAsia="en-GB"/>
        </w:rPr>
        <w:t xml:space="preserve"> УНП ООН проверяет представленные данные на согласованность с другими источниками данных. Для показателей, основанных на обследовании, метаданные оцениваются с точки зрения репрезентативности и охвата, а также соответствия формулировок вопросов и вариантов ответов международным стандартам. Государства-члены, которые также являются частью Европейского союза или Европейской ассоциации свободной торговли, или кандидаты/ потенциальные кандидаты в Европейский союз направляют свой ответ на </w:t>
      </w:r>
      <w:r w:rsidRPr="007D5500">
        <w:rPr>
          <w:color w:val="000000" w:themeColor="text1"/>
          <w:lang w:eastAsia="en-GB"/>
        </w:rPr>
        <w:t>CTS</w:t>
      </w:r>
      <w:r w:rsidRPr="007D5500">
        <w:rPr>
          <w:color w:val="000000" w:themeColor="text1"/>
          <w:lang w:val="ru-RU" w:eastAsia="en-GB"/>
        </w:rPr>
        <w:t xml:space="preserve"> ООН в Евростат для проверки. Организация американских государств также изучает ответы своих государств-членов. Все данные, представленные государствами-членами другими способами или взятые из других источников, добавляются в набор данных после рассмотрения и подтверждения государствами-членами.</w:t>
      </w:r>
      <w:r w:rsidR="00392B2E" w:rsidRPr="007D5500">
        <w:rPr>
          <w:rStyle w:val="eop"/>
          <w:color w:val="000000" w:themeColor="text1"/>
        </w:rPr>
        <w:t> </w:t>
      </w:r>
    </w:p>
    <w:p w14:paraId="154A579A" w14:textId="77777777" w:rsidR="00DE60E6" w:rsidRPr="007D5500" w:rsidRDefault="00DE60E6" w:rsidP="009D7E41">
      <w:pPr>
        <w:pStyle w:val="paragraph"/>
        <w:spacing w:before="0" w:beforeAutospacing="0" w:after="40" w:afterAutospacing="0" w:line="276" w:lineRule="auto"/>
        <w:jc w:val="both"/>
        <w:textAlignment w:val="baseline"/>
        <w:rPr>
          <w:color w:val="000000" w:themeColor="text1"/>
          <w:lang w:val="ru-RU"/>
        </w:rPr>
      </w:pPr>
    </w:p>
    <w:p w14:paraId="2CF2A343" w14:textId="575DC665" w:rsidR="00E1050F" w:rsidRPr="0002598E" w:rsidRDefault="00E1050F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Корректировки</w:t>
      </w:r>
    </w:p>
    <w:p w14:paraId="45B1D666" w14:textId="1FE89040" w:rsidR="00242041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применимо</w:t>
      </w:r>
    </w:p>
    <w:p w14:paraId="67043C18" w14:textId="28D36427" w:rsidR="00D51E7C" w:rsidRPr="0002598E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f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Обработка отсутствующих значений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(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)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на уровне страны и </w:t>
      </w:r>
      <w:r w:rsidR="00E1050F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(</w:t>
      </w:r>
      <w:r w:rsidR="00E1050F" w:rsidRPr="0002598E"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="00E1050F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) </w:t>
      </w:r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на региональном уровне</w:t>
      </w:r>
    </w:p>
    <w:p w14:paraId="58DCB865" w14:textId="035849B1" w:rsidR="00D51E7C" w:rsidRPr="007D5500" w:rsidRDefault="00DE60E6" w:rsidP="0002598E">
      <w:pPr>
        <w:pStyle w:val="MText"/>
        <w:numPr>
          <w:ilvl w:val="0"/>
          <w:numId w:val="6"/>
        </w:numPr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На уровне страны</w:t>
      </w:r>
      <w:r w:rsidR="0002598E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14:paraId="2B8EBFD7" w14:textId="437451D6" w:rsidR="00293F57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highlight w:val="cyan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Отсутствующие значения не вменяются</w:t>
      </w:r>
      <w:r w:rsidR="00035ABA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1B6182A5" w14:textId="54983DC5" w:rsidR="00D51E7C" w:rsidRPr="007D5500" w:rsidRDefault="00D51E7C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highlight w:val="cyan"/>
          <w:lang w:val="ru-RU"/>
        </w:rPr>
      </w:pPr>
    </w:p>
    <w:p w14:paraId="06DDC253" w14:textId="341464DD" w:rsidR="00D51E7C" w:rsidRPr="007D5500" w:rsidRDefault="00DE60E6" w:rsidP="0002598E">
      <w:pPr>
        <w:pStyle w:val="MText"/>
        <w:numPr>
          <w:ilvl w:val="0"/>
          <w:numId w:val="6"/>
        </w:numPr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bookmarkStart w:id="6" w:name="_Hlk129176078"/>
      <w:r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На региональном и глобальном уровнях</w:t>
      </w:r>
      <w:r w:rsidR="0002598E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bookmarkEnd w:id="6"/>
    <w:p w14:paraId="183849FE" w14:textId="77777777" w:rsidR="00DE60E6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применимо</w:t>
      </w:r>
    </w:p>
    <w:p w14:paraId="27033367" w14:textId="77777777" w:rsidR="00EC2915" w:rsidRPr="007D5500" w:rsidRDefault="00EC2915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1FCD280" w14:textId="760ECAB9" w:rsidR="00E1050F" w:rsidRPr="0002598E" w:rsidRDefault="00E1050F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g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Региональное</w:t>
      </w:r>
      <w:proofErr w:type="gramEnd"/>
      <w:r w:rsidR="00DE60E6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агрегирования</w:t>
      </w:r>
    </w:p>
    <w:p w14:paraId="2EA010B7" w14:textId="166B1E0F" w:rsidR="00EC2915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Не применимо</w:t>
      </w:r>
    </w:p>
    <w:p w14:paraId="1FE086FB" w14:textId="77777777" w:rsidR="00282371" w:rsidRPr="007D5500" w:rsidRDefault="00282371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213FF2" w14:textId="5E7ADA8A" w:rsidR="00E1050F" w:rsidRPr="0002598E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h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FC770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Методы и руководящие указания, доступные странам для сбор</w:t>
      </w:r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 данных на национальном уровне</w:t>
      </w:r>
    </w:p>
    <w:p w14:paraId="2939895F" w14:textId="2A80C6DF" w:rsidR="00EC2915" w:rsidRPr="00EB3DD1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В 2018 году УНП ООН совместно с Программой развития Организации Объединенных Наций (ПРООН) и Центром передового опыта УНП ООН-ИНЕГИ опубликовало Руководство по обследованиям коррупции, которое предоставляет государствам-членам подробные рекомендации не только по планированию и проведению обследований коррупции, но и по анализу данных обследований коррупции и представлению отчетности по ним. Руководство посвящено обзорам сделок с коррупцией среди населения в целом, а также предприятий. Руководство доступно на нескольких языках ООН по адресу</w:t>
      </w:r>
      <w:r w:rsidR="005629A1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  <w:hyperlink r:id="rId15" w:history="1"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unodc</w:t>
        </w:r>
        <w:proofErr w:type="spellEnd"/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org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unodc</w:t>
        </w:r>
        <w:proofErr w:type="spellEnd"/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data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and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analysis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corruption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manuals</w:t>
        </w:r>
        <w:r w:rsidR="0002598E" w:rsidRPr="004D04F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02598E" w:rsidRPr="004D04F2">
          <w:rPr>
            <w:rStyle w:val="ab"/>
            <w:rFonts w:ascii="Times New Roman" w:hAnsi="Times New Roman"/>
            <w:sz w:val="24"/>
            <w:szCs w:val="24"/>
          </w:rPr>
          <w:t>html</w:t>
        </w:r>
      </w:hyperlink>
    </w:p>
    <w:p w14:paraId="2F983427" w14:textId="77777777" w:rsidR="00F91049" w:rsidRPr="007D5500" w:rsidRDefault="00F9104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08FEEE2" w14:textId="06E273E6" w:rsidR="007D0060" w:rsidRPr="007D5500" w:rsidRDefault="00DE60E6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gramStart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2022 году Управление Организации Объединенных Наций по наркотикам и преступности (УНП ООН) совместно с Программой развития Организации Объединенных Наций (ПРООН) и Управлением Верховного комиссара Организации Объединенных Наций по правам человека (УВКПЧ) опубликовало вопросник для ЦУР 16 и руководство по реализации, которые содержат международно стандартизированные формулировки вопросов обследования (на пяти официальных языках ООН), а также руководство по внедрению, связанное с</w:t>
      </w:r>
      <w:proofErr w:type="gramEnd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этим показателем. Анкета и руководство </w:t>
      </w:r>
      <w:proofErr w:type="gramStart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доступны</w:t>
      </w:r>
      <w:proofErr w:type="gramEnd"/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нескольких языках по адресу</w:t>
      </w:r>
      <w:r w:rsidR="007D0060"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:</w:t>
      </w:r>
    </w:p>
    <w:p w14:paraId="3CCC43AC" w14:textId="3F4B8905" w:rsidR="007D0060" w:rsidRPr="0002598E" w:rsidRDefault="00EB3DD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hyperlink r:id="rId16" w:history="1"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www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proofErr w:type="spellStart"/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16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hub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topic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proofErr w:type="spellStart"/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-16-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survey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initiative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questionnaire</w:t>
        </w:r>
      </w:hyperlink>
    </w:p>
    <w:p w14:paraId="034CE2B9" w14:textId="4FD44F12" w:rsidR="007D0060" w:rsidRPr="00EB3DD1" w:rsidRDefault="00EB3DD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hyperlink r:id="rId17" w:history="1"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www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proofErr w:type="spellStart"/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16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hub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topic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proofErr w:type="spellStart"/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-16-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survey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initiative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implementation</w:t>
        </w:r>
        <w:r w:rsidR="0002598E" w:rsidRPr="0002598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02598E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manual</w:t>
        </w:r>
      </w:hyperlink>
    </w:p>
    <w:p w14:paraId="350FBA73" w14:textId="77777777" w:rsidR="00F91049" w:rsidRPr="0002598E" w:rsidRDefault="00F91049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261E109" w14:textId="24F14C1C" w:rsidR="008F7B64" w:rsidRPr="007D5500" w:rsidRDefault="00DE60E6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УНП ООН</w:t>
      </w:r>
      <w:r w:rsidR="008F7B64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2023.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Статистическая основа измерения коррупции</w:t>
      </w:r>
    </w:p>
    <w:p w14:paraId="74A3B43A" w14:textId="77777777" w:rsidR="008F7B64" w:rsidRPr="007D5500" w:rsidRDefault="008F7B64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4C36E8" w14:textId="451C311A" w:rsidR="00E1050F" w:rsidRPr="0002598E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Управление качеством</w:t>
      </w:r>
    </w:p>
    <w:p w14:paraId="5484B16D" w14:textId="2F83953B" w:rsidR="00EC2915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Управлении Организации Объединенных Наций по наркотикам и преступности (УНП ООН) имеется статистический отдел со специализированным персоналом для поддержки сбора данных посредством технической помощи, сопоставления и проверки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полученных данных и постоянного совершенствования механизмов сбора данных, включая руководящие принципы.</w:t>
      </w:r>
    </w:p>
    <w:p w14:paraId="6600D5A4" w14:textId="77777777" w:rsidR="00FC770E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3EF3244" w14:textId="5EC86C65" w:rsidR="00EC2915" w:rsidRPr="00B74B45" w:rsidRDefault="00E1050F" w:rsidP="00B74B45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j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FC770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Гарантия качества</w:t>
      </w:r>
    </w:p>
    <w:p w14:paraId="4B90636A" w14:textId="7128931A" w:rsidR="00EA2DE3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Рекомендуется, чтобы национальные статистические управления (НСУ) выступали в качестве основного контактного лица для сбора и обеспечения качества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необходимых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данных для отчетности по ЦУР 16.5.1 в тесной координации с другими соответствующими органами в стране. При обработке данных агентствами-кураторами применяются автоматизированные процедуры проверки по существу для оценки их согласованности и соответствия стандартам.</w:t>
      </w:r>
    </w:p>
    <w:p w14:paraId="6D65B546" w14:textId="77777777" w:rsidR="00FC770E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ADD322" w14:textId="041ED353" w:rsidR="00E1050F" w:rsidRPr="0002598E" w:rsidRDefault="00576CFA" w:rsidP="009D7E41">
      <w:pPr>
        <w:pStyle w:val="MHeader2"/>
        <w:shd w:val="clear" w:color="auto" w:fill="auto"/>
        <w:spacing w:after="4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4.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Оценка</w:t>
      </w:r>
      <w:r w:rsidR="00FC770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качества</w:t>
      </w:r>
    </w:p>
    <w:p w14:paraId="326EB0AB" w14:textId="02A3A0BC" w:rsidR="00576CFA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См. раздел</w:t>
      </w:r>
      <w:r w:rsidR="00EA2208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4.</w:t>
      </w:r>
      <w:r w:rsidR="00EA2208" w:rsidRPr="007D550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A2208"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«Валидация»</w:t>
      </w:r>
    </w:p>
    <w:p w14:paraId="5B7C52CE" w14:textId="77777777" w:rsidR="00576CFA" w:rsidRPr="007D5500" w:rsidRDefault="00576CFA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0C013A" w14:textId="6EBCD5F6" w:rsidR="00D51E7C" w:rsidRPr="0002598E" w:rsidRDefault="00576CFA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5. </w:t>
      </w:r>
      <w:r w:rsidR="00FC770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Доступ</w:t>
      </w:r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ность и </w:t>
      </w:r>
      <w:proofErr w:type="spellStart"/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дезагрегирование</w:t>
      </w:r>
      <w:proofErr w:type="spellEnd"/>
      <w:r w:rsidR="0002598E" w:rsidRPr="0002598E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данных</w:t>
      </w:r>
    </w:p>
    <w:p w14:paraId="18E47081" w14:textId="688A8413" w:rsidR="00293F57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Доступность данных</w:t>
      </w:r>
      <w:r w:rsidR="00293F57"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14:paraId="72037FE0" w14:textId="649880F0" w:rsidR="00F20FB5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Более 120 стран </w:t>
      </w:r>
      <w:proofErr w:type="gramStart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располагают</w:t>
      </w:r>
      <w:proofErr w:type="gramEnd"/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крайней мере одним источником данных о распространенности взяточничества, основанным на национальном репрезентативном обследовании. Все большее число стран проводят обследования с использованием аналогичных методик для оценки распространенности случаев взяточничества среди населения. Однако масштабы и методы проведения обследований различаются.</w:t>
      </w:r>
    </w:p>
    <w:p w14:paraId="2EA12A31" w14:textId="19B50ABB" w:rsidR="00293F57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Временные ряды</w:t>
      </w:r>
      <w:r w:rsidR="00293F57"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14:paraId="3E78DDDE" w14:textId="02C7A5FF" w:rsidR="00F20FB5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Этот показатель недавно был включен в ежегодный обзор тенденций в области преступности Организации Объединенных Наций (</w:t>
      </w:r>
      <w:r w:rsidRPr="007D5500">
        <w:rPr>
          <w:rFonts w:ascii="Times New Roman" w:hAnsi="Times New Roman"/>
          <w:color w:val="000000" w:themeColor="text1"/>
          <w:sz w:val="24"/>
          <w:szCs w:val="24"/>
        </w:rPr>
        <w:t>CTS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>), регулярный сбор данных, используемый УНП ООН для сбора данных от государств - членов ООН. Ожидается, что страны будут постепенно отчитываться по этому показателю по мере распространения методологического руководства и включения соответствующих элементов в национальные обследования.</w:t>
      </w:r>
    </w:p>
    <w:p w14:paraId="42E8CA56" w14:textId="14D6BDAB" w:rsidR="00D51E7C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Дезагрегация</w:t>
      </w:r>
      <w:r w:rsidR="00293F57"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14:paraId="4CABD4CD" w14:textId="3A8C0007" w:rsidR="00FC770E" w:rsidRPr="007D5500" w:rsidRDefault="00FC770E" w:rsidP="009D7E41">
      <w:pPr>
        <w:spacing w:after="4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Рекомендуемая разбивка по этому показателю:</w:t>
      </w:r>
    </w:p>
    <w:p w14:paraId="770F9CFA" w14:textId="3957047C" w:rsidR="00FC770E" w:rsidRPr="005E269B" w:rsidRDefault="00FC770E" w:rsidP="005E269B">
      <w:pPr>
        <w:pStyle w:val="aa"/>
        <w:numPr>
          <w:ilvl w:val="0"/>
          <w:numId w:val="6"/>
        </w:num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возраст и пол дающих взятку</w:t>
      </w:r>
    </w:p>
    <w:p w14:paraId="2D06213A" w14:textId="474C57EB" w:rsidR="00FC770E" w:rsidRPr="005E269B" w:rsidRDefault="005E269B" w:rsidP="005E269B">
      <w:pPr>
        <w:pStyle w:val="aa"/>
        <w:numPr>
          <w:ilvl w:val="0"/>
          <w:numId w:val="6"/>
        </w:num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</w:t>
      </w:r>
      <w:r w:rsidR="00FC770E"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ип должностного лица (сотрудник полиции, работник здравоохранения, таможенник и т.д.)</w:t>
      </w:r>
    </w:p>
    <w:p w14:paraId="188C92E4" w14:textId="55B33004" w:rsidR="00740A88" w:rsidRPr="005E269B" w:rsidRDefault="00FC770E" w:rsidP="005E269B">
      <w:pPr>
        <w:pStyle w:val="aa"/>
        <w:numPr>
          <w:ilvl w:val="0"/>
          <w:numId w:val="6"/>
        </w:num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уровень образования </w:t>
      </w:r>
      <w:proofErr w:type="gramStart"/>
      <w:r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дающих</w:t>
      </w:r>
      <w:proofErr w:type="gramEnd"/>
      <w:r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взятку</w:t>
      </w:r>
    </w:p>
    <w:p w14:paraId="45937F67" w14:textId="77777777" w:rsidR="00293F57" w:rsidRPr="007D5500" w:rsidRDefault="00293F57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CAB7BE" w14:textId="5C5C9B2C" w:rsidR="00EC2915" w:rsidRPr="005E269B" w:rsidRDefault="00B31E2C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5E269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6. </w:t>
      </w:r>
      <w:r w:rsidR="00FC770E" w:rsidRPr="005E269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Сопоставимость/отклоне</w:t>
      </w:r>
      <w:r w:rsidR="005E269B" w:rsidRPr="005E269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ние от международных стандартов</w:t>
      </w:r>
    </w:p>
    <w:p w14:paraId="3595E072" w14:textId="0FC611BF" w:rsidR="00D51E7C" w:rsidRPr="007D5500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Источники расхождений</w:t>
      </w:r>
      <w:r w:rsidR="00D51E7C" w:rsidRPr="007D5500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14:paraId="775B8C85" w14:textId="32912297" w:rsidR="00740A88" w:rsidRDefault="00FC770E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Если доступны данные более чем одного обследования по одной и той же стране, могут возникнуть расхождения из-за различных формулировок вопросов, различной структуры вопросника, различных методов и операций опроса, различной структуры </w:t>
      </w:r>
      <w:r w:rsidRPr="007D5500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выборки и размера выборки. Как правило, используются данные национальных обследований, соответствующие рекомендуемым международным стандартам, когда они доступны.</w:t>
      </w:r>
    </w:p>
    <w:p w14:paraId="1896D47B" w14:textId="77777777" w:rsidR="005E269B" w:rsidRPr="007D5500" w:rsidRDefault="005E269B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DF099C" w14:textId="020F1B4C" w:rsidR="00382CF3" w:rsidRPr="005E269B" w:rsidRDefault="00576CFA" w:rsidP="009D7E41">
      <w:pPr>
        <w:pStyle w:val="MHeader"/>
        <w:shd w:val="clear" w:color="auto" w:fill="auto"/>
        <w:spacing w:after="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5E269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7</w:t>
      </w:r>
      <w:r w:rsidR="00382CF3" w:rsidRPr="005E269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FC770E" w:rsidRPr="005E269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Ссылки и документы</w:t>
      </w:r>
    </w:p>
    <w:p w14:paraId="22A3E145" w14:textId="19694958" w:rsidR="00D34340" w:rsidRPr="005E269B" w:rsidRDefault="00B72BD3" w:rsidP="009D7E41">
      <w:pPr>
        <w:spacing w:after="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</w:pP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URL</w:t>
      </w:r>
      <w:r w:rsidRPr="005E2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</w:t>
      </w:r>
      <w:r w:rsidRPr="007D5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and</w:t>
      </w:r>
      <w:r w:rsidRPr="005E2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 xml:space="preserve"> </w:t>
      </w:r>
      <w:r w:rsidR="005E2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ссылки</w:t>
      </w:r>
      <w:r w:rsidRPr="005E26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en-GB"/>
        </w:rPr>
        <w:t>:</w:t>
      </w:r>
    </w:p>
    <w:p w14:paraId="0508B386" w14:textId="77777777" w:rsidR="00B72BD3" w:rsidRPr="005E269B" w:rsidRDefault="00B72BD3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6E0F824B" w14:textId="2AC93329" w:rsidR="00D34340" w:rsidRPr="005E269B" w:rsidRDefault="00EB3DD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hyperlink r:id="rId18" w:history="1"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www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unodc</w:t>
        </w:r>
        <w:proofErr w:type="spellEnd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</w:hyperlink>
    </w:p>
    <w:p w14:paraId="332978A1" w14:textId="03BC87E9" w:rsidR="00384136" w:rsidRPr="005E269B" w:rsidRDefault="00EB3DD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hyperlink r:id="rId19" w:history="1"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5E269B" w:rsidRPr="005E269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dataunodc</w:t>
        </w:r>
        <w:proofErr w:type="spellEnd"/>
        <w:r w:rsidR="005E269B" w:rsidRPr="005E269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un</w:t>
        </w:r>
        <w:r w:rsidR="005E269B" w:rsidRPr="005E269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5E269B" w:rsidRPr="005E269B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sdgs</w:t>
        </w:r>
        <w:proofErr w:type="spellEnd"/>
      </w:hyperlink>
    </w:p>
    <w:p w14:paraId="7EF77904" w14:textId="65F23DB6" w:rsidR="006A25BC" w:rsidRPr="0023285D" w:rsidRDefault="0023285D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Общая информация о работе УНП ООН, связа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нной с исследованиями коррупции</w:t>
      </w:r>
      <w:r w:rsidR="006A25BC"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: </w:t>
      </w:r>
      <w:hyperlink r:id="rId20" w:history="1"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www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unodc</w:t>
        </w:r>
        <w:proofErr w:type="spellEnd"/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unodc</w:t>
        </w:r>
        <w:proofErr w:type="spellEnd"/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data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and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analysis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corruption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html</w:t>
        </w:r>
      </w:hyperlink>
    </w:p>
    <w:p w14:paraId="1AA82018" w14:textId="77777777" w:rsidR="007768BD" w:rsidRPr="0023285D" w:rsidRDefault="007768BD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7806CEF7" w14:textId="38E362B2" w:rsidR="007768BD" w:rsidRPr="0023285D" w:rsidRDefault="0023285D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Платформа для доступа к </w:t>
      </w:r>
      <w:proofErr w:type="spellStart"/>
      <w:r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микроданным</w:t>
      </w:r>
      <w:proofErr w:type="spellEnd"/>
      <w:r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об исследованиях коррупции</w:t>
      </w:r>
      <w:r w:rsidR="007768BD"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: </w:t>
      </w:r>
      <w:hyperlink r:id="rId21" w:history="1"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dataunodc</w:t>
        </w:r>
        <w:proofErr w:type="spellEnd"/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un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content</w:t>
        </w:r>
        <w:r w:rsidR="005E269B" w:rsidRPr="0023285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microdata</w:t>
        </w:r>
      </w:hyperlink>
    </w:p>
    <w:p w14:paraId="770BA872" w14:textId="77777777" w:rsidR="006A25BC" w:rsidRPr="0023285D" w:rsidRDefault="006A25BC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14:paraId="0D6F30FC" w14:textId="713F124D" w:rsidR="00401795" w:rsidRPr="005E269B" w:rsidRDefault="0023285D" w:rsidP="005E269B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EB3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УНП ООН. </w:t>
      </w:r>
      <w:r w:rsidR="00662954" w:rsidRPr="00EB3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2015. </w:t>
      </w:r>
      <w:r w:rsidR="005E269B"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Международн</w:t>
      </w:r>
      <w:r w:rsid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ая</w:t>
      </w:r>
      <w:r w:rsidR="005E269B"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классификаци</w:t>
      </w:r>
      <w:r w:rsid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я</w:t>
      </w:r>
      <w:r w:rsidR="005E269B" w:rsidRP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преступлений </w:t>
      </w:r>
      <w:r w:rsidR="005E26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для статистических целей (МКПС) </w:t>
      </w:r>
      <w:hyperlink r:id="rId22" w:history="1"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unodc</w:t>
        </w:r>
        <w:proofErr w:type="spellEnd"/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org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unodc</w:t>
        </w:r>
        <w:proofErr w:type="spellEnd"/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en</w:t>
        </w:r>
        <w:proofErr w:type="spellEnd"/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data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and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analysis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statistics</w:t>
        </w:r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iccs</w:t>
        </w:r>
        <w:proofErr w:type="spellEnd"/>
        <w:r w:rsidR="005E269B" w:rsidRPr="005E269B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html</w:t>
        </w:r>
      </w:hyperlink>
    </w:p>
    <w:p w14:paraId="42901E4C" w14:textId="77777777" w:rsidR="000D5767" w:rsidRPr="005E269B" w:rsidRDefault="000D5767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78C6D3" w14:textId="6FB25EC7" w:rsidR="00F775A0" w:rsidRPr="00EB3DD1" w:rsidRDefault="0023285D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3285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УНП ООН-ПРООН-УНП ООН-ИНЕГИ Совет Европы. </w:t>
      </w:r>
      <w:r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>2018. Руководство по исследованиям коррупции</w:t>
      </w:r>
      <w:r w:rsidR="004D7DE7"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7D4E1F48" w14:textId="7CCA469F" w:rsidR="00401795" w:rsidRPr="00EB3DD1" w:rsidRDefault="00EB3DD1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hyperlink r:id="rId23" w:history="1"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www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unodc</w:t>
        </w:r>
        <w:proofErr w:type="spellEnd"/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org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unodc</w:t>
        </w:r>
        <w:proofErr w:type="spellEnd"/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data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and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analysis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corruption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-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manuals</w:t>
        </w:r>
        <w:r w:rsidR="005E269B" w:rsidRPr="00EB3DD1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5E269B" w:rsidRPr="004D04F2">
          <w:rPr>
            <w:rStyle w:val="ab"/>
            <w:rFonts w:ascii="Times New Roman" w:hAnsi="Times New Roman"/>
            <w:sz w:val="24"/>
            <w:szCs w:val="24"/>
          </w:rPr>
          <w:t>html</w:t>
        </w:r>
      </w:hyperlink>
    </w:p>
    <w:p w14:paraId="347245D1" w14:textId="77777777" w:rsidR="004D7DE7" w:rsidRPr="00EB3DD1" w:rsidRDefault="004D7DE7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B3376F" w14:textId="58B16364" w:rsidR="005A596F" w:rsidRPr="00EB3DD1" w:rsidRDefault="0023285D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32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УНП ООН-ПРООН-УВКПЧ. 2022. Анкета для исследования ЦУР 16 и руководство по реализации. </w:t>
      </w:r>
      <w:r w:rsidRPr="00EB3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Доступны на</w:t>
      </w:r>
      <w:r w:rsidR="005A596F" w:rsidRPr="00EB3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:</w:t>
      </w:r>
    </w:p>
    <w:p w14:paraId="2C6263E8" w14:textId="77043C1E" w:rsidR="005A596F" w:rsidRPr="00EB3DD1" w:rsidRDefault="00EB3DD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hyperlink r:id="rId24" w:history="1"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www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16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hub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topic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-16-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survey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initiative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questionnaire</w:t>
        </w:r>
      </w:hyperlink>
    </w:p>
    <w:p w14:paraId="559F992A" w14:textId="78833C90" w:rsidR="005A596F" w:rsidRPr="00EB3DD1" w:rsidRDefault="00EB3DD1" w:rsidP="009D7E41">
      <w:pPr>
        <w:spacing w:after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hyperlink r:id="rId25" w:history="1"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https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://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www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16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hub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.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org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topic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/</w:t>
        </w:r>
        <w:proofErr w:type="spellStart"/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sdg</w:t>
        </w:r>
        <w:proofErr w:type="spellEnd"/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-16-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survey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initiative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implementation</w:t>
        </w:r>
        <w:r w:rsidR="005E269B" w:rsidRPr="00EB3DD1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en-GB"/>
          </w:rPr>
          <w:t>-</w:t>
        </w:r>
        <w:r w:rsidR="005E269B" w:rsidRPr="004D04F2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en-GB"/>
          </w:rPr>
          <w:t>manual</w:t>
        </w:r>
      </w:hyperlink>
    </w:p>
    <w:p w14:paraId="14AA00D7" w14:textId="77777777" w:rsidR="004D7DE7" w:rsidRPr="00EB3DD1" w:rsidRDefault="004D7DE7" w:rsidP="009D7E41">
      <w:pPr>
        <w:spacing w:after="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275A8E42" w14:textId="2B0B47AB" w:rsidR="004D7DE7" w:rsidRPr="005E269B" w:rsidRDefault="0023285D" w:rsidP="009D7E41">
      <w:pPr>
        <w:pStyle w:val="MText"/>
        <w:shd w:val="clear" w:color="auto" w:fill="auto"/>
        <w:spacing w:after="4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>УНП ООН. 2023</w:t>
      </w:r>
      <w:r w:rsidR="004D7DE7" w:rsidRPr="00EB3DD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5E269B" w:rsidRPr="005E269B"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Переч</w:t>
      </w:r>
      <w:r w:rsidR="005E269B">
        <w:rPr>
          <w:rFonts w:ascii="Times New Roman" w:hAnsi="Times New Roman"/>
          <w:color w:val="000000" w:themeColor="text1"/>
          <w:sz w:val="24"/>
          <w:szCs w:val="24"/>
          <w:lang w:val="ru-RU"/>
        </w:rPr>
        <w:t>ень</w:t>
      </w:r>
      <w:r w:rsidR="005E269B" w:rsidRPr="005E269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статистических показателей для измерения коррупции</w:t>
      </w:r>
    </w:p>
    <w:sectPr w:rsidR="004D7DE7" w:rsidRPr="005E269B">
      <w:headerReference w:type="default" r:id="rId26"/>
      <w:footerReference w:type="default" r:id="rId2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C977D" w14:textId="77777777" w:rsidR="00937F96" w:rsidRDefault="00937F96" w:rsidP="00573C0B">
      <w:pPr>
        <w:spacing w:after="0" w:line="240" w:lineRule="auto"/>
      </w:pPr>
      <w:r>
        <w:separator/>
      </w:r>
    </w:p>
  </w:endnote>
  <w:endnote w:type="continuationSeparator" w:id="0">
    <w:p w14:paraId="3C031CF3" w14:textId="77777777" w:rsidR="00937F96" w:rsidRDefault="00937F96" w:rsidP="00573C0B">
      <w:pPr>
        <w:spacing w:after="0" w:line="240" w:lineRule="auto"/>
      </w:pPr>
      <w:r>
        <w:continuationSeparator/>
      </w:r>
    </w:p>
  </w:endnote>
  <w:endnote w:type="continuationNotice" w:id="1">
    <w:p w14:paraId="1740A233" w14:textId="77777777" w:rsidR="00937F96" w:rsidRDefault="00937F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C8EF14" w14:paraId="23D4E8E8" w14:textId="77777777" w:rsidTr="3FC8EF14">
      <w:tc>
        <w:tcPr>
          <w:tcW w:w="3005" w:type="dxa"/>
        </w:tcPr>
        <w:p w14:paraId="0C6114A0" w14:textId="5F71E93B" w:rsidR="3FC8EF14" w:rsidRPr="00F70729" w:rsidRDefault="00F70729" w:rsidP="3FC8EF14">
          <w:pPr>
            <w:pStyle w:val="ac"/>
            <w:ind w:left="-115"/>
            <w:rPr>
              <w:lang w:val="ru-RU"/>
            </w:rPr>
          </w:pPr>
          <w:r>
            <w:rPr>
              <w:lang w:val="ru-RU"/>
            </w:rPr>
            <w:t>31.03.2023</w:t>
          </w:r>
        </w:p>
      </w:tc>
      <w:tc>
        <w:tcPr>
          <w:tcW w:w="3005" w:type="dxa"/>
        </w:tcPr>
        <w:p w14:paraId="5D4BDEF0" w14:textId="12F1334C" w:rsidR="3FC8EF14" w:rsidRDefault="3FC8EF14" w:rsidP="3FC8EF14">
          <w:pPr>
            <w:pStyle w:val="ac"/>
            <w:jc w:val="center"/>
          </w:pPr>
        </w:p>
      </w:tc>
      <w:tc>
        <w:tcPr>
          <w:tcW w:w="3005" w:type="dxa"/>
        </w:tcPr>
        <w:p w14:paraId="5FA78B22" w14:textId="020F6804" w:rsidR="3FC8EF14" w:rsidRDefault="3FC8EF14" w:rsidP="3FC8EF14">
          <w:pPr>
            <w:pStyle w:val="ac"/>
            <w:ind w:right="-115"/>
            <w:jc w:val="right"/>
          </w:pPr>
        </w:p>
      </w:tc>
    </w:tr>
  </w:tbl>
  <w:p w14:paraId="26EFF0A3" w14:textId="3A9D1BD4" w:rsidR="3FC8EF14" w:rsidRDefault="3FC8EF14" w:rsidP="3FC8EF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EDC98" w14:textId="77777777" w:rsidR="00937F96" w:rsidRDefault="00937F96" w:rsidP="00573C0B">
      <w:pPr>
        <w:spacing w:after="0" w:line="240" w:lineRule="auto"/>
      </w:pPr>
      <w:r>
        <w:separator/>
      </w:r>
    </w:p>
  </w:footnote>
  <w:footnote w:type="continuationSeparator" w:id="0">
    <w:p w14:paraId="6F92B2D7" w14:textId="77777777" w:rsidR="00937F96" w:rsidRDefault="00937F96" w:rsidP="00573C0B">
      <w:pPr>
        <w:spacing w:after="0" w:line="240" w:lineRule="auto"/>
      </w:pPr>
      <w:r>
        <w:continuationSeparator/>
      </w:r>
    </w:p>
  </w:footnote>
  <w:footnote w:type="continuationNotice" w:id="1">
    <w:p w14:paraId="646E3064" w14:textId="77777777" w:rsidR="00937F96" w:rsidRDefault="00937F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AC6E1" w14:textId="523C84D2" w:rsidR="00306B5C" w:rsidRPr="007D5500" w:rsidRDefault="00306B5C" w:rsidP="00077F46">
    <w:pPr>
      <w:pStyle w:val="ac"/>
      <w:jc w:val="right"/>
      <w:rPr>
        <w:rFonts w:ascii="Times New Roman" w:hAnsi="Times New Roman" w:cs="Times New Roman"/>
        <w:i/>
        <w:color w:val="404040" w:themeColor="text1" w:themeTint="BF"/>
        <w:sz w:val="24"/>
        <w:szCs w:val="24"/>
        <w:lang w:val="ru-RU"/>
      </w:rPr>
    </w:pPr>
    <w:bookmarkStart w:id="7" w:name="_Hlk506197003"/>
    <w:bookmarkStart w:id="8" w:name="_Hlk506197004"/>
    <w:bookmarkStart w:id="9" w:name="_Hlk506197005"/>
    <w:bookmarkStart w:id="10" w:name="_Hlk516233502"/>
    <w:bookmarkStart w:id="11" w:name="_Hlk516233503"/>
    <w:bookmarkStart w:id="12" w:name="_Hlk516233504"/>
    <w:r w:rsidRPr="007D5500">
      <w:rPr>
        <w:rFonts w:ascii="Times New Roman" w:hAnsi="Times New Roman" w:cs="Times New Roman"/>
        <w:i/>
        <w:color w:val="404040" w:themeColor="text1" w:themeTint="BF"/>
        <w:sz w:val="24"/>
        <w:szCs w:val="24"/>
        <w:lang w:val="ru-RU"/>
      </w:rPr>
      <w:t>Неофициальный перевод</w:t>
    </w:r>
  </w:p>
  <w:p w14:paraId="3FDD5D76" w14:textId="029D09AA" w:rsidR="00077F46" w:rsidRPr="00B74B45" w:rsidRDefault="00306B5C" w:rsidP="00077F46">
    <w:pPr>
      <w:pStyle w:val="ac"/>
      <w:jc w:val="right"/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</w:pPr>
    <w:r w:rsidRPr="007D5500"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  <w:t>Последнее обновление</w:t>
    </w:r>
    <w:r w:rsidR="3FC8EF14" w:rsidRPr="007D5500"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  <w:t>:</w:t>
    </w:r>
    <w:bookmarkEnd w:id="7"/>
    <w:bookmarkEnd w:id="8"/>
    <w:bookmarkEnd w:id="9"/>
    <w:bookmarkEnd w:id="10"/>
    <w:bookmarkEnd w:id="11"/>
    <w:bookmarkEnd w:id="12"/>
    <w:r w:rsidR="3FC8EF14" w:rsidRPr="007D5500"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  <w:t xml:space="preserve"> </w:t>
    </w:r>
    <w:r w:rsidR="00EB3DD1"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  <w:t>сентябрь</w:t>
    </w:r>
    <w:r w:rsidR="00B74B45"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  <w:t xml:space="preserve"> 202</w:t>
    </w:r>
    <w:r w:rsidR="00EB3DD1">
      <w:rPr>
        <w:rFonts w:ascii="Times New Roman" w:hAnsi="Times New Roman" w:cs="Times New Roman"/>
        <w:color w:val="404040" w:themeColor="text1" w:themeTint="BF"/>
        <w:sz w:val="24"/>
        <w:szCs w:val="24"/>
        <w:lang w:val="ru-RU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49AC"/>
    <w:multiLevelType w:val="hybridMultilevel"/>
    <w:tmpl w:val="36C6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E0D25"/>
    <w:multiLevelType w:val="hybridMultilevel"/>
    <w:tmpl w:val="AC8AA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6D"/>
    <w:rsid w:val="000070BA"/>
    <w:rsid w:val="000173F9"/>
    <w:rsid w:val="0002598E"/>
    <w:rsid w:val="00035ABA"/>
    <w:rsid w:val="0004103A"/>
    <w:rsid w:val="000412A0"/>
    <w:rsid w:val="00047DDA"/>
    <w:rsid w:val="000522C1"/>
    <w:rsid w:val="0005455A"/>
    <w:rsid w:val="00055D33"/>
    <w:rsid w:val="00071F07"/>
    <w:rsid w:val="00074F69"/>
    <w:rsid w:val="0007759D"/>
    <w:rsid w:val="000777AB"/>
    <w:rsid w:val="00077F46"/>
    <w:rsid w:val="00090FB1"/>
    <w:rsid w:val="00096186"/>
    <w:rsid w:val="000A252A"/>
    <w:rsid w:val="000A72E4"/>
    <w:rsid w:val="000B0E2F"/>
    <w:rsid w:val="000B2430"/>
    <w:rsid w:val="000B7FFC"/>
    <w:rsid w:val="000D0B30"/>
    <w:rsid w:val="000D5767"/>
    <w:rsid w:val="000E21F1"/>
    <w:rsid w:val="000F703E"/>
    <w:rsid w:val="00120E86"/>
    <w:rsid w:val="00125DE9"/>
    <w:rsid w:val="00131835"/>
    <w:rsid w:val="001332E0"/>
    <w:rsid w:val="00134DE7"/>
    <w:rsid w:val="00134E20"/>
    <w:rsid w:val="00135FF9"/>
    <w:rsid w:val="001433B6"/>
    <w:rsid w:val="00182642"/>
    <w:rsid w:val="00185354"/>
    <w:rsid w:val="001854DC"/>
    <w:rsid w:val="00185D01"/>
    <w:rsid w:val="00186795"/>
    <w:rsid w:val="00194D09"/>
    <w:rsid w:val="00195D7C"/>
    <w:rsid w:val="001A7617"/>
    <w:rsid w:val="001A7D5C"/>
    <w:rsid w:val="001B60AA"/>
    <w:rsid w:val="001B63C8"/>
    <w:rsid w:val="001C01D3"/>
    <w:rsid w:val="001C1972"/>
    <w:rsid w:val="001C421F"/>
    <w:rsid w:val="001D360D"/>
    <w:rsid w:val="001D5FDA"/>
    <w:rsid w:val="001E2FBE"/>
    <w:rsid w:val="0023285D"/>
    <w:rsid w:val="00237D3C"/>
    <w:rsid w:val="002415E5"/>
    <w:rsid w:val="00242041"/>
    <w:rsid w:val="00254CD6"/>
    <w:rsid w:val="00261A8D"/>
    <w:rsid w:val="00275B2C"/>
    <w:rsid w:val="00281D0F"/>
    <w:rsid w:val="00282371"/>
    <w:rsid w:val="00283C1C"/>
    <w:rsid w:val="00291A00"/>
    <w:rsid w:val="00291A11"/>
    <w:rsid w:val="00293F57"/>
    <w:rsid w:val="002A315C"/>
    <w:rsid w:val="002A3342"/>
    <w:rsid w:val="002A64BA"/>
    <w:rsid w:val="002B4989"/>
    <w:rsid w:val="002C2510"/>
    <w:rsid w:val="002D4E05"/>
    <w:rsid w:val="002D714E"/>
    <w:rsid w:val="002E53C3"/>
    <w:rsid w:val="002F1468"/>
    <w:rsid w:val="002F5F0C"/>
    <w:rsid w:val="00306B5C"/>
    <w:rsid w:val="00310C69"/>
    <w:rsid w:val="003265EB"/>
    <w:rsid w:val="00333A77"/>
    <w:rsid w:val="0034329E"/>
    <w:rsid w:val="00343FAA"/>
    <w:rsid w:val="00347F5E"/>
    <w:rsid w:val="00353C98"/>
    <w:rsid w:val="00371A20"/>
    <w:rsid w:val="00376138"/>
    <w:rsid w:val="003821B4"/>
    <w:rsid w:val="00382CF3"/>
    <w:rsid w:val="00384136"/>
    <w:rsid w:val="00387D52"/>
    <w:rsid w:val="00392B2E"/>
    <w:rsid w:val="003A7CEA"/>
    <w:rsid w:val="003B47AB"/>
    <w:rsid w:val="003F0BD3"/>
    <w:rsid w:val="003F278A"/>
    <w:rsid w:val="003F7A02"/>
    <w:rsid w:val="00401795"/>
    <w:rsid w:val="00405573"/>
    <w:rsid w:val="00422EA5"/>
    <w:rsid w:val="00422EFA"/>
    <w:rsid w:val="0042791F"/>
    <w:rsid w:val="004456ED"/>
    <w:rsid w:val="0045680E"/>
    <w:rsid w:val="0048045A"/>
    <w:rsid w:val="004841B8"/>
    <w:rsid w:val="004930F2"/>
    <w:rsid w:val="004B0F1C"/>
    <w:rsid w:val="004B20BE"/>
    <w:rsid w:val="004B35E3"/>
    <w:rsid w:val="004D7DE7"/>
    <w:rsid w:val="004F0F61"/>
    <w:rsid w:val="004F2EE6"/>
    <w:rsid w:val="004F393A"/>
    <w:rsid w:val="00502DBA"/>
    <w:rsid w:val="005040C4"/>
    <w:rsid w:val="00507637"/>
    <w:rsid w:val="00507852"/>
    <w:rsid w:val="00514DBF"/>
    <w:rsid w:val="00532BC1"/>
    <w:rsid w:val="00550921"/>
    <w:rsid w:val="005629A1"/>
    <w:rsid w:val="00563712"/>
    <w:rsid w:val="00573631"/>
    <w:rsid w:val="00573C0B"/>
    <w:rsid w:val="00576CFA"/>
    <w:rsid w:val="00577191"/>
    <w:rsid w:val="0058556D"/>
    <w:rsid w:val="00591455"/>
    <w:rsid w:val="00592AF2"/>
    <w:rsid w:val="005947AD"/>
    <w:rsid w:val="00597748"/>
    <w:rsid w:val="005979E8"/>
    <w:rsid w:val="005A2CBB"/>
    <w:rsid w:val="005A54AC"/>
    <w:rsid w:val="005A596F"/>
    <w:rsid w:val="005B6EC6"/>
    <w:rsid w:val="005D0AF4"/>
    <w:rsid w:val="005D4AB0"/>
    <w:rsid w:val="005E269B"/>
    <w:rsid w:val="005E54BD"/>
    <w:rsid w:val="005E5DCA"/>
    <w:rsid w:val="005F6CCA"/>
    <w:rsid w:val="006076E6"/>
    <w:rsid w:val="006104AF"/>
    <w:rsid w:val="00610DBB"/>
    <w:rsid w:val="00621893"/>
    <w:rsid w:val="006351E1"/>
    <w:rsid w:val="00643C22"/>
    <w:rsid w:val="006447B1"/>
    <w:rsid w:val="00661B5D"/>
    <w:rsid w:val="00662775"/>
    <w:rsid w:val="00662954"/>
    <w:rsid w:val="006654F9"/>
    <w:rsid w:val="006852FC"/>
    <w:rsid w:val="006964C1"/>
    <w:rsid w:val="006A25BC"/>
    <w:rsid w:val="006B40AB"/>
    <w:rsid w:val="006B5DC5"/>
    <w:rsid w:val="006C4BFD"/>
    <w:rsid w:val="006C7D30"/>
    <w:rsid w:val="006E3C08"/>
    <w:rsid w:val="006F34CE"/>
    <w:rsid w:val="00700ACF"/>
    <w:rsid w:val="007018E9"/>
    <w:rsid w:val="00710B5B"/>
    <w:rsid w:val="00712487"/>
    <w:rsid w:val="00717E2F"/>
    <w:rsid w:val="00740A88"/>
    <w:rsid w:val="007530CA"/>
    <w:rsid w:val="00756D68"/>
    <w:rsid w:val="007578D9"/>
    <w:rsid w:val="00757E8A"/>
    <w:rsid w:val="00763E43"/>
    <w:rsid w:val="00764EB5"/>
    <w:rsid w:val="0077261B"/>
    <w:rsid w:val="007768BD"/>
    <w:rsid w:val="00777A95"/>
    <w:rsid w:val="00782416"/>
    <w:rsid w:val="00785E80"/>
    <w:rsid w:val="007A1528"/>
    <w:rsid w:val="007B0364"/>
    <w:rsid w:val="007D0060"/>
    <w:rsid w:val="007D0981"/>
    <w:rsid w:val="007D1929"/>
    <w:rsid w:val="007D5500"/>
    <w:rsid w:val="007E18A8"/>
    <w:rsid w:val="007E530A"/>
    <w:rsid w:val="007F1C0A"/>
    <w:rsid w:val="00803CF1"/>
    <w:rsid w:val="008104BB"/>
    <w:rsid w:val="008249C5"/>
    <w:rsid w:val="00840237"/>
    <w:rsid w:val="008526F9"/>
    <w:rsid w:val="0085285E"/>
    <w:rsid w:val="00853023"/>
    <w:rsid w:val="008534D4"/>
    <w:rsid w:val="00861B47"/>
    <w:rsid w:val="0086479E"/>
    <w:rsid w:val="00865DDD"/>
    <w:rsid w:val="00870CD9"/>
    <w:rsid w:val="00881E28"/>
    <w:rsid w:val="00894C4B"/>
    <w:rsid w:val="008A12E3"/>
    <w:rsid w:val="008A42FA"/>
    <w:rsid w:val="008B0AC7"/>
    <w:rsid w:val="008C2335"/>
    <w:rsid w:val="008C67C1"/>
    <w:rsid w:val="008D1D39"/>
    <w:rsid w:val="008F07D2"/>
    <w:rsid w:val="008F3E01"/>
    <w:rsid w:val="008F7B64"/>
    <w:rsid w:val="0091072F"/>
    <w:rsid w:val="00917851"/>
    <w:rsid w:val="00917F65"/>
    <w:rsid w:val="009311E7"/>
    <w:rsid w:val="00937F96"/>
    <w:rsid w:val="00942694"/>
    <w:rsid w:val="00986931"/>
    <w:rsid w:val="009A7E3A"/>
    <w:rsid w:val="009B1265"/>
    <w:rsid w:val="009B4A15"/>
    <w:rsid w:val="009B5693"/>
    <w:rsid w:val="009C61A2"/>
    <w:rsid w:val="009C78E4"/>
    <w:rsid w:val="009D373D"/>
    <w:rsid w:val="009D687E"/>
    <w:rsid w:val="009D7E41"/>
    <w:rsid w:val="009F3BF2"/>
    <w:rsid w:val="009F6DE7"/>
    <w:rsid w:val="009F74A9"/>
    <w:rsid w:val="00A0446C"/>
    <w:rsid w:val="00A10583"/>
    <w:rsid w:val="00A16FBA"/>
    <w:rsid w:val="00A37B2C"/>
    <w:rsid w:val="00A37FCB"/>
    <w:rsid w:val="00A54863"/>
    <w:rsid w:val="00A61753"/>
    <w:rsid w:val="00A61D74"/>
    <w:rsid w:val="00A7145B"/>
    <w:rsid w:val="00A761F3"/>
    <w:rsid w:val="00A81058"/>
    <w:rsid w:val="00A8688B"/>
    <w:rsid w:val="00A91163"/>
    <w:rsid w:val="00A9286F"/>
    <w:rsid w:val="00A94566"/>
    <w:rsid w:val="00A96255"/>
    <w:rsid w:val="00A9634E"/>
    <w:rsid w:val="00AA6443"/>
    <w:rsid w:val="00AB285B"/>
    <w:rsid w:val="00AE493E"/>
    <w:rsid w:val="00AF5552"/>
    <w:rsid w:val="00AF5CB4"/>
    <w:rsid w:val="00AF5ED1"/>
    <w:rsid w:val="00AF71D6"/>
    <w:rsid w:val="00B00A29"/>
    <w:rsid w:val="00B025D8"/>
    <w:rsid w:val="00B216EE"/>
    <w:rsid w:val="00B3175F"/>
    <w:rsid w:val="00B31E2C"/>
    <w:rsid w:val="00B329B0"/>
    <w:rsid w:val="00B339CC"/>
    <w:rsid w:val="00B340EC"/>
    <w:rsid w:val="00B402D8"/>
    <w:rsid w:val="00B4237C"/>
    <w:rsid w:val="00B42FE8"/>
    <w:rsid w:val="00B52AFD"/>
    <w:rsid w:val="00B536FF"/>
    <w:rsid w:val="00B54077"/>
    <w:rsid w:val="00B72BD3"/>
    <w:rsid w:val="00B74B45"/>
    <w:rsid w:val="00B8087E"/>
    <w:rsid w:val="00BB0F3C"/>
    <w:rsid w:val="00BB61CC"/>
    <w:rsid w:val="00BB646E"/>
    <w:rsid w:val="00BC2EE4"/>
    <w:rsid w:val="00BD034D"/>
    <w:rsid w:val="00BD1BA1"/>
    <w:rsid w:val="00BF0F06"/>
    <w:rsid w:val="00C019E5"/>
    <w:rsid w:val="00C0551D"/>
    <w:rsid w:val="00C35BC4"/>
    <w:rsid w:val="00C43F5B"/>
    <w:rsid w:val="00C52298"/>
    <w:rsid w:val="00C62F4B"/>
    <w:rsid w:val="00C855C0"/>
    <w:rsid w:val="00C91F15"/>
    <w:rsid w:val="00CA60F2"/>
    <w:rsid w:val="00CB0815"/>
    <w:rsid w:val="00CB4371"/>
    <w:rsid w:val="00CC2557"/>
    <w:rsid w:val="00CC516D"/>
    <w:rsid w:val="00CE4278"/>
    <w:rsid w:val="00D1160E"/>
    <w:rsid w:val="00D24330"/>
    <w:rsid w:val="00D259BF"/>
    <w:rsid w:val="00D34340"/>
    <w:rsid w:val="00D40056"/>
    <w:rsid w:val="00D51E7C"/>
    <w:rsid w:val="00D54F29"/>
    <w:rsid w:val="00D63F4D"/>
    <w:rsid w:val="00D7020C"/>
    <w:rsid w:val="00D70AD9"/>
    <w:rsid w:val="00D72152"/>
    <w:rsid w:val="00D72188"/>
    <w:rsid w:val="00D828C5"/>
    <w:rsid w:val="00D83A29"/>
    <w:rsid w:val="00D94BA5"/>
    <w:rsid w:val="00D9510F"/>
    <w:rsid w:val="00DA13EC"/>
    <w:rsid w:val="00DA615C"/>
    <w:rsid w:val="00DA6A8E"/>
    <w:rsid w:val="00DC3876"/>
    <w:rsid w:val="00DD1BC6"/>
    <w:rsid w:val="00DE0114"/>
    <w:rsid w:val="00DE5DC3"/>
    <w:rsid w:val="00DE60E6"/>
    <w:rsid w:val="00E00D8A"/>
    <w:rsid w:val="00E04C0B"/>
    <w:rsid w:val="00E06DE0"/>
    <w:rsid w:val="00E1050F"/>
    <w:rsid w:val="00E11604"/>
    <w:rsid w:val="00E11D92"/>
    <w:rsid w:val="00E12A9E"/>
    <w:rsid w:val="00E130A0"/>
    <w:rsid w:val="00E210C4"/>
    <w:rsid w:val="00E23DB7"/>
    <w:rsid w:val="00E241E2"/>
    <w:rsid w:val="00E44638"/>
    <w:rsid w:val="00E46D96"/>
    <w:rsid w:val="00E51E20"/>
    <w:rsid w:val="00E52CCA"/>
    <w:rsid w:val="00E559F3"/>
    <w:rsid w:val="00E66409"/>
    <w:rsid w:val="00E81D5B"/>
    <w:rsid w:val="00E976B9"/>
    <w:rsid w:val="00EA05D3"/>
    <w:rsid w:val="00EA2208"/>
    <w:rsid w:val="00EA2DE3"/>
    <w:rsid w:val="00EB19AD"/>
    <w:rsid w:val="00EB2F31"/>
    <w:rsid w:val="00EB3DD1"/>
    <w:rsid w:val="00EB6493"/>
    <w:rsid w:val="00EC2915"/>
    <w:rsid w:val="00EC36EF"/>
    <w:rsid w:val="00ED05A9"/>
    <w:rsid w:val="00ED1BA0"/>
    <w:rsid w:val="00ED488D"/>
    <w:rsid w:val="00EF79D4"/>
    <w:rsid w:val="00F0630B"/>
    <w:rsid w:val="00F17257"/>
    <w:rsid w:val="00F20FB5"/>
    <w:rsid w:val="00F34D24"/>
    <w:rsid w:val="00F4130B"/>
    <w:rsid w:val="00F556A2"/>
    <w:rsid w:val="00F7016F"/>
    <w:rsid w:val="00F70729"/>
    <w:rsid w:val="00F719A8"/>
    <w:rsid w:val="00F77363"/>
    <w:rsid w:val="00F775A0"/>
    <w:rsid w:val="00F817C8"/>
    <w:rsid w:val="00F878B9"/>
    <w:rsid w:val="00F91049"/>
    <w:rsid w:val="00FA1C47"/>
    <w:rsid w:val="00FB24E8"/>
    <w:rsid w:val="00FB3B2B"/>
    <w:rsid w:val="00FB7D7B"/>
    <w:rsid w:val="00FC18DA"/>
    <w:rsid w:val="00FC3917"/>
    <w:rsid w:val="00FC770E"/>
    <w:rsid w:val="00FD60DA"/>
    <w:rsid w:val="00FF07B4"/>
    <w:rsid w:val="3FC8EF14"/>
    <w:rsid w:val="7A20B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8E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573C0B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573C0B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paragraph" w:customStyle="1" w:styleId="MGTHeader">
    <w:name w:val="M.G+T.Header"/>
    <w:basedOn w:val="a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Revision"/>
    <w:hidden/>
    <w:uiPriority w:val="99"/>
    <w:semiHidden/>
    <w:rsid w:val="00870CD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72BD3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4F0F61"/>
  </w:style>
  <w:style w:type="character" w:customStyle="1" w:styleId="normaltextrun">
    <w:name w:val="normaltextrun"/>
    <w:basedOn w:val="a0"/>
    <w:rsid w:val="00A7145B"/>
  </w:style>
  <w:style w:type="paragraph" w:customStyle="1" w:styleId="paragraph">
    <w:name w:val="paragraph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92B2E"/>
  </w:style>
  <w:style w:type="character" w:styleId="af5">
    <w:name w:val="FollowedHyperlink"/>
    <w:basedOn w:val="a0"/>
    <w:uiPriority w:val="99"/>
    <w:semiHidden/>
    <w:unhideWhenUsed/>
    <w:rsid w:val="00F20F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573C0B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573C0B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paragraph" w:customStyle="1" w:styleId="MGTHeader">
    <w:name w:val="M.G+T.Header"/>
    <w:basedOn w:val="a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Revision"/>
    <w:hidden/>
    <w:uiPriority w:val="99"/>
    <w:semiHidden/>
    <w:rsid w:val="00870CD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72BD3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4F0F61"/>
  </w:style>
  <w:style w:type="character" w:customStyle="1" w:styleId="normaltextrun">
    <w:name w:val="normaltextrun"/>
    <w:basedOn w:val="a0"/>
    <w:rsid w:val="00A7145B"/>
  </w:style>
  <w:style w:type="paragraph" w:customStyle="1" w:styleId="paragraph">
    <w:name w:val="paragraph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92B2E"/>
  </w:style>
  <w:style w:type="character" w:styleId="af5">
    <w:name w:val="FollowedHyperlink"/>
    <w:basedOn w:val="a0"/>
    <w:uiPriority w:val="99"/>
    <w:semiHidden/>
    <w:unhideWhenUsed/>
    <w:rsid w:val="00F20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unodc.org/unodc/en/data-and-analysis/statistics/iccs.html" TargetMode="External"/><Relationship Id="rId18" Type="http://schemas.openxmlformats.org/officeDocument/2006/relationships/hyperlink" Target="http://www.unodc.org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ataunodc.un.org/content/microdata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sdg16hub.org/topic/sdg-16-survey-initiative-implementation-manual" TargetMode="External"/><Relationship Id="rId25" Type="http://schemas.openxmlformats.org/officeDocument/2006/relationships/hyperlink" Target="https://www.sdg16hub.org/topic/sdg-16-survey-initiative-implementation-manu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dg16hub.org/topic/sdg-16-survey-initiative-questionnaire" TargetMode="External"/><Relationship Id="rId20" Type="http://schemas.openxmlformats.org/officeDocument/2006/relationships/hyperlink" Target="https://www.unodc.org/unodc/data-and-analysis/corruption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www.sdg16hub.org/topic/sdg-16-survey-initiative-questionnair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unodc.org/unodc/data-and-analysis/corruption-manuals.html" TargetMode="External"/><Relationship Id="rId23" Type="http://schemas.openxmlformats.org/officeDocument/2006/relationships/hyperlink" Target="https://www.unodc.org/unodc/data-and-analysis/corruption-manuals.html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dataunodc.un.org/sdg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undocs.org/en/A/RES/3021(XXVII)" TargetMode="External"/><Relationship Id="rId22" Type="http://schemas.openxmlformats.org/officeDocument/2006/relationships/hyperlink" Target="https://www.unodc.org/unodc/en/data-and-analysis/statistics/iccs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7F21911161940AE65962A8E75FD0D" ma:contentTypeVersion="13" ma:contentTypeDescription="Create a new document." ma:contentTypeScope="" ma:versionID="54927095fba6da4b52aeabac7d48d121">
  <xsd:schema xmlns:xsd="http://www.w3.org/2001/XMLSchema" xmlns:xs="http://www.w3.org/2001/XMLSchema" xmlns:p="http://schemas.microsoft.com/office/2006/metadata/properties" xmlns:ns3="d114b01d-ae01-4749-b845-9d88e7ef5c0e" xmlns:ns4="f2d2d782-0088-4826-96df-71eba56e6d2e" targetNamespace="http://schemas.microsoft.com/office/2006/metadata/properties" ma:root="true" ma:fieldsID="f1b768a7440a8c3395834a71ccb7a817" ns3:_="" ns4:_="">
    <xsd:import namespace="d114b01d-ae01-4749-b845-9d88e7ef5c0e"/>
    <xsd:import namespace="f2d2d782-0088-4826-96df-71eba56e6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b01d-ae01-4749-b845-9d88e7ef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d782-0088-4826-96df-71eba56e6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2ACFA87F550418D225E071F542ADA" ma:contentTypeVersion="22" ma:contentTypeDescription="Create a new document." ma:contentTypeScope="" ma:versionID="a8021b555c96ef9fc7e617ae6c24d1e2">
  <xsd:schema xmlns:xsd="http://www.w3.org/2001/XMLSchema" xmlns:xs="http://www.w3.org/2001/XMLSchema" xmlns:p="http://schemas.microsoft.com/office/2006/metadata/properties" xmlns:ns2="8bde3967-4b29-49c8-add0-1b77de203898" xmlns:ns3="0f1cb922-524b-4a63-a729-f715e5c73bc5" xmlns:ns4="985ec44e-1bab-4c0b-9df0-6ba128686fc9" targetNamespace="http://schemas.microsoft.com/office/2006/metadata/properties" ma:root="true" ma:fieldsID="9182305e36e75f5610234603e3b6195a" ns2:_="" ns3:_="" ns4:_="">
    <xsd:import namespace="8bde3967-4b29-49c8-add0-1b77de203898"/>
    <xsd:import namespace="0f1cb922-524b-4a63-a729-f715e5c73b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e3967-4b29-49c8-add0-1b77de203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b922-524b-4a63-a729-f715e5c73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068b4f6-077d-4e9b-8d51-ea092799dd60}" ma:internalName="TaxCatchAll" ma:showField="CatchAllData" ma:web="8bde3967-4b29-49c8-add0-1b77de20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cb922-524b-4a63-a729-f715e5c73bc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3E28-AA33-41F9-8761-47F8137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b01d-ae01-4749-b845-9d88e7ef5c0e"/>
    <ds:schemaRef ds:uri="f2d2d782-0088-4826-96df-71eba56e6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7E626-5F79-459F-B58A-2AF9FB80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e3967-4b29-49c8-add0-1b77de203898"/>
    <ds:schemaRef ds:uri="0f1cb922-524b-4a63-a729-f715e5c73b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97A22-7BCB-4E17-AD05-698BA4F6D47D}">
  <ds:schemaRefs>
    <ds:schemaRef ds:uri="http://schemas.microsoft.com/office/2006/metadata/properties"/>
    <ds:schemaRef ds:uri="http://schemas.microsoft.com/office/infopath/2007/PartnerControls"/>
    <ds:schemaRef ds:uri="0f1cb922-524b-4a63-a729-f715e5c73bc5"/>
    <ds:schemaRef ds:uri="985ec44e-1bab-4c0b-9df0-6ba128686fc9"/>
  </ds:schemaRefs>
</ds:datastoreItem>
</file>

<file path=customXml/itemProps5.xml><?xml version="1.0" encoding="utf-8"?>
<ds:datastoreItem xmlns:ds="http://schemas.openxmlformats.org/officeDocument/2006/customXml" ds:itemID="{FE34CB66-E967-4629-9110-1742F0C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2885</Words>
  <Characters>16448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Nations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 Lin</dc:creator>
  <cp:lastModifiedBy>Гусев Иван Евгеньевич</cp:lastModifiedBy>
  <cp:revision>17</cp:revision>
  <cp:lastPrinted>2016-07-16T14:25:00Z</cp:lastPrinted>
  <dcterms:created xsi:type="dcterms:W3CDTF">2023-03-08T13:31:00Z</dcterms:created>
  <dcterms:modified xsi:type="dcterms:W3CDTF">2024-09-09T06:51:00Z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0x0101008EE7F21911161940AE65962A8E75FD0D</vt:lpwstr>
  </property>
  <property fmtid="{D5CDD505-2E9C-101B-9397-08002B2CF9AE}" pid="3" name="MediaServiceImageTags">
    <vt:lpwstr/>
  </property>
</Properties>
</file>