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7872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D06635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A343D5" w:rsidRDefault="003143BC" w:rsidP="00393B97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3143BC" w:rsidRPr="00A343D5" w:rsidRDefault="00780F08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35B97">
        <w:rPr>
          <w:rFonts w:eastAsia="Arial Unicode MS" w:cs="Times New Roman"/>
          <w:szCs w:val="24"/>
          <w:bdr w:val="nil"/>
          <w:lang w:eastAsia="ru-RU"/>
        </w:rPr>
        <w:t>1</w:t>
      </w:r>
      <w:r w:rsidR="00BA7C6B">
        <w:rPr>
          <w:rFonts w:eastAsia="Arial Unicode MS" w:cs="Times New Roman"/>
          <w:szCs w:val="24"/>
          <w:bdr w:val="nil"/>
          <w:lang w:eastAsia="ru-RU"/>
        </w:rPr>
        <w:t>7</w:t>
      </w:r>
      <w:r w:rsidRPr="00A343D5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761CAF">
        <w:t>Укрепление средств осуществления и активизация работы в рамках Глобального партнерства в интересах устойчивого развития</w:t>
      </w:r>
      <w:r w:rsidR="00761CAF">
        <w:cr/>
      </w:r>
      <w:r w:rsidR="003143BC"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="003143BC" w:rsidRPr="00A343D5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="003143BC" w:rsidRPr="00A343D5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6B0337" w:rsidRDefault="00935B97" w:rsidP="00761C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A7C6B">
        <w:rPr>
          <w:rFonts w:cs="Times New Roman"/>
          <w:szCs w:val="24"/>
        </w:rPr>
        <w:t>7</w:t>
      </w:r>
      <w:r w:rsidR="00780F08" w:rsidRPr="00A343D5">
        <w:rPr>
          <w:rFonts w:cs="Times New Roman"/>
          <w:szCs w:val="24"/>
        </w:rPr>
        <w:t>.</w:t>
      </w:r>
      <w:r w:rsidR="006156BE" w:rsidRPr="006156BE">
        <w:rPr>
          <w:rFonts w:cs="Times New Roman"/>
          <w:szCs w:val="24"/>
        </w:rPr>
        <w:t>15</w:t>
      </w:r>
      <w:r w:rsidR="00780F08" w:rsidRPr="00A343D5">
        <w:rPr>
          <w:rFonts w:cs="Times New Roman"/>
          <w:szCs w:val="24"/>
        </w:rPr>
        <w:t xml:space="preserve">.  </w:t>
      </w:r>
      <w:r w:rsidR="00761CAF" w:rsidRPr="00761CAF">
        <w:rPr>
          <w:rFonts w:cs="Times New Roman"/>
          <w:szCs w:val="24"/>
        </w:rPr>
        <w:t>Уважать имеющееся у каждой страны пространство для стратегического маневра и</w:t>
      </w:r>
      <w:r w:rsidR="00761CAF">
        <w:rPr>
          <w:rFonts w:cs="Times New Roman"/>
          <w:szCs w:val="24"/>
        </w:rPr>
        <w:t> </w:t>
      </w:r>
      <w:r w:rsidR="00761CAF" w:rsidRPr="00761CAF">
        <w:rPr>
          <w:rFonts w:cs="Times New Roman"/>
          <w:szCs w:val="24"/>
        </w:rPr>
        <w:t>ее ведущую роль в разработке и проведении в жизнь политики ликвидации нищеты и</w:t>
      </w:r>
      <w:r w:rsidR="00761CAF">
        <w:rPr>
          <w:rFonts w:cs="Times New Roman"/>
          <w:szCs w:val="24"/>
        </w:rPr>
        <w:t> </w:t>
      </w:r>
      <w:r w:rsidR="00761CAF" w:rsidRPr="00761CAF">
        <w:rPr>
          <w:rFonts w:cs="Times New Roman"/>
          <w:szCs w:val="24"/>
        </w:rPr>
        <w:t>политики в области</w:t>
      </w:r>
      <w:r w:rsidR="00761CAF">
        <w:rPr>
          <w:rFonts w:cs="Times New Roman"/>
          <w:szCs w:val="24"/>
        </w:rPr>
        <w:t xml:space="preserve"> </w:t>
      </w:r>
      <w:r w:rsidR="00761CAF" w:rsidRPr="00761CAF">
        <w:rPr>
          <w:rFonts w:cs="Times New Roman"/>
          <w:szCs w:val="24"/>
        </w:rPr>
        <w:t>устойчивого развития</w:t>
      </w:r>
    </w:p>
    <w:p w:rsidR="003143BC" w:rsidRPr="00A343D5" w:rsidRDefault="003143BC" w:rsidP="00BA7C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067E3E" w:rsidRPr="00147D02" w:rsidRDefault="003143BC" w:rsidP="00761C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A343D5">
        <w:rPr>
          <w:rFonts w:cs="Times New Roman"/>
          <w:szCs w:val="24"/>
        </w:rPr>
        <w:t xml:space="preserve">Показатель </w:t>
      </w:r>
      <w:r w:rsidR="00935B97">
        <w:rPr>
          <w:rFonts w:cs="Times New Roman"/>
          <w:szCs w:val="24"/>
        </w:rPr>
        <w:t>1</w:t>
      </w:r>
      <w:r w:rsidR="00BA7C6B">
        <w:rPr>
          <w:rFonts w:cs="Times New Roman"/>
          <w:szCs w:val="24"/>
        </w:rPr>
        <w:t>7</w:t>
      </w:r>
      <w:r w:rsidR="00780F08" w:rsidRPr="00A343D5">
        <w:rPr>
          <w:rFonts w:cs="Times New Roman"/>
          <w:szCs w:val="24"/>
        </w:rPr>
        <w:t>.</w:t>
      </w:r>
      <w:r w:rsidR="006156BE" w:rsidRPr="006156BE">
        <w:rPr>
          <w:rFonts w:cs="Times New Roman"/>
          <w:szCs w:val="24"/>
        </w:rPr>
        <w:t>15</w:t>
      </w:r>
      <w:r w:rsidR="00465587">
        <w:rPr>
          <w:rFonts w:cs="Times New Roman"/>
          <w:szCs w:val="24"/>
        </w:rPr>
        <w:t>.</w:t>
      </w:r>
      <w:r w:rsidR="00BA7C6B">
        <w:rPr>
          <w:rFonts w:cs="Times New Roman"/>
          <w:szCs w:val="24"/>
        </w:rPr>
        <w:t>1</w:t>
      </w:r>
      <w:r w:rsidR="006677B0">
        <w:rPr>
          <w:rFonts w:cs="Times New Roman"/>
          <w:szCs w:val="24"/>
        </w:rPr>
        <w:t>.</w:t>
      </w:r>
      <w:r w:rsidR="006677B0" w:rsidRPr="006677B0">
        <w:rPr>
          <w:rFonts w:cs="Times New Roman"/>
          <w:szCs w:val="24"/>
        </w:rPr>
        <w:t xml:space="preserve"> </w:t>
      </w:r>
      <w:r w:rsidR="00761CAF" w:rsidRPr="00761CAF">
        <w:rPr>
          <w:rFonts w:cs="Times New Roman"/>
          <w:szCs w:val="24"/>
        </w:rPr>
        <w:t>Степень использования донорами из числа</w:t>
      </w:r>
      <w:r w:rsidR="00761CAF">
        <w:rPr>
          <w:rFonts w:cs="Times New Roman"/>
          <w:szCs w:val="24"/>
        </w:rPr>
        <w:t xml:space="preserve"> </w:t>
      </w:r>
      <w:r w:rsidR="00761CAF" w:rsidRPr="00761CAF">
        <w:rPr>
          <w:rFonts w:cs="Times New Roman"/>
          <w:szCs w:val="24"/>
        </w:rPr>
        <w:t>участников процесса развития схем результатов и инструментов планирования, разработанных самими</w:t>
      </w:r>
      <w:r w:rsidR="00761CAF">
        <w:rPr>
          <w:rFonts w:cs="Times New Roman"/>
          <w:szCs w:val="24"/>
        </w:rPr>
        <w:t xml:space="preserve"> </w:t>
      </w:r>
      <w:r w:rsidR="00761CAF" w:rsidRPr="00761CAF">
        <w:rPr>
          <w:rFonts w:cs="Times New Roman"/>
          <w:szCs w:val="24"/>
        </w:rPr>
        <w:t>странами</w:t>
      </w:r>
    </w:p>
    <w:p w:rsidR="003143BC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 w:cs="Times New Roman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 данных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PRPOLRES</w:t>
      </w:r>
      <w:r w:rsidRPr="00D06635">
        <w:rPr>
          <w:lang w:eastAsia="ru-RU"/>
        </w:rPr>
        <w:t xml:space="preserve"> </w:t>
      </w:r>
      <w:r w:rsidR="00C67BB7">
        <w:rPr>
          <w:lang w:eastAsia="ru-RU"/>
        </w:rPr>
        <w:t>–</w:t>
      </w:r>
      <w:r w:rsidRPr="00D06635">
        <w:rPr>
          <w:lang w:eastAsia="ru-RU"/>
        </w:rPr>
        <w:t xml:space="preserve"> </w:t>
      </w:r>
      <w:r w:rsidR="00C67BB7" w:rsidRPr="00C67BB7">
        <w:rPr>
          <w:lang w:eastAsia="ru-RU"/>
        </w:rPr>
        <w:t>Степень использования донорами из числа участников процесса развития схем результатов и инструментов планирования, разработанных самими странами</w:t>
      </w:r>
      <w:r w:rsidRPr="00D06635">
        <w:rPr>
          <w:lang w:eastAsia="ru-RU"/>
        </w:rPr>
        <w:t xml:space="preserve"> </w:t>
      </w:r>
      <w:r w:rsidR="00C67BB7">
        <w:rPr>
          <w:lang w:eastAsia="ru-RU"/>
        </w:rPr>
        <w:t xml:space="preserve">– </w:t>
      </w:r>
      <w:r w:rsidR="00C67BB7" w:rsidRPr="00D06635">
        <w:rPr>
          <w:lang w:eastAsia="ru-RU"/>
        </w:rPr>
        <w:t xml:space="preserve">данные по поставщику </w:t>
      </w:r>
      <w:r w:rsidRPr="00D06635">
        <w:rPr>
          <w:lang w:eastAsia="ru-RU"/>
        </w:rPr>
        <w:t>(%) [17.15.1]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PRVNDI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Доля целей проект</w:t>
      </w:r>
      <w:r w:rsidR="00291BB0">
        <w:rPr>
          <w:lang w:eastAsia="ru-RU"/>
        </w:rPr>
        <w:t>ов</w:t>
      </w:r>
      <w:r w:rsidRPr="00D06635">
        <w:rPr>
          <w:lang w:eastAsia="ru-RU"/>
        </w:rPr>
        <w:t xml:space="preserve"> новых </w:t>
      </w:r>
      <w:r w:rsidR="00116A4A">
        <w:rPr>
          <w:lang w:eastAsia="ru-RU"/>
        </w:rPr>
        <w:t>мероприятий в области</w:t>
      </w:r>
      <w:r w:rsidRPr="00D06635">
        <w:rPr>
          <w:lang w:eastAsia="ru-RU"/>
        </w:rPr>
        <w:t xml:space="preserve"> развити</w:t>
      </w:r>
      <w:r w:rsidR="00116A4A">
        <w:rPr>
          <w:lang w:eastAsia="ru-RU"/>
        </w:rPr>
        <w:t>я</w:t>
      </w:r>
      <w:r w:rsidRPr="00D06635">
        <w:rPr>
          <w:lang w:eastAsia="ru-RU"/>
        </w:rPr>
        <w:t xml:space="preserve">, </w:t>
      </w:r>
      <w:r w:rsidR="00291BB0">
        <w:rPr>
          <w:lang w:eastAsia="ru-RU"/>
        </w:rPr>
        <w:t>заимствованных</w:t>
      </w:r>
      <w:r w:rsidRPr="00D06635">
        <w:rPr>
          <w:lang w:eastAsia="ru-RU"/>
        </w:rPr>
        <w:t xml:space="preserve"> из </w:t>
      </w:r>
      <w:r w:rsidR="00286E89">
        <w:rPr>
          <w:lang w:eastAsia="ru-RU"/>
        </w:rPr>
        <w:t>схем</w:t>
      </w:r>
      <w:r w:rsidRPr="00D06635">
        <w:rPr>
          <w:lang w:eastAsia="ru-RU"/>
        </w:rPr>
        <w:t xml:space="preserve"> результатов, </w:t>
      </w:r>
      <w:r w:rsidR="00291BB0">
        <w:rPr>
          <w:lang w:eastAsia="ru-RU"/>
        </w:rPr>
        <w:t>разработанных самими</w:t>
      </w:r>
      <w:r w:rsidRPr="00D06635">
        <w:rPr>
          <w:lang w:eastAsia="ru-RU"/>
        </w:rPr>
        <w:t xml:space="preserve"> странами </w:t>
      </w:r>
      <w:r w:rsidR="001C42E1">
        <w:rPr>
          <w:lang w:eastAsia="ru-RU"/>
        </w:rPr>
        <w:t>–</w:t>
      </w:r>
      <w:r w:rsidRPr="00D06635">
        <w:rPr>
          <w:lang w:eastAsia="ru-RU"/>
        </w:rPr>
        <w:t xml:space="preserve"> данные по поставщику [17.15.1]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PRVRICTRY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Доля показателей результатов, взятых из </w:t>
      </w:r>
      <w:r w:rsidR="00286E89">
        <w:rPr>
          <w:lang w:eastAsia="ru-RU"/>
        </w:rPr>
        <w:t>схем</w:t>
      </w:r>
      <w:r w:rsidRPr="00D06635">
        <w:rPr>
          <w:lang w:eastAsia="ru-RU"/>
        </w:rPr>
        <w:t xml:space="preserve"> результатов, возглавляемых странами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данные по поставщику (%) [17.15.1]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PRVRIMON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Доля показателей результатов, которые будут отслеживаться с использованием государственных источников и систем мониторинга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данные по поставщ</w:t>
      </w:r>
      <w:r w:rsidR="00286E89">
        <w:rPr>
          <w:lang w:eastAsia="ru-RU"/>
        </w:rPr>
        <w:t>ику</w:t>
      </w:r>
      <w:r w:rsidR="006E4DBF">
        <w:rPr>
          <w:lang w:eastAsia="ru-RU"/>
        </w:rPr>
        <w:t xml:space="preserve"> </w:t>
      </w:r>
      <w:r w:rsidRPr="00D06635">
        <w:rPr>
          <w:lang w:eastAsia="ru-RU"/>
        </w:rPr>
        <w:t>(%) [17.15.1]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RECNDI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</w:t>
      </w:r>
      <w:r w:rsidR="00291BB0" w:rsidRPr="00291BB0">
        <w:rPr>
          <w:lang w:eastAsia="ru-RU"/>
        </w:rPr>
        <w:t xml:space="preserve">Доля целей проектов новых мероприятий в области развития, заимствованных из </w:t>
      </w:r>
      <w:bookmarkStart w:id="0" w:name="_GoBack"/>
      <w:r w:rsidR="00291BB0" w:rsidRPr="00291BB0">
        <w:rPr>
          <w:lang w:eastAsia="ru-RU"/>
        </w:rPr>
        <w:t>схем</w:t>
      </w:r>
      <w:bookmarkEnd w:id="0"/>
      <w:r w:rsidR="00291BB0" w:rsidRPr="00291BB0">
        <w:rPr>
          <w:lang w:eastAsia="ru-RU"/>
        </w:rPr>
        <w:t xml:space="preserve"> результатов, разработанных самими странами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данные по получателю [17.15.1]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RECRICTRY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Доля показателей результатов, взятых из </w:t>
      </w:r>
      <w:r w:rsidR="00286E89">
        <w:rPr>
          <w:lang w:eastAsia="ru-RU"/>
        </w:rPr>
        <w:t>схем</w:t>
      </w:r>
      <w:r w:rsidRPr="00D06635">
        <w:rPr>
          <w:lang w:eastAsia="ru-RU"/>
        </w:rPr>
        <w:t xml:space="preserve"> результатов, возглавляемых странами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данные по получател</w:t>
      </w:r>
      <w:r w:rsidR="00286E89">
        <w:rPr>
          <w:lang w:eastAsia="ru-RU"/>
        </w:rPr>
        <w:t>ю</w:t>
      </w:r>
      <w:r w:rsidRPr="00D06635">
        <w:rPr>
          <w:lang w:eastAsia="ru-RU"/>
        </w:rPr>
        <w:t xml:space="preserve"> (%) [17.15.1]</w:t>
      </w:r>
    </w:p>
    <w:p w:rsidR="00D06635" w:rsidRP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D06635">
        <w:rPr>
          <w:lang w:val="en-GB" w:eastAsia="ru-RU"/>
        </w:rPr>
        <w:t>SG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PLN</w:t>
      </w:r>
      <w:r w:rsidRPr="00D06635">
        <w:rPr>
          <w:lang w:eastAsia="ru-RU"/>
        </w:rPr>
        <w:t>_</w:t>
      </w:r>
      <w:r w:rsidRPr="00D06635">
        <w:rPr>
          <w:lang w:val="en-GB" w:eastAsia="ru-RU"/>
        </w:rPr>
        <w:t>RECRIMON</w:t>
      </w:r>
      <w:r w:rsidRPr="00D06635">
        <w:rPr>
          <w:lang w:eastAsia="ru-RU"/>
        </w:rPr>
        <w:t xml:space="preserve">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Доля показателей результатов, которые будут отслеживаться с использованием государственных источников и систем мониторинга </w:t>
      </w:r>
      <w:r w:rsidR="00286E89">
        <w:rPr>
          <w:lang w:eastAsia="ru-RU"/>
        </w:rPr>
        <w:t>–</w:t>
      </w:r>
      <w:r w:rsidRPr="00D06635">
        <w:rPr>
          <w:lang w:eastAsia="ru-RU"/>
        </w:rPr>
        <w:t xml:space="preserve"> данные по получател</w:t>
      </w:r>
      <w:r w:rsidR="00286E89">
        <w:rPr>
          <w:lang w:eastAsia="ru-RU"/>
        </w:rPr>
        <w:t>ю</w:t>
      </w:r>
      <w:r w:rsidRPr="00D06635">
        <w:rPr>
          <w:lang w:eastAsia="ru-RU"/>
        </w:rPr>
        <w:t xml:space="preserve"> (%) [17.15.1]</w:t>
      </w:r>
    </w:p>
    <w:p w:rsidR="00D06635" w:rsidRDefault="00D06635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lang w:eastAsia="ru-RU"/>
        </w:rPr>
      </w:pPr>
      <w:r w:rsidRPr="00286E89">
        <w:rPr>
          <w:lang w:val="en-GB" w:eastAsia="ru-RU"/>
        </w:rPr>
        <w:t>SG</w:t>
      </w:r>
      <w:r w:rsidRPr="00286E89">
        <w:rPr>
          <w:lang w:eastAsia="ru-RU"/>
        </w:rPr>
        <w:t>_</w:t>
      </w:r>
      <w:r w:rsidRPr="00286E89">
        <w:rPr>
          <w:lang w:val="en-GB" w:eastAsia="ru-RU"/>
        </w:rPr>
        <w:t>PLN</w:t>
      </w:r>
      <w:r w:rsidRPr="00286E89">
        <w:rPr>
          <w:lang w:eastAsia="ru-RU"/>
        </w:rPr>
        <w:t>_</w:t>
      </w:r>
      <w:r w:rsidRPr="00286E89">
        <w:rPr>
          <w:lang w:val="en-GB" w:eastAsia="ru-RU"/>
        </w:rPr>
        <w:t>REPOLRES</w:t>
      </w:r>
      <w:r w:rsidRPr="00286E89">
        <w:rPr>
          <w:lang w:eastAsia="ru-RU"/>
        </w:rPr>
        <w:t xml:space="preserve"> </w:t>
      </w:r>
      <w:r w:rsidR="00C67BB7" w:rsidRPr="00286E89">
        <w:rPr>
          <w:lang w:eastAsia="ru-RU"/>
        </w:rPr>
        <w:t>–</w:t>
      </w:r>
      <w:r w:rsidRPr="00286E89">
        <w:rPr>
          <w:lang w:eastAsia="ru-RU"/>
        </w:rPr>
        <w:t xml:space="preserve"> </w:t>
      </w:r>
      <w:r w:rsidR="00C67BB7" w:rsidRPr="00286E89">
        <w:rPr>
          <w:lang w:eastAsia="ru-RU"/>
        </w:rPr>
        <w:t>Степень использования донорами из числа участников процесса развития схем результатов и инструментов планирования, разработанных самими странами – данные по получател</w:t>
      </w:r>
      <w:r w:rsidR="00286E89" w:rsidRPr="00286E89">
        <w:rPr>
          <w:lang w:eastAsia="ru-RU"/>
        </w:rPr>
        <w:t>ю</w:t>
      </w:r>
      <w:r w:rsidR="00C67BB7" w:rsidRPr="00286E89">
        <w:rPr>
          <w:lang w:eastAsia="ru-RU"/>
        </w:rPr>
        <w:t xml:space="preserve"> </w:t>
      </w:r>
      <w:r w:rsidRPr="00286E89">
        <w:rPr>
          <w:lang w:eastAsia="ru-RU"/>
        </w:rPr>
        <w:t>(%)</w:t>
      </w:r>
      <w:r w:rsidRPr="00D06635">
        <w:rPr>
          <w:lang w:eastAsia="ru-RU"/>
        </w:rPr>
        <w:t xml:space="preserve"> [17.15.1]</w:t>
      </w:r>
    </w:p>
    <w:p w:rsidR="00C8596F" w:rsidRPr="00A343D5" w:rsidRDefault="00C8596F" w:rsidP="00286E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286E89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29.07.2024</w:t>
      </w:r>
    </w:p>
    <w:p w:rsidR="00C8596F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Связанные показатели </w:t>
      </w:r>
    </w:p>
    <w:p w:rsidR="006156BE" w:rsidRDefault="006156BE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Style w:val="tlid-translation"/>
          <w:rFonts w:cs="Times New Roman"/>
          <w:szCs w:val="24"/>
        </w:rPr>
      </w:pPr>
      <w:r w:rsidRPr="006156BE">
        <w:rPr>
          <w:rStyle w:val="tlid-translation"/>
          <w:rFonts w:cs="Times New Roman"/>
          <w:szCs w:val="24"/>
        </w:rPr>
        <w:t xml:space="preserve">17.16.1. </w:t>
      </w:r>
      <w:r>
        <w:rPr>
          <w:rStyle w:val="tlid-translation"/>
          <w:rFonts w:cs="Times New Roman"/>
          <w:szCs w:val="24"/>
        </w:rPr>
        <w:t>и</w:t>
      </w:r>
      <w:r w:rsidRPr="006156BE">
        <w:rPr>
          <w:rStyle w:val="tlid-translation"/>
          <w:rFonts w:cs="Times New Roman"/>
          <w:szCs w:val="24"/>
        </w:rPr>
        <w:t xml:space="preserve"> 5.c.1:</w:t>
      </w:r>
    </w:p>
    <w:p w:rsidR="00A91FDE" w:rsidRPr="008501F4" w:rsidRDefault="00E33CA8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6156BE" w:rsidRPr="00100887" w:rsidRDefault="006156BE" w:rsidP="006156BE">
      <w:pPr>
        <w:rPr>
          <w:rFonts w:cs="Times New Roman"/>
          <w:szCs w:val="24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100887">
        <w:rPr>
          <w:rFonts w:cs="Times New Roman"/>
          <w:szCs w:val="24"/>
        </w:rPr>
        <w:t>Организация экономического сотрудничества и развития (</w:t>
      </w:r>
      <w:r>
        <w:rPr>
          <w:rFonts w:cs="Times New Roman"/>
          <w:szCs w:val="24"/>
        </w:rPr>
        <w:t>ОЭСР</w:t>
      </w:r>
      <w:r w:rsidRPr="00100887">
        <w:rPr>
          <w:rFonts w:cs="Times New Roman"/>
          <w:szCs w:val="24"/>
        </w:rPr>
        <w:t>)</w:t>
      </w:r>
    </w:p>
    <w:p w:rsidR="006156BE" w:rsidRPr="00100887" w:rsidRDefault="006156BE" w:rsidP="006156BE">
      <w:pPr>
        <w:rPr>
          <w:rFonts w:cs="Times New Roman"/>
          <w:szCs w:val="24"/>
        </w:rPr>
      </w:pPr>
      <w:r w:rsidRPr="00100887">
        <w:rPr>
          <w:rFonts w:cs="Times New Roman"/>
          <w:szCs w:val="24"/>
        </w:rPr>
        <w:lastRenderedPageBreak/>
        <w:t>Программа развития ООН (</w:t>
      </w:r>
      <w:r>
        <w:rPr>
          <w:rFonts w:cs="Times New Roman"/>
          <w:szCs w:val="24"/>
        </w:rPr>
        <w:t>ПРООН</w:t>
      </w:r>
      <w:r w:rsidRPr="00100887">
        <w:rPr>
          <w:rFonts w:cs="Times New Roman"/>
          <w:szCs w:val="24"/>
        </w:rPr>
        <w:t>)</w:t>
      </w:r>
    </w:p>
    <w:p w:rsidR="00957A62" w:rsidRPr="00162B33" w:rsidRDefault="00957A62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162B33">
      <w:r w:rsidRPr="00162B33">
        <w:t>1.a. Организация</w:t>
      </w:r>
    </w:p>
    <w:p w:rsidR="00873DDE" w:rsidRPr="00100887" w:rsidRDefault="00873DDE" w:rsidP="00873DDE">
      <w:pPr>
        <w:rPr>
          <w:rFonts w:cs="Times New Roman"/>
          <w:szCs w:val="24"/>
        </w:rPr>
      </w:pPr>
      <w:r w:rsidRPr="00100887">
        <w:rPr>
          <w:rFonts w:cs="Times New Roman"/>
          <w:szCs w:val="24"/>
        </w:rPr>
        <w:t>Организация экономического сотрудничества и развития (</w:t>
      </w:r>
      <w:r>
        <w:rPr>
          <w:rFonts w:cs="Times New Roman"/>
          <w:szCs w:val="24"/>
        </w:rPr>
        <w:t>ОЭСР</w:t>
      </w:r>
      <w:r w:rsidRPr="00100887">
        <w:rPr>
          <w:rFonts w:cs="Times New Roman"/>
          <w:szCs w:val="24"/>
        </w:rPr>
        <w:t>)</w:t>
      </w:r>
    </w:p>
    <w:p w:rsidR="00873DDE" w:rsidRPr="00100887" w:rsidRDefault="00873DDE" w:rsidP="00873DDE">
      <w:pPr>
        <w:rPr>
          <w:rFonts w:cs="Times New Roman"/>
          <w:szCs w:val="24"/>
        </w:rPr>
      </w:pPr>
      <w:r w:rsidRPr="00100887">
        <w:rPr>
          <w:rFonts w:cs="Times New Roman"/>
          <w:szCs w:val="24"/>
        </w:rPr>
        <w:t>Программа развития ООН (</w:t>
      </w:r>
      <w:r>
        <w:rPr>
          <w:rFonts w:cs="Times New Roman"/>
          <w:szCs w:val="24"/>
        </w:rPr>
        <w:t>ПРООН</w:t>
      </w:r>
      <w:r w:rsidRPr="00100887">
        <w:rPr>
          <w:rFonts w:cs="Times New Roman"/>
          <w:szCs w:val="24"/>
        </w:rPr>
        <w:t>)</w:t>
      </w:r>
    </w:p>
    <w:p w:rsidR="0018458D" w:rsidRPr="002D493B" w:rsidRDefault="00957A62" w:rsidP="0018458D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 xml:space="preserve">2. Определения, </w:t>
      </w:r>
      <w:r w:rsidR="00A41B68" w:rsidRPr="002D493B">
        <w:rPr>
          <w:b/>
          <w:color w:val="auto"/>
          <w:sz w:val="24"/>
          <w:lang w:val="ru-RU"/>
        </w:rPr>
        <w:t>понятия</w:t>
      </w:r>
      <w:r w:rsidRPr="002D493B">
        <w:rPr>
          <w:b/>
          <w:color w:val="auto"/>
          <w:sz w:val="24"/>
          <w:lang w:val="ru-RU"/>
        </w:rPr>
        <w:t xml:space="preserve"> и классификации</w:t>
      </w:r>
    </w:p>
    <w:p w:rsidR="002D493B" w:rsidRPr="002D493B" w:rsidRDefault="002D493B" w:rsidP="002D493B">
      <w:pPr>
        <w:rPr>
          <w:b/>
        </w:rPr>
      </w:pPr>
      <w:r w:rsidRPr="002D493B">
        <w:rPr>
          <w:b/>
        </w:rPr>
        <w:t>Определения</w:t>
      </w:r>
      <w:r w:rsidR="006E4DBF">
        <w:rPr>
          <w:b/>
        </w:rPr>
        <w:t>:</w:t>
      </w:r>
    </w:p>
    <w:p w:rsidR="00873DDE" w:rsidRPr="00873DDE" w:rsidRDefault="00761CAF" w:rsidP="00873DDE">
      <w:pPr>
        <w:rPr>
          <w:rFonts w:cs="Times New Roman"/>
          <w:szCs w:val="24"/>
        </w:rPr>
      </w:pPr>
      <w:r w:rsidRPr="00761CAF">
        <w:rPr>
          <w:rFonts w:cs="Times New Roman"/>
          <w:szCs w:val="24"/>
        </w:rPr>
        <w:t xml:space="preserve">Этот показатель измеряет, в какой степени и каким образом все заинтересованные партнеры по развитию используют национальные </w:t>
      </w:r>
      <w:r w:rsidR="008451C0">
        <w:rPr>
          <w:rFonts w:cs="Times New Roman"/>
          <w:szCs w:val="24"/>
        </w:rPr>
        <w:t>схемы</w:t>
      </w:r>
      <w:r w:rsidRPr="00761CAF">
        <w:rPr>
          <w:rFonts w:cs="Times New Roman"/>
          <w:szCs w:val="24"/>
        </w:rPr>
        <w:t xml:space="preserve"> результатов (CRF) для планирования усилий по сотрудничеству в целях развития и оценки их эффективности.</w:t>
      </w:r>
    </w:p>
    <w:p w:rsidR="00873DDE" w:rsidRDefault="0071174E" w:rsidP="00873DDE">
      <w:pPr>
        <w:rPr>
          <w:rFonts w:cs="Times New Roman"/>
          <w:szCs w:val="24"/>
        </w:rPr>
      </w:pPr>
      <w:r w:rsidRPr="0071174E">
        <w:rPr>
          <w:rFonts w:cs="Times New Roman"/>
          <w:szCs w:val="24"/>
        </w:rPr>
        <w:t>Этот показатель оценивает степень, в которой поставщики услуг по сотрудничеству в</w:t>
      </w:r>
      <w:r w:rsidR="00400E87">
        <w:rPr>
          <w:rFonts w:cs="Times New Roman"/>
          <w:szCs w:val="24"/>
        </w:rPr>
        <w:t> </w:t>
      </w:r>
      <w:r w:rsidRPr="0071174E">
        <w:rPr>
          <w:rFonts w:cs="Times New Roman"/>
          <w:szCs w:val="24"/>
        </w:rPr>
        <w:t xml:space="preserve">целях развития (т.е. партнеры по развитию) разрабатывают свои мероприятия, опираясь на показатели целей и результатов, которые взяты из национальных </w:t>
      </w:r>
      <w:r w:rsidR="008451C0">
        <w:rPr>
          <w:rFonts w:cs="Times New Roman"/>
          <w:szCs w:val="24"/>
        </w:rPr>
        <w:t>схем</w:t>
      </w:r>
      <w:r w:rsidRPr="0071174E">
        <w:rPr>
          <w:rFonts w:cs="Times New Roman"/>
          <w:szCs w:val="24"/>
        </w:rPr>
        <w:t xml:space="preserve"> результатов</w:t>
      </w:r>
      <w:r>
        <w:rPr>
          <w:rFonts w:cs="Times New Roman"/>
          <w:szCs w:val="24"/>
        </w:rPr>
        <w:t xml:space="preserve"> </w:t>
      </w:r>
      <w:r w:rsidRPr="00761CAF">
        <w:rPr>
          <w:rFonts w:cs="Times New Roman"/>
          <w:szCs w:val="24"/>
        </w:rPr>
        <w:t>(CRF)</w:t>
      </w:r>
      <w:r w:rsidRPr="0071174E">
        <w:rPr>
          <w:rFonts w:cs="Times New Roman"/>
          <w:szCs w:val="24"/>
        </w:rPr>
        <w:t>, отражающих приоритеты и цели развития страны.</w:t>
      </w:r>
    </w:p>
    <w:p w:rsidR="0036490E" w:rsidRPr="0036490E" w:rsidRDefault="0036490E" w:rsidP="00873DDE">
      <w:pPr>
        <w:rPr>
          <w:rFonts w:cs="Times New Roman"/>
          <w:b/>
          <w:szCs w:val="24"/>
        </w:rPr>
      </w:pPr>
      <w:r w:rsidRPr="0036490E">
        <w:rPr>
          <w:rFonts w:cs="Times New Roman"/>
          <w:b/>
          <w:szCs w:val="24"/>
        </w:rPr>
        <w:t>Основные понятия:</w:t>
      </w:r>
    </w:p>
    <w:p w:rsidR="0071174E" w:rsidRDefault="0071174E" w:rsidP="00873DDE">
      <w:r w:rsidRPr="0071174E">
        <w:t xml:space="preserve">Национальные </w:t>
      </w:r>
      <w:r w:rsidR="008451C0">
        <w:t>схемы</w:t>
      </w:r>
      <w:r w:rsidRPr="0071174E">
        <w:t xml:space="preserve"> результатов (</w:t>
      </w:r>
      <w:r w:rsidRPr="00761CAF">
        <w:rPr>
          <w:rFonts w:cs="Times New Roman"/>
          <w:szCs w:val="24"/>
        </w:rPr>
        <w:t>CRF</w:t>
      </w:r>
      <w:r w:rsidRPr="0071174E">
        <w:t>) определяют подход страны к результатам и</w:t>
      </w:r>
      <w:r w:rsidR="00400E87">
        <w:t> </w:t>
      </w:r>
      <w:r w:rsidRPr="0071174E">
        <w:t>связанные с ним системы мониторинга и оценки, ориентированные на эффективность и</w:t>
      </w:r>
      <w:r w:rsidR="00400E87">
        <w:t> </w:t>
      </w:r>
      <w:r w:rsidRPr="0071174E">
        <w:t xml:space="preserve">достижение результатов в области развития. Используя минимальное определение, эти </w:t>
      </w:r>
      <w:r w:rsidR="003F2880">
        <w:t>схемы</w:t>
      </w:r>
      <w:r w:rsidRPr="0071174E">
        <w:t xml:space="preserve"> результатов включают согласованные цели и показатели результатов (т.е.</w:t>
      </w:r>
      <w:r w:rsidR="00400E87">
        <w:t> </w:t>
      </w:r>
      <w:r w:rsidRPr="0071174E">
        <w:t xml:space="preserve">результат, </w:t>
      </w:r>
      <w:r>
        <w:t>итог</w:t>
      </w:r>
      <w:r w:rsidRPr="0071174E">
        <w:t xml:space="preserve"> и/или воздействие). Они также устанавливают целевые показатели для оценки прогресса в достижении целей, определенных в документах правительства по</w:t>
      </w:r>
      <w:r w:rsidR="00400E87">
        <w:t> </w:t>
      </w:r>
      <w:r w:rsidRPr="0071174E">
        <w:t>планированию.</w:t>
      </w:r>
      <w:r w:rsidR="00873DDE" w:rsidRPr="00873DDE">
        <w:t xml:space="preserve"> </w:t>
      </w:r>
      <w:r w:rsidRPr="0071174E">
        <w:t xml:space="preserve">Определение </w:t>
      </w:r>
      <w:r>
        <w:t>национальной</w:t>
      </w:r>
      <w:r w:rsidRPr="0071174E">
        <w:t xml:space="preserve"> структуры результатов, используемой для этого показателя, позволяет использовать эквивалентные механизмы установления приоритетов на страновом уровне, поскольку не все страны формулируют свои приоритеты с помощью последовательных, интегрированных </w:t>
      </w:r>
      <w:r w:rsidRPr="00761CAF">
        <w:rPr>
          <w:rFonts w:cs="Times New Roman"/>
          <w:szCs w:val="24"/>
        </w:rPr>
        <w:t>CRF</w:t>
      </w:r>
      <w:r w:rsidRPr="0071174E">
        <w:t>.</w:t>
      </w:r>
    </w:p>
    <w:p w:rsidR="0071174E" w:rsidRDefault="0071174E" w:rsidP="00873DDE">
      <w:r w:rsidRPr="0071174E">
        <w:t xml:space="preserve">На практике </w:t>
      </w:r>
      <w:r>
        <w:t>национальн</w:t>
      </w:r>
      <w:r w:rsidRPr="0071174E">
        <w:t xml:space="preserve">ые </w:t>
      </w:r>
      <w:r w:rsidR="003F2880">
        <w:t xml:space="preserve">схемы </w:t>
      </w:r>
      <w:r w:rsidRPr="0071174E">
        <w:t xml:space="preserve">результатов, определенные на страновом уровне, часто излагаются в общих чертах (например, долгосрочные перспективные планы, национальные стратегии развития) и более подробно реализуются на отраслевом уровне (например, отраслевые стратегии), где устанавливаются конкретные </w:t>
      </w:r>
      <w:proofErr w:type="gramStart"/>
      <w:r w:rsidRPr="0071174E">
        <w:t>цели</w:t>
      </w:r>
      <w:proofErr w:type="gramEnd"/>
      <w:r w:rsidRPr="0071174E">
        <w:t xml:space="preserve"> и показатели на</w:t>
      </w:r>
      <w:r w:rsidR="00400E87">
        <w:t> </w:t>
      </w:r>
      <w:r w:rsidRPr="0071174E">
        <w:t>определенный период времени.</w:t>
      </w:r>
    </w:p>
    <w:p w:rsidR="006E4DBF" w:rsidRPr="006E4DBF" w:rsidRDefault="0071174E" w:rsidP="006E4DBF">
      <w:r w:rsidRPr="0071174E">
        <w:t xml:space="preserve">Некоторыми примерами </w:t>
      </w:r>
      <w:r w:rsidRPr="00873DDE">
        <w:t>CRF</w:t>
      </w:r>
      <w:r w:rsidRPr="0071174E">
        <w:t xml:space="preserve"> являются планы долгосрочного видения; национальные стратегии развития; совместные планы правительства и многих доноров; секторальные стратегии, политика и планы правительства; инструменты субнационального планирования, а также другие структуры (например, матрицы эффективности бюджетной поддержки и </w:t>
      </w:r>
      <w:proofErr w:type="spellStart"/>
      <w:r w:rsidRPr="0071174E">
        <w:t>общесекторальные</w:t>
      </w:r>
      <w:proofErr w:type="spellEnd"/>
      <w:r w:rsidRPr="0071174E">
        <w:t xml:space="preserve"> подходы). Напротив, документы по планированию и</w:t>
      </w:r>
      <w:r w:rsidR="00400E87">
        <w:t> </w:t>
      </w:r>
      <w:r w:rsidRPr="0071174E">
        <w:t xml:space="preserve">установлению приоритетов, подготовленные вне правительства, такие как страновые стратегии, подготовленные партнерами по развитию, не считаются </w:t>
      </w:r>
      <w:r w:rsidRPr="00873DDE">
        <w:t>CRF</w:t>
      </w:r>
      <w:r w:rsidRPr="0071174E">
        <w:t>.</w:t>
      </w:r>
    </w:p>
    <w:p w:rsidR="00407E4E" w:rsidRPr="006C10F0" w:rsidRDefault="00407E4E" w:rsidP="00873DDE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6C10F0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6C10F0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</w:t>
      </w:r>
      <w:r w:rsidRPr="006C10F0">
        <w:rPr>
          <w:b/>
          <w:color w:val="auto"/>
          <w:sz w:val="24"/>
          <w:szCs w:val="24"/>
          <w:lang w:val="ru-RU"/>
        </w:rPr>
        <w:t xml:space="preserve"> </w:t>
      </w:r>
      <w:r w:rsidRPr="00A343D5">
        <w:rPr>
          <w:b/>
          <w:color w:val="auto"/>
          <w:sz w:val="24"/>
          <w:szCs w:val="24"/>
          <w:lang w:val="ru-RU"/>
        </w:rPr>
        <w:t>измерения</w:t>
      </w:r>
    </w:p>
    <w:p w:rsidR="001B149F" w:rsidRDefault="0036490E" w:rsidP="006E4DBF">
      <w:r>
        <w:t>Про</w:t>
      </w:r>
      <w:r w:rsidR="0071174E">
        <w:t>цент</w:t>
      </w:r>
      <w:proofErr w:type="gramStart"/>
      <w:r w:rsidR="0071174E">
        <w:t xml:space="preserve"> (%)</w:t>
      </w:r>
      <w:proofErr w:type="gramEnd"/>
    </w:p>
    <w:p w:rsidR="006E4DBF" w:rsidRDefault="006E4DBF" w:rsidP="006E4DBF">
      <w:pPr>
        <w:pStyle w:val="a0"/>
      </w:pPr>
    </w:p>
    <w:p w:rsidR="006E4DBF" w:rsidRPr="006E4DBF" w:rsidRDefault="006E4DBF" w:rsidP="006E4DBF">
      <w:pPr>
        <w:pStyle w:val="a0"/>
      </w:pPr>
    </w:p>
    <w:p w:rsidR="000A229E" w:rsidRDefault="000A229E" w:rsidP="00D50626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067E3E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067E3E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EA3016" w:rsidRDefault="00EA3016" w:rsidP="00873DDE">
      <w:r w:rsidRPr="00EA3016">
        <w:t>Для развивающихся стран классификация основана на группировке ЦУР, предоставленной Статистическим управлением ООН (региональная классификация, Наименее развитые страны (НРС), Развивающиеся страны, не имеющие выхода к морю (НВМРС), Малые островные развивающиеся государства (МОРАГ)).</w:t>
      </w:r>
    </w:p>
    <w:p w:rsidR="00EA3016" w:rsidRDefault="00EA3016" w:rsidP="00A343D5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EA3016">
        <w:rPr>
          <w:rFonts w:eastAsiaTheme="minorHAnsi" w:cstheme="minorBidi"/>
          <w:color w:val="auto"/>
          <w:sz w:val="24"/>
          <w:szCs w:val="22"/>
          <w:lang w:val="ru-RU" w:eastAsia="en-US"/>
        </w:rPr>
        <w:t>Для партнеров по развитию классификация основана на группировке ЦУР. Кроме того, двусторонние партнеры могут быть разделены на членов Комитета содействия развитию (КСР) и не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</w:t>
      </w:r>
      <w:r w:rsidRPr="00EA3016">
        <w:rPr>
          <w:rFonts w:eastAsiaTheme="minorHAnsi" w:cstheme="minorBidi"/>
          <w:color w:val="auto"/>
          <w:sz w:val="24"/>
          <w:szCs w:val="22"/>
          <w:lang w:val="ru-RU" w:eastAsia="en-US"/>
        </w:rPr>
        <w:t>членов.</w:t>
      </w:r>
    </w:p>
    <w:p w:rsidR="00EA3016" w:rsidRDefault="00EA3016" w:rsidP="00A343D5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0A229E" w:rsidRPr="00A343D5" w:rsidRDefault="000A229E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4333FB" w:rsidRPr="004333FB" w:rsidRDefault="000A229E" w:rsidP="004333F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A41A07" w:rsidRDefault="00A41A07" w:rsidP="00A41A07">
      <w:r w:rsidRPr="00A41A07">
        <w:t>Мониторинг является добровольным процессом, осуществляемым под руководством страны. Правительства стран руководят сбором и проверкой данных и координируют их. На страновом уровне данные представляются соответствующими государственными органами (например, Министерством финансов/бюджетным департаментом для информации о национальном бюджете), а также партнерами по развитию и</w:t>
      </w:r>
      <w:r w:rsidR="00400E87">
        <w:t> </w:t>
      </w:r>
      <w:r w:rsidRPr="00A41A07">
        <w:t>заинтересованными сторонами.</w:t>
      </w:r>
      <w:r>
        <w:t xml:space="preserve"> </w:t>
      </w:r>
      <w:r w:rsidRPr="00A41A07">
        <w:t>ОЭСР и ПРООН оказывают странам поддержку в сборе соответствующих данных в рамках мониторинга Глобального партнерства, и эти организации руководят агрегированием данных и обеспечением качества на глобальном уровне.</w:t>
      </w:r>
    </w:p>
    <w:p w:rsidR="00995788" w:rsidRDefault="000A229E" w:rsidP="00A41A07">
      <w:pPr>
        <w:rPr>
          <w:b/>
        </w:rPr>
      </w:pPr>
      <w:r w:rsidRPr="00D50626">
        <w:rPr>
          <w:b/>
        </w:rPr>
        <w:t>3.</w:t>
      </w:r>
      <w:r w:rsidRPr="003424DF">
        <w:rPr>
          <w:b/>
        </w:rPr>
        <w:t>b</w:t>
      </w:r>
      <w:r w:rsidRPr="00D50626">
        <w:rPr>
          <w:b/>
        </w:rPr>
        <w:t>. Метод сбора данных</w:t>
      </w:r>
    </w:p>
    <w:p w:rsidR="001B67A5" w:rsidRPr="001B67A5" w:rsidRDefault="00A41A07" w:rsidP="001B67A5">
      <w:pPr>
        <w:rPr>
          <w:lang w:eastAsia="ru-RU"/>
        </w:rPr>
      </w:pPr>
      <w:r w:rsidRPr="001B67A5">
        <w:rPr>
          <w:lang w:eastAsia="ru-RU"/>
        </w:rPr>
        <w:t xml:space="preserve"> </w:t>
      </w:r>
      <w:r w:rsidR="001B67A5" w:rsidRPr="001B67A5">
        <w:rPr>
          <w:lang w:eastAsia="ru-RU"/>
        </w:rPr>
        <w:t>(i)</w:t>
      </w:r>
      <w:r w:rsidR="001B67A5" w:rsidRPr="001B67A5">
        <w:rPr>
          <w:lang w:eastAsia="ru-RU"/>
        </w:rPr>
        <w:tab/>
      </w:r>
      <w:r w:rsidRPr="00A41A07">
        <w:rPr>
          <w:lang w:eastAsia="ru-RU"/>
        </w:rPr>
        <w:t>Для процесса сбора данных в рамках мониторинга Глобального партнерства правительство страны назначает национального координатора. Он/она обычно работает в</w:t>
      </w:r>
      <w:r>
        <w:rPr>
          <w:lang w:eastAsia="ru-RU"/>
        </w:rPr>
        <w:t> </w:t>
      </w:r>
      <w:r w:rsidRPr="00A41A07">
        <w:rPr>
          <w:lang w:eastAsia="ru-RU"/>
        </w:rPr>
        <w:t>Министерстве фина</w:t>
      </w:r>
      <w:r>
        <w:rPr>
          <w:lang w:eastAsia="ru-RU"/>
        </w:rPr>
        <w:t xml:space="preserve">нсов, Министерстве планирования, </w:t>
      </w:r>
      <w:r w:rsidRPr="00A41A07">
        <w:rPr>
          <w:lang w:eastAsia="ru-RU"/>
        </w:rPr>
        <w:t>Министерстве иностранных дел, или министерстве, которое отвечает за управление сотрудничеством и партнерствами в</w:t>
      </w:r>
      <w:r>
        <w:rPr>
          <w:lang w:eastAsia="ru-RU"/>
        </w:rPr>
        <w:t> </w:t>
      </w:r>
      <w:r w:rsidRPr="00A41A07">
        <w:rPr>
          <w:lang w:eastAsia="ru-RU"/>
        </w:rPr>
        <w:t>целях развития в соответствии с соответствующей институциональной структурой каждой страны.</w:t>
      </w:r>
    </w:p>
    <w:p w:rsidR="001B67A5" w:rsidRPr="001B67A5" w:rsidRDefault="001B67A5" w:rsidP="001B67A5">
      <w:pPr>
        <w:rPr>
          <w:lang w:eastAsia="ru-RU"/>
        </w:rPr>
      </w:pPr>
      <w:r w:rsidRPr="001B67A5">
        <w:rPr>
          <w:lang w:eastAsia="ru-RU"/>
        </w:rPr>
        <w:t>(</w:t>
      </w:r>
      <w:proofErr w:type="spellStart"/>
      <w:r w:rsidRPr="001B67A5">
        <w:rPr>
          <w:lang w:eastAsia="ru-RU"/>
        </w:rPr>
        <w:t>ii</w:t>
      </w:r>
      <w:proofErr w:type="spellEnd"/>
      <w:r w:rsidRPr="001B67A5">
        <w:rPr>
          <w:lang w:eastAsia="ru-RU"/>
        </w:rPr>
        <w:t>)</w:t>
      </w:r>
      <w:r w:rsidRPr="001B67A5">
        <w:rPr>
          <w:lang w:eastAsia="ru-RU"/>
        </w:rPr>
        <w:tab/>
      </w:r>
      <w:r w:rsidR="00A41A07" w:rsidRPr="00A41A07">
        <w:rPr>
          <w:lang w:eastAsia="ru-RU"/>
        </w:rPr>
        <w:t>Национальный координатор собирает информацию от партнеров по развитию. Данные представляются ОЭСР и ПРООН, а затем проходят проверку в штаб-квартирах партнеров по развитию.</w:t>
      </w:r>
    </w:p>
    <w:p w:rsidR="001B67A5" w:rsidRDefault="001B67A5" w:rsidP="001B67A5">
      <w:pPr>
        <w:rPr>
          <w:lang w:eastAsia="ru-RU"/>
        </w:rPr>
      </w:pPr>
      <w:r w:rsidRPr="001B67A5">
        <w:rPr>
          <w:lang w:eastAsia="ru-RU"/>
        </w:rPr>
        <w:t>(iii)</w:t>
      </w:r>
      <w:r w:rsidRPr="001B67A5">
        <w:rPr>
          <w:lang w:eastAsia="ru-RU"/>
        </w:rPr>
        <w:tab/>
      </w:r>
      <w:r w:rsidR="00A41A07" w:rsidRPr="00A41A07">
        <w:rPr>
          <w:lang w:eastAsia="ru-RU"/>
        </w:rPr>
        <w:t>Никакие корректировки не вносятся в данные после того, как они прошли процесс проверки. Однако несоответствия или возможные проблемные значения выделяются и</w:t>
      </w:r>
      <w:r w:rsidR="00A41A07">
        <w:rPr>
          <w:lang w:eastAsia="ru-RU"/>
        </w:rPr>
        <w:t> </w:t>
      </w:r>
      <w:r w:rsidR="00A41A07" w:rsidRPr="00A41A07">
        <w:rPr>
          <w:lang w:eastAsia="ru-RU"/>
        </w:rPr>
        <w:t>направляются обратно национальным координаторам для пересмотра.</w:t>
      </w:r>
    </w:p>
    <w:p w:rsidR="009E707C" w:rsidRPr="003424DF" w:rsidRDefault="009E707C" w:rsidP="001B67A5">
      <w:pPr>
        <w:pStyle w:val="MHeader"/>
        <w:rPr>
          <w:b/>
          <w:color w:val="auto"/>
          <w:sz w:val="24"/>
          <w:lang w:val="ru-RU"/>
        </w:rPr>
      </w:pPr>
      <w:r w:rsidRPr="003424DF">
        <w:rPr>
          <w:b/>
          <w:color w:val="auto"/>
          <w:sz w:val="24"/>
          <w:lang w:val="ru-RU"/>
        </w:rPr>
        <w:t>3.</w:t>
      </w:r>
      <w:r w:rsidR="00900860" w:rsidRPr="003424DF">
        <w:rPr>
          <w:b/>
          <w:color w:val="auto"/>
          <w:sz w:val="24"/>
          <w:lang w:val="ru-RU"/>
        </w:rPr>
        <w:t>с</w:t>
      </w:r>
      <w:r w:rsidRPr="003424DF">
        <w:rPr>
          <w:b/>
          <w:color w:val="auto"/>
          <w:sz w:val="24"/>
          <w:lang w:val="ru-RU"/>
        </w:rPr>
        <w:t>.</w:t>
      </w:r>
      <w:r w:rsidR="00900860" w:rsidRPr="003424DF">
        <w:rPr>
          <w:b/>
          <w:color w:val="auto"/>
          <w:sz w:val="24"/>
          <w:lang w:val="ru-RU"/>
        </w:rPr>
        <w:t xml:space="preserve"> </w:t>
      </w:r>
      <w:r w:rsidRPr="003424DF">
        <w:rPr>
          <w:b/>
          <w:color w:val="auto"/>
          <w:sz w:val="24"/>
          <w:lang w:val="ru-RU"/>
        </w:rPr>
        <w:t>Календарь сбора данных</w:t>
      </w:r>
    </w:p>
    <w:p w:rsidR="00A41A07" w:rsidRDefault="00A41A07" w:rsidP="001B149F">
      <w:r w:rsidRPr="00A41A07">
        <w:t>Календарь сбора данных был рассчитан на двухгодичный цикл до 2020 года. Данные были представлены на основе данных, собранных в 2016 и 2018 годах. Следующий раунд мониторинга будет проводиться</w:t>
      </w:r>
      <w:r w:rsidR="001A11E2">
        <w:t>,</w:t>
      </w:r>
      <w:r w:rsidRPr="00A41A07">
        <w:t xml:space="preserve"> начиная с 2023 года, при этом сбор данных будет осуществляться на постоянной основе.</w:t>
      </w:r>
    </w:p>
    <w:p w:rsidR="001B149F" w:rsidRDefault="001B149F" w:rsidP="001B149F"/>
    <w:p w:rsidR="006E4DBF" w:rsidRPr="006E4DBF" w:rsidRDefault="006E4DBF" w:rsidP="006E4DBF">
      <w:pPr>
        <w:pStyle w:val="a0"/>
      </w:pPr>
    </w:p>
    <w:p w:rsidR="000A229E" w:rsidRDefault="009E707C" w:rsidP="00FC39AA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6571B">
        <w:rPr>
          <w:color w:val="auto"/>
          <w:sz w:val="24"/>
          <w:szCs w:val="24"/>
          <w:lang w:val="ru-RU"/>
        </w:rPr>
        <w:lastRenderedPageBreak/>
        <w:t>3</w:t>
      </w:r>
      <w:r w:rsidR="000A229E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color w:val="auto"/>
          <w:sz w:val="24"/>
          <w:szCs w:val="24"/>
        </w:rPr>
        <w:t>d</w:t>
      </w:r>
      <w:r w:rsidR="003A389C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D70C4F" w:rsidRDefault="00D70C4F" w:rsidP="00D70C4F">
      <w:r w:rsidRPr="00D70C4F">
        <w:t>Публикация данных запланирована на первый квартал года, который следует сразу за</w:t>
      </w:r>
      <w:r w:rsidR="00400E87">
        <w:t> </w:t>
      </w:r>
      <w:r w:rsidRPr="00D70C4F">
        <w:t>национальными процессами сбора данных.</w:t>
      </w:r>
    </w:p>
    <w:p w:rsidR="000A229E" w:rsidRPr="00A343D5" w:rsidRDefault="000A229E" w:rsidP="00FC39AA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A423C4" w:rsidRPr="006E4DBF" w:rsidRDefault="00A423C4" w:rsidP="00A423C4">
      <w:pPr>
        <w:rPr>
          <w:b/>
        </w:rPr>
      </w:pPr>
      <w:r w:rsidRPr="006E4DBF">
        <w:rPr>
          <w:b/>
        </w:rPr>
        <w:t>Название:</w:t>
      </w:r>
    </w:p>
    <w:p w:rsidR="001A11E2" w:rsidRDefault="001A11E2" w:rsidP="00A423C4">
      <w:r w:rsidRPr="001A11E2">
        <w:t>Ведущее центральное министерство из стран, представивших доклады. Как правило, Министерство финансов, Министерство планирования или Министерство иностранных дел, в зависимости от разделения труда в каждом правительстве.</w:t>
      </w:r>
    </w:p>
    <w:p w:rsidR="00A423C4" w:rsidRPr="006E4DBF" w:rsidRDefault="00A423C4" w:rsidP="00A423C4">
      <w:pPr>
        <w:rPr>
          <w:b/>
        </w:rPr>
      </w:pPr>
      <w:r w:rsidRPr="006E4DBF">
        <w:rPr>
          <w:b/>
        </w:rPr>
        <w:t>Описание:</w:t>
      </w:r>
    </w:p>
    <w:p w:rsidR="001A11E2" w:rsidRDefault="001A11E2" w:rsidP="00A423C4">
      <w:pPr>
        <w:pStyle w:val="MHeader2"/>
        <w:spacing w:line="276" w:lineRule="auto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1A11E2">
        <w:rPr>
          <w:rFonts w:eastAsiaTheme="minorHAnsi" w:cstheme="minorBidi"/>
          <w:color w:val="auto"/>
          <w:sz w:val="24"/>
          <w:szCs w:val="22"/>
          <w:lang w:val="ru-RU" w:eastAsia="en-US"/>
        </w:rPr>
        <w:t>Представители ведущих министе</w:t>
      </w:r>
      <w:proofErr w:type="gramStart"/>
      <w:r w:rsidRPr="001A11E2">
        <w:rPr>
          <w:rFonts w:eastAsiaTheme="minorHAnsi" w:cstheme="minorBidi"/>
          <w:color w:val="auto"/>
          <w:sz w:val="24"/>
          <w:szCs w:val="22"/>
          <w:lang w:val="ru-RU" w:eastAsia="en-US"/>
        </w:rPr>
        <w:t>рств в пр</w:t>
      </w:r>
      <w:proofErr w:type="gramEnd"/>
      <w:r w:rsidRPr="001A11E2">
        <w:rPr>
          <w:rFonts w:eastAsiaTheme="minorHAnsi" w:cstheme="minorBidi"/>
          <w:color w:val="auto"/>
          <w:sz w:val="24"/>
          <w:szCs w:val="22"/>
          <w:lang w:val="ru-RU" w:eastAsia="en-US"/>
        </w:rPr>
        <w:t>авительствах стран отвечают за руководство процессом сбора данных на национальном уровне и их проверку на страновом уровне. Эти представители координируют процесс сбора данных на национальном уровне путем объединения данных и материалов, поступающих от поставщиков услуг по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1A11E2">
        <w:rPr>
          <w:rFonts w:eastAsiaTheme="minorHAnsi" w:cstheme="minorBidi"/>
          <w:color w:val="auto"/>
          <w:sz w:val="24"/>
          <w:szCs w:val="22"/>
          <w:lang w:val="ru-RU" w:eastAsia="en-US"/>
        </w:rPr>
        <w:t>сотрудничеству в целях развития, организаций гражданского общества, частного сектора и профсоюзов. Для расчета показателя 17.15.1 правительства стран представляют данные Совместной группе поддержки Глобального партнерства ОЭСР/ПРООН.</w:t>
      </w:r>
    </w:p>
    <w:p w:rsidR="000A229E" w:rsidRPr="00A343D5" w:rsidRDefault="000A229E" w:rsidP="00A423C4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400E87" w:rsidRDefault="001A11E2" w:rsidP="0056571B">
      <w:pPr>
        <w:pStyle w:val="MHeader2"/>
        <w:spacing w:line="276" w:lineRule="auto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1A11E2">
        <w:rPr>
          <w:rFonts w:eastAsiaTheme="minorHAnsi" w:cstheme="minorBidi"/>
          <w:color w:val="auto"/>
          <w:sz w:val="24"/>
          <w:szCs w:val="22"/>
          <w:lang w:val="ru-RU" w:eastAsia="en-US"/>
        </w:rPr>
        <w:t>Организация экономического сотрудничества и развития (ОЭСР) и Программа развития Организации Объединенных Наций (ПРООН) совместно собирают и представляют данные на глобальном уровне.</w:t>
      </w:r>
    </w:p>
    <w:p w:rsidR="000A229E" w:rsidRDefault="000A229E" w:rsidP="0056571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3D3043" w:rsidRDefault="004B7BAF" w:rsidP="003D3043">
      <w:r w:rsidRPr="004B7BAF">
        <w:t xml:space="preserve">В качестве </w:t>
      </w:r>
      <w:r>
        <w:t>кураторов</w:t>
      </w:r>
      <w:r w:rsidRPr="004B7BAF">
        <w:t xml:space="preserve"> этого показателя ОЭСР и ПРООН отвечают за предоставление технических рекомендаций и поддержку странам в сборе данных, компиляции и проверке данных по странам, а также за представление данных по странам и агрегированных данных для этого показателя.</w:t>
      </w:r>
      <w:r w:rsidR="003D3043" w:rsidRPr="003D3043">
        <w:t xml:space="preserve"> </w:t>
      </w:r>
      <w:r w:rsidRPr="004B7BAF">
        <w:t>Опираясь на институциональную поддержку, оказываемую Глобальному партнерству за эффективное сотрудничество в целях развития, ОЭСР и</w:t>
      </w:r>
      <w:r w:rsidR="00400E87">
        <w:t> </w:t>
      </w:r>
      <w:r w:rsidRPr="004B7BAF">
        <w:t>ПРООН используют участие стран в мониторинге Глобального партнерства, который с</w:t>
      </w:r>
      <w:r w:rsidR="00400E87">
        <w:t> </w:t>
      </w:r>
      <w:r w:rsidRPr="004B7BAF">
        <w:t>2013 года отслеживает прогресс в достижении принципов эффективности и является признанным источником данных и фактических данных о соблюдении обязательств по</w:t>
      </w:r>
      <w:r w:rsidR="00400E87">
        <w:t> </w:t>
      </w:r>
      <w:r w:rsidRPr="004B7BAF">
        <w:t>повышению эффективности, для сбора глобальных данных для этого индикатор</w:t>
      </w:r>
      <w:r>
        <w:t>а</w:t>
      </w:r>
      <w:r w:rsidRPr="004B7BAF">
        <w:t>. Страны, не участвующие в мониторинге Глобального партнерства, могут представлять свои страновые данные непосредственно ОЭСР и ПРООН.</w:t>
      </w:r>
    </w:p>
    <w:p w:rsidR="002E15F9" w:rsidRDefault="002E15F9" w:rsidP="00350C2D">
      <w:pPr>
        <w:pStyle w:val="MHeader"/>
        <w:rPr>
          <w:b/>
          <w:color w:val="auto"/>
          <w:sz w:val="24"/>
          <w:szCs w:val="24"/>
          <w:lang w:val="ru-RU"/>
        </w:rPr>
      </w:pPr>
      <w:r w:rsidRPr="00D51C14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D51C14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4B7BAF" w:rsidRDefault="004B7BAF" w:rsidP="003D3043">
      <w:r w:rsidRPr="004B7BAF">
        <w:t xml:space="preserve">Измерение соответствия поддержки партнеров по развитию приоритетам стран с точки зрения плана мероприятий и типа механизмов отчетности о результатах позволяет получить соответствующую оценку степени </w:t>
      </w:r>
      <w:r>
        <w:t>«</w:t>
      </w:r>
      <w:r w:rsidRPr="004B7BAF">
        <w:t>уважения пространства для маневра в</w:t>
      </w:r>
      <w:r w:rsidR="00400E87">
        <w:t> </w:t>
      </w:r>
      <w:r w:rsidRPr="004B7BAF">
        <w:t>политике и лидерства каждой страны в разработке и осуществлении национальной политики по искоренению нищеты и устойчивому развитию</w:t>
      </w:r>
      <w:r>
        <w:t>»</w:t>
      </w:r>
      <w:r w:rsidRPr="004B7BAF">
        <w:t>.</w:t>
      </w:r>
    </w:p>
    <w:p w:rsidR="003D3043" w:rsidRDefault="004B7BAF" w:rsidP="003D3043">
      <w:r w:rsidRPr="004B7BAF">
        <w:lastRenderedPageBreak/>
        <w:t>В частности, для мероприятий, утвержденных в отчетном году (т.е. в отношении самых последних действий), оценка измеряет степень, в которой поддержка со стороны других стран и международных организаций устанавливает внешние приоритеты и условия для стран-партнеров, получающих сотрудничество в целях развития, которые не отражены в</w:t>
      </w:r>
      <w:r w:rsidR="00400E87">
        <w:t> </w:t>
      </w:r>
      <w:r w:rsidRPr="004B7BAF">
        <w:t xml:space="preserve"> существующих страновых механизмах установления приоритетов или инструмент</w:t>
      </w:r>
      <w:r>
        <w:t>ов</w:t>
      </w:r>
      <w:r w:rsidRPr="004B7BAF">
        <w:t xml:space="preserve"> планирования.</w:t>
      </w:r>
    </w:p>
    <w:p w:rsidR="00691BC3" w:rsidRDefault="003D3043" w:rsidP="003D3043">
      <w:r>
        <w:t xml:space="preserve">Информация, собранная по всему показателю, представляет собой «двухстороннее зеркало», обеспечивающее как оценку на уровне страны существующего пространства политики в стране, так и агрегированную оценку на уровне провайдера на уровне согласования партнеров по развитию с существующими </w:t>
      </w:r>
      <w:r w:rsidR="003F2880">
        <w:t>схемами</w:t>
      </w:r>
      <w:r>
        <w:t xml:space="preserve"> результатов и</w:t>
      </w:r>
      <w:r w:rsidR="00400E87">
        <w:t> </w:t>
      </w:r>
      <w:r>
        <w:t>приоритетными задачами, в странах-реципиентах, где он действует.</w:t>
      </w:r>
    </w:p>
    <w:p w:rsidR="002E15F9" w:rsidRPr="00A343D5" w:rsidRDefault="00691BC3" w:rsidP="00691BC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691BC3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</w:t>
      </w:r>
      <w:r w:rsidR="002E15F9" w:rsidRPr="00A343D5">
        <w:rPr>
          <w:color w:val="auto"/>
          <w:sz w:val="24"/>
          <w:szCs w:val="24"/>
          <w:lang w:val="ru-RU"/>
        </w:rPr>
        <w:t>4.</w:t>
      </w:r>
      <w:r w:rsidR="002E15F9" w:rsidRPr="00A343D5">
        <w:rPr>
          <w:color w:val="auto"/>
          <w:sz w:val="24"/>
          <w:szCs w:val="24"/>
        </w:rPr>
        <w:t>b</w:t>
      </w:r>
      <w:r w:rsidR="002E15F9"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400E87" w:rsidRDefault="004B7BAF" w:rsidP="00350C2D">
      <w:pPr>
        <w:pStyle w:val="MHeader2"/>
        <w:spacing w:line="276" w:lineRule="auto"/>
        <w:rPr>
          <w:rFonts w:eastAsiaTheme="minorHAnsi" w:cstheme="minorBidi"/>
          <w:color w:val="auto"/>
          <w:sz w:val="24"/>
          <w:szCs w:val="22"/>
          <w:lang w:val="ru-RU" w:eastAsia="ru-RU"/>
        </w:rPr>
      </w:pP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>В рамках мониторинга Глобального партнерства собираются данные, выходящие за рамки предлагаемого показателя, включая дополнительные аспекты, такие как качество планирования национального развития, благоприятные условия для организаций гражданского общества, качество диалога между государственным и частным секторами, предсказуемость сотрудничества в целях развития и использование национальных систем управления государственными финансами со стороны поставщики сотрудничества в</w:t>
      </w:r>
      <w:r w:rsidR="00400E87">
        <w:rPr>
          <w:rFonts w:eastAsiaTheme="minorHAnsi" w:cstheme="minorBidi"/>
          <w:color w:val="auto"/>
          <w:sz w:val="24"/>
          <w:szCs w:val="22"/>
          <w:lang w:val="ru-RU" w:eastAsia="ru-RU"/>
        </w:rPr>
        <w:t> </w:t>
      </w: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 xml:space="preserve">целях развития. Данные, полученные в результате мониторинга Глобального партнерства, </w:t>
      </w:r>
      <w:r w:rsidR="008803B5">
        <w:rPr>
          <w:rFonts w:eastAsiaTheme="minorHAnsi" w:cstheme="minorBidi"/>
          <w:color w:val="auto"/>
          <w:sz w:val="24"/>
          <w:szCs w:val="22"/>
          <w:lang w:val="ru-RU" w:eastAsia="ru-RU"/>
        </w:rPr>
        <w:t>предоставляют данные п</w:t>
      </w: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>о дву</w:t>
      </w:r>
      <w:r w:rsidR="008803B5">
        <w:rPr>
          <w:rFonts w:eastAsiaTheme="minorHAnsi" w:cstheme="minorBidi"/>
          <w:color w:val="auto"/>
          <w:sz w:val="24"/>
          <w:szCs w:val="22"/>
          <w:lang w:val="ru-RU" w:eastAsia="ru-RU"/>
        </w:rPr>
        <w:t>м</w:t>
      </w: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 xml:space="preserve"> дополнительны</w:t>
      </w:r>
      <w:r w:rsidR="008803B5">
        <w:rPr>
          <w:rFonts w:eastAsiaTheme="minorHAnsi" w:cstheme="minorBidi"/>
          <w:color w:val="auto"/>
          <w:sz w:val="24"/>
          <w:szCs w:val="22"/>
          <w:lang w:val="ru-RU" w:eastAsia="ru-RU"/>
        </w:rPr>
        <w:t>м</w:t>
      </w: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 xml:space="preserve"> показателя</w:t>
      </w:r>
      <w:r w:rsidR="008803B5">
        <w:rPr>
          <w:rFonts w:eastAsiaTheme="minorHAnsi" w:cstheme="minorBidi"/>
          <w:color w:val="auto"/>
          <w:sz w:val="24"/>
          <w:szCs w:val="22"/>
          <w:lang w:val="ru-RU" w:eastAsia="ru-RU"/>
        </w:rPr>
        <w:t>м</w:t>
      </w: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 xml:space="preserve"> ЦУР: 17.16.1 и</w:t>
      </w:r>
      <w:r w:rsidR="00400E87">
        <w:rPr>
          <w:rFonts w:eastAsiaTheme="minorHAnsi" w:cstheme="minorBidi"/>
          <w:color w:val="auto"/>
          <w:sz w:val="24"/>
          <w:szCs w:val="22"/>
          <w:lang w:val="ru-RU" w:eastAsia="ru-RU"/>
        </w:rPr>
        <w:t> </w:t>
      </w:r>
      <w:r w:rsidRPr="004B7BAF">
        <w:rPr>
          <w:rFonts w:eastAsiaTheme="minorHAnsi" w:cstheme="minorBidi"/>
          <w:color w:val="auto"/>
          <w:sz w:val="24"/>
          <w:szCs w:val="22"/>
          <w:lang w:val="ru-RU" w:eastAsia="ru-RU"/>
        </w:rPr>
        <w:t>5.c.1.</w:t>
      </w:r>
    </w:p>
    <w:p w:rsidR="00D273C6" w:rsidRDefault="002E15F9" w:rsidP="00350C2D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8501F4">
        <w:rPr>
          <w:color w:val="auto"/>
          <w:sz w:val="24"/>
          <w:szCs w:val="24"/>
          <w:lang w:val="ru-RU"/>
        </w:rPr>
        <w:t>4.</w:t>
      </w:r>
      <w:r w:rsidRPr="004F3B53">
        <w:rPr>
          <w:color w:val="auto"/>
          <w:sz w:val="24"/>
          <w:szCs w:val="24"/>
        </w:rPr>
        <w:t>c</w:t>
      </w:r>
      <w:r w:rsidRPr="004F3B53">
        <w:rPr>
          <w:color w:val="auto"/>
          <w:sz w:val="24"/>
          <w:szCs w:val="24"/>
          <w:lang w:val="ru-RU"/>
        </w:rPr>
        <w:t>.</w:t>
      </w:r>
      <w:r w:rsidR="008803B5">
        <w:rPr>
          <w:color w:val="auto"/>
          <w:sz w:val="24"/>
          <w:szCs w:val="24"/>
          <w:lang w:val="ru-RU"/>
        </w:rPr>
        <w:t xml:space="preserve"> </w:t>
      </w:r>
      <w:r w:rsidR="00CA1CB1" w:rsidRPr="004F3B53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8501F4">
        <w:rPr>
          <w:color w:val="auto"/>
          <w:sz w:val="24"/>
          <w:szCs w:val="24"/>
          <w:lang w:val="ru-RU"/>
        </w:rPr>
        <w:t xml:space="preserve"> </w:t>
      </w:r>
    </w:p>
    <w:p w:rsidR="008803B5" w:rsidRDefault="008803B5" w:rsidP="003D3043">
      <w:r w:rsidRPr="008803B5">
        <w:t xml:space="preserve">Чтобы обеспечить всеобъемлющую оценку степени использования страновых </w:t>
      </w:r>
      <w:r w:rsidR="008451C0">
        <w:t>схем</w:t>
      </w:r>
      <w:r w:rsidRPr="008803B5">
        <w:t xml:space="preserve"> результатов и других инструментов планирования, управляемых правительством, показатель рассчитывает степень, в которой цели, результаты, показатели и механизмы мониторинга, связанные с новыми мероприятиями в области развития, заимствованы из государственных источников, включая национальные, секторальные и субнациональные инструменты планирования.</w:t>
      </w:r>
    </w:p>
    <w:p w:rsidR="008803B5" w:rsidRDefault="008803B5" w:rsidP="003D3043">
      <w:r w:rsidRPr="008803B5">
        <w:t>Для каждого мероприятия в области развития значительного размера (100 000 долларов США и выше), утвержденного в течение отчетного года, оцениваются следующие аспекты:</w:t>
      </w:r>
      <w:r>
        <w:t xml:space="preserve"> </w:t>
      </w:r>
    </w:p>
    <w:p w:rsidR="003D3043" w:rsidRDefault="003D3043" w:rsidP="00116A4A">
      <w:pPr>
        <w:pStyle w:val="ac"/>
        <w:numPr>
          <w:ilvl w:val="0"/>
          <w:numId w:val="25"/>
        </w:numPr>
      </w:pPr>
      <w:r>
        <w:t xml:space="preserve">Q1 Взяты ли цели из правительственных </w:t>
      </w:r>
      <w:r w:rsidR="008451C0">
        <w:t>схем</w:t>
      </w:r>
      <w:r>
        <w:t xml:space="preserve"> результатов, планов и стратегий 0/1</w:t>
      </w:r>
    </w:p>
    <w:p w:rsidR="003D3043" w:rsidRDefault="003D3043" w:rsidP="00116A4A">
      <w:pPr>
        <w:pStyle w:val="ac"/>
        <w:numPr>
          <w:ilvl w:val="0"/>
          <w:numId w:val="25"/>
        </w:numPr>
      </w:pPr>
      <w:r>
        <w:t xml:space="preserve">Q2 Доля </w:t>
      </w:r>
      <w:r w:rsidR="008803B5">
        <w:t xml:space="preserve">показателей </w:t>
      </w:r>
      <w:r>
        <w:t xml:space="preserve">результатов (итогов), которые взяты из правительственных </w:t>
      </w:r>
      <w:r w:rsidR="008451C0">
        <w:t>схем</w:t>
      </w:r>
      <w:r>
        <w:t xml:space="preserve"> результатов, планов и стратегий %</w:t>
      </w:r>
    </w:p>
    <w:p w:rsidR="003D3043" w:rsidRDefault="003D3043" w:rsidP="00116A4A">
      <w:pPr>
        <w:pStyle w:val="ac"/>
        <w:numPr>
          <w:ilvl w:val="0"/>
          <w:numId w:val="25"/>
        </w:numPr>
      </w:pPr>
      <w:r>
        <w:t xml:space="preserve">Q3 </w:t>
      </w:r>
      <w:r w:rsidR="008803B5" w:rsidRPr="008803B5">
        <w:t>Доля показателей результатов (итогов), которые будут основываться на источниках данных, предоставляемых существующими страновыми системами мониторинга или национальными статистическими службами для отслеживания прогресса проекта %</w:t>
      </w:r>
    </w:p>
    <w:p w:rsidR="00191621" w:rsidRDefault="00191621" w:rsidP="00191621">
      <w:pPr>
        <w:pStyle w:val="a0"/>
      </w:pPr>
      <w:r w:rsidRPr="00191621">
        <w:t>Глобальные агрегированные данные по показателю (для стран-партнеров и поставщиков услуг) получены путем усреднения трех аспектов соответствия приоритетам и целям страны по всем новым мероприятиям за отчетный год.</w:t>
      </w:r>
    </w:p>
    <w:p w:rsidR="00191621" w:rsidRPr="00191621" w:rsidRDefault="00191621" w:rsidP="00191621">
      <w:pPr>
        <w:pStyle w:val="a0"/>
      </w:pPr>
    </w:p>
    <w:p w:rsidR="003D3043" w:rsidRDefault="00191621" w:rsidP="003D3043">
      <w:r w:rsidRPr="00191621">
        <w:lastRenderedPageBreak/>
        <w:t>Агрегированные средние показатели по странам-партнерам позволят определить, в какой степени CRF и инструменты планирования используются поставщиками услуг по</w:t>
      </w:r>
      <w:r w:rsidR="00400E87">
        <w:t> </w:t>
      </w:r>
      <w:r w:rsidRPr="00191621">
        <w:t>сотрудничеству в целях развития, действующими в этой конкретной стране, при разработке и мониторинге новых проектов развития.</w:t>
      </w:r>
      <w:r w:rsidR="003D3043">
        <w:t xml:space="preserve"> Формулы доступны по адресу</w:t>
      </w:r>
      <w:r w:rsidR="00C02698">
        <w:t>:</w:t>
      </w:r>
      <w:r w:rsidR="003D3043">
        <w:t xml:space="preserve"> </w:t>
      </w:r>
      <w:hyperlink r:id="rId9" w:history="1">
        <w:r w:rsidR="00C02698">
          <w:rPr>
            <w:rStyle w:val="ad"/>
            <w:rFonts w:eastAsia="Times New Roman" w:cs="Arial"/>
            <w:sz w:val="21"/>
            <w:szCs w:val="21"/>
            <w:lang w:eastAsia="en-GB"/>
          </w:rPr>
          <w:t>http://unstats.un.org/sdgs/files/metadata-compilation/Metadata-Goal-17.pdf</w:t>
        </w:r>
      </w:hyperlink>
    </w:p>
    <w:p w:rsidR="00C02698" w:rsidRDefault="00C02698" w:rsidP="003D3043">
      <w:r w:rsidRPr="00C02698">
        <w:t xml:space="preserve">Агрегированные средние показатели по каждому партнеру по развитию будут указывать на то, в какой степени этот партнер по развитию использует </w:t>
      </w:r>
      <w:r w:rsidRPr="00191621">
        <w:t>CRF</w:t>
      </w:r>
      <w:r w:rsidRPr="00C02698">
        <w:t xml:space="preserve"> и инструменты планирования при разработке и мониторинге новых проектов в области развития в</w:t>
      </w:r>
      <w:r w:rsidR="00400E87">
        <w:t> </w:t>
      </w:r>
      <w:r w:rsidRPr="00C02698">
        <w:t xml:space="preserve">странах, в которых он работает. </w:t>
      </w:r>
      <w:r>
        <w:t xml:space="preserve">Формулы доступны по адресу:  </w:t>
      </w:r>
      <w:hyperlink r:id="rId10" w:history="1">
        <w:r>
          <w:rPr>
            <w:rStyle w:val="ad"/>
            <w:rFonts w:eastAsia="Times New Roman" w:cs="Arial"/>
            <w:sz w:val="21"/>
            <w:szCs w:val="21"/>
            <w:lang w:eastAsia="en-GB"/>
          </w:rPr>
          <w:t>http://unstats.un.org/sdgs/files/metadata-compilation/Metadata-Goal-17.pdf</w:t>
        </w:r>
      </w:hyperlink>
    </w:p>
    <w:p w:rsidR="00400E87" w:rsidRPr="001B149F" w:rsidRDefault="00C02698" w:rsidP="001B149F">
      <w:r w:rsidRPr="00C02698">
        <w:t>При агрегировании размер (бюджетная сумма) проекта/мероприятия не учитывается в</w:t>
      </w:r>
      <w:r w:rsidR="00400E87">
        <w:t> </w:t>
      </w:r>
      <w:r w:rsidRPr="00C02698">
        <w:t xml:space="preserve">качестве веса, чтобы придать одинаковый уровень важности степени использования страновых </w:t>
      </w:r>
      <w:r w:rsidR="008451C0">
        <w:t>схем</w:t>
      </w:r>
      <w:r w:rsidRPr="00C02698">
        <w:t xml:space="preserve"> результатов и инструментов планирования в проектах среднего и</w:t>
      </w:r>
      <w:r w:rsidR="00400E87">
        <w:t> </w:t>
      </w:r>
      <w:r w:rsidRPr="00C02698">
        <w:t>крупного масштаба, поскольку показатель пытается отразить общее поведение партнер</w:t>
      </w:r>
      <w:r>
        <w:t>ов</w:t>
      </w:r>
      <w:r w:rsidRPr="00C02698">
        <w:t xml:space="preserve"> по развитию в разработке новых мероприятий в данной стране. Взвешивание по</w:t>
      </w:r>
      <w:r w:rsidR="00400E87">
        <w:t> </w:t>
      </w:r>
      <w:r w:rsidRPr="00C02698">
        <w:t xml:space="preserve">размеру проекта в противном случае привело бы к </w:t>
      </w:r>
      <w:proofErr w:type="gramStart"/>
      <w:r w:rsidRPr="00C02698">
        <w:t>чрезмерной</w:t>
      </w:r>
      <w:proofErr w:type="gramEnd"/>
      <w:r w:rsidRPr="00C02698">
        <w:t xml:space="preserve"> представленности инфраструктурных проектов и недостаточной представленности мероприятий, направленных на воздействие на политику и институциональные механизмы. Тем не</w:t>
      </w:r>
      <w:r w:rsidR="00400E87">
        <w:t> </w:t>
      </w:r>
      <w:r w:rsidRPr="00C02698">
        <w:t>менее, данные о размере проекта имеются.</w:t>
      </w:r>
    </w:p>
    <w:p w:rsidR="0063143B" w:rsidRPr="0063143B" w:rsidRDefault="002E15F9" w:rsidP="00F947E9">
      <w:pPr>
        <w:pStyle w:val="MHeader2"/>
        <w:rPr>
          <w:b/>
          <w:color w:val="auto"/>
          <w:sz w:val="24"/>
          <w:lang w:val="ru-RU"/>
        </w:rPr>
      </w:pPr>
      <w:r w:rsidRPr="005501BD">
        <w:rPr>
          <w:b/>
          <w:color w:val="auto"/>
          <w:sz w:val="24"/>
          <w:lang w:val="ru-RU"/>
        </w:rPr>
        <w:t>4.</w:t>
      </w:r>
      <w:r w:rsidRPr="00F947E9">
        <w:rPr>
          <w:b/>
          <w:color w:val="auto"/>
          <w:sz w:val="24"/>
        </w:rPr>
        <w:t>d</w:t>
      </w:r>
      <w:r w:rsidRPr="005501BD">
        <w:rPr>
          <w:b/>
          <w:color w:val="auto"/>
          <w:sz w:val="24"/>
          <w:lang w:val="ru-RU"/>
        </w:rPr>
        <w:t xml:space="preserve">. </w:t>
      </w:r>
      <w:r w:rsidR="00694160" w:rsidRPr="00FE175E">
        <w:rPr>
          <w:b/>
          <w:color w:val="auto"/>
          <w:sz w:val="24"/>
          <w:lang w:val="ru-RU"/>
        </w:rPr>
        <w:t>Валидация</w:t>
      </w:r>
    </w:p>
    <w:p w:rsidR="00C02698" w:rsidRDefault="00C02698" w:rsidP="003D3043">
      <w:r w:rsidRPr="00C02698">
        <w:t>Национальный координатор несет основную ответственность за проверку данных на</w:t>
      </w:r>
      <w:r w:rsidR="00400E87">
        <w:t> </w:t>
      </w:r>
      <w:r w:rsidRPr="00C02698">
        <w:t>уровне проекта, представленных соответствующими государственными учреждениями, партнерами по развитию и заинтересованными сторонами.</w:t>
      </w:r>
    </w:p>
    <w:p w:rsidR="00C02698" w:rsidRDefault="00C02698" w:rsidP="003D3043">
      <w:r w:rsidRPr="00C02698">
        <w:t>На глобальном уровне ОЭСР и ПРООН рассматривают данные на уровне проектов, представленные странами-партнерами, в консультации и координации с национальными координаторами стран и с поставщиками услуг по сотрудничеству в целях развития.</w:t>
      </w:r>
    </w:p>
    <w:p w:rsidR="005501BD" w:rsidRDefault="003D3043" w:rsidP="003D3043">
      <w:r>
        <w:t xml:space="preserve">Подробную информацию о процессе проверки можно найти на странице </w:t>
      </w:r>
      <w:hyperlink r:id="rId11" w:history="1">
        <w:r w:rsidR="00C02698" w:rsidRPr="00E7387A">
          <w:rPr>
            <w:rStyle w:val="ad"/>
          </w:rPr>
          <w:t>https://www.effectivecooperation.org/content/2018-monitoring-guide-national-co-ordinators</w:t>
        </w:r>
      </w:hyperlink>
      <w:r w:rsidR="005501BD" w:rsidRPr="005501BD">
        <w:t>.</w:t>
      </w:r>
    </w:p>
    <w:p w:rsidR="002E15F9" w:rsidRDefault="008275D7" w:rsidP="005501BD">
      <w:pPr>
        <w:rPr>
          <w:rStyle w:val="MHeaderChar"/>
          <w:rFonts w:eastAsiaTheme="minorHAnsi"/>
          <w:b/>
          <w:color w:val="auto"/>
          <w:sz w:val="24"/>
          <w:lang w:val="ru-RU"/>
        </w:rPr>
      </w:pPr>
      <w:r w:rsidRPr="008275D7">
        <w:rPr>
          <w:rStyle w:val="MHeaderChar"/>
          <w:rFonts w:eastAsiaTheme="minorHAnsi"/>
          <w:b/>
          <w:color w:val="auto"/>
          <w:sz w:val="24"/>
          <w:lang w:val="ru-RU"/>
        </w:rPr>
        <w:t xml:space="preserve">4.е. </w:t>
      </w:r>
      <w:r w:rsidR="00694160" w:rsidRPr="008275D7">
        <w:rPr>
          <w:rStyle w:val="MHeaderChar"/>
          <w:rFonts w:eastAsiaTheme="minorHAnsi"/>
          <w:b/>
          <w:color w:val="auto"/>
          <w:sz w:val="24"/>
          <w:lang w:val="ru-RU"/>
        </w:rPr>
        <w:t>Корректировки</w:t>
      </w:r>
    </w:p>
    <w:p w:rsidR="00973CD3" w:rsidRPr="00973CD3" w:rsidRDefault="00973CD3" w:rsidP="00973CD3">
      <w:pPr>
        <w:rPr>
          <w:lang w:eastAsia="en-GB"/>
        </w:rPr>
      </w:pPr>
      <w:r>
        <w:rPr>
          <w:lang w:eastAsia="en-GB"/>
        </w:rPr>
        <w:t>Не применимо.</w:t>
      </w:r>
    </w:p>
    <w:p w:rsidR="002E15F9" w:rsidRPr="00A343D5" w:rsidRDefault="002E15F9" w:rsidP="00A343D5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540763">
        <w:rPr>
          <w:b/>
          <w:color w:val="auto"/>
          <w:sz w:val="24"/>
          <w:lang w:val="ru-RU"/>
        </w:rPr>
        <w:t>4.f.</w:t>
      </w:r>
      <w:r w:rsidRPr="00A343D5">
        <w:rPr>
          <w:color w:val="auto"/>
          <w:sz w:val="24"/>
          <w:szCs w:val="24"/>
          <w:lang w:val="ru-RU"/>
        </w:rPr>
        <w:t xml:space="preserve">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343D5">
        <w:rPr>
          <w:b/>
          <w:color w:val="auto"/>
          <w:sz w:val="24"/>
          <w:szCs w:val="24"/>
        </w:rPr>
        <w:t>i</w:t>
      </w:r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3D3043" w:rsidRPr="003D3043" w:rsidRDefault="003D3043" w:rsidP="003D3043">
      <w:pPr>
        <w:pStyle w:val="ac"/>
        <w:numPr>
          <w:ilvl w:val="0"/>
          <w:numId w:val="24"/>
        </w:numPr>
      </w:pPr>
      <w:r w:rsidRPr="003D3043">
        <w:t>На уровне страны</w:t>
      </w:r>
    </w:p>
    <w:p w:rsidR="00C02698" w:rsidRDefault="00C02698" w:rsidP="00C02698">
      <w:r w:rsidRPr="00C02698">
        <w:t>Отсутствующие значения не обрабатываются. Однако проводится процесс проверки с</w:t>
      </w:r>
      <w:r w:rsidR="00400E87">
        <w:t> </w:t>
      </w:r>
      <w:r w:rsidRPr="00C02698">
        <w:t>участием представителей правитель</w:t>
      </w:r>
      <w:proofErr w:type="gramStart"/>
      <w:r w:rsidRPr="00C02698">
        <w:t>ств стр</w:t>
      </w:r>
      <w:proofErr w:type="gramEnd"/>
      <w:r w:rsidRPr="00C02698">
        <w:t>ан и страновых отделений, а также штаб-квартир партнеров по развитию. Во время этого процесса проверки выделяются недостающие значения, и предпринимаются попытки заполнить эти пробелы.</w:t>
      </w:r>
    </w:p>
    <w:p w:rsidR="003D3043" w:rsidRPr="003D3043" w:rsidRDefault="003D3043" w:rsidP="00C02698">
      <w:pPr>
        <w:pStyle w:val="ac"/>
        <w:numPr>
          <w:ilvl w:val="0"/>
          <w:numId w:val="24"/>
        </w:numPr>
      </w:pPr>
      <w:r w:rsidRPr="003D3043">
        <w:t>На региональном и глобальном уровнях</w:t>
      </w:r>
    </w:p>
    <w:p w:rsidR="006E4DBF" w:rsidRPr="006E4DBF" w:rsidRDefault="00C02698" w:rsidP="006E4DBF">
      <w:r w:rsidRPr="00C02698">
        <w:lastRenderedPageBreak/>
        <w:t>Вменение пропущенных значений не производится. Предпринимаются попытки свести к</w:t>
      </w:r>
      <w:r w:rsidR="00400E87">
        <w:t> </w:t>
      </w:r>
      <w:r w:rsidRPr="00C02698">
        <w:t>минимуму пробелы в представленных данных в процессе проверки данных, включая триангуляцию с офисами штаб-квартиры партнеров по развитию.</w:t>
      </w:r>
    </w:p>
    <w:p w:rsidR="002E15F9" w:rsidRDefault="002E15F9" w:rsidP="00083DC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540763">
        <w:rPr>
          <w:b/>
          <w:color w:val="auto"/>
          <w:sz w:val="24"/>
          <w:lang w:val="ru-RU"/>
        </w:rPr>
        <w:t>4.g.</w:t>
      </w:r>
      <w:r w:rsidRPr="00A343D5">
        <w:rPr>
          <w:color w:val="auto"/>
          <w:sz w:val="24"/>
          <w:szCs w:val="24"/>
          <w:lang w:val="ru-RU"/>
        </w:rPr>
        <w:t xml:space="preserve">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A343D5">
        <w:rPr>
          <w:color w:val="auto"/>
          <w:sz w:val="24"/>
          <w:szCs w:val="24"/>
          <w:lang w:val="ru-RU"/>
        </w:rPr>
        <w:t xml:space="preserve"> </w:t>
      </w:r>
    </w:p>
    <w:p w:rsidR="00540763" w:rsidRDefault="00656288" w:rsidP="0092659A">
      <w:r w:rsidRPr="00656288">
        <w:t>Г</w:t>
      </w:r>
      <w:r w:rsidR="00540763" w:rsidRPr="00540763">
        <w:t xml:space="preserve">лобальные и региональные оценки строятся путем простого усреднения по всем странам/поставщикам услуг в глобальном масштабе и для конкретного региона. Было решено не </w:t>
      </w:r>
      <w:proofErr w:type="gramStart"/>
      <w:r w:rsidR="00540763" w:rsidRPr="00540763">
        <w:t>использовать</w:t>
      </w:r>
      <w:proofErr w:type="gramEnd"/>
      <w:r w:rsidR="00540763" w:rsidRPr="00540763">
        <w:t xml:space="preserve"> средневзвешенное значение, чтобы в равной степени учитывать малые и крупные проекты (хотя объемы и тип проектов отражаются в данных для более подробного составления таблиц).</w:t>
      </w:r>
    </w:p>
    <w:p w:rsidR="00F56853" w:rsidRDefault="002E15F9" w:rsidP="0092659A">
      <w:pPr>
        <w:rPr>
          <w:b/>
          <w:szCs w:val="24"/>
        </w:rPr>
      </w:pPr>
      <w:r w:rsidRPr="00540763">
        <w:rPr>
          <w:rFonts w:eastAsia="Times New Roman" w:cs="Times New Roman"/>
          <w:b/>
          <w:szCs w:val="36"/>
          <w:lang w:eastAsia="en-GB"/>
        </w:rPr>
        <w:t>4.h.</w:t>
      </w:r>
      <w:r w:rsidRPr="00A343D5">
        <w:rPr>
          <w:szCs w:val="24"/>
        </w:rPr>
        <w:t xml:space="preserve"> </w:t>
      </w:r>
      <w:r w:rsidR="00E27922" w:rsidRPr="00A343D5">
        <w:rPr>
          <w:b/>
          <w:szCs w:val="24"/>
        </w:rPr>
        <w:t>Доступные странам методы для сбора данных на национальном уровне</w:t>
      </w:r>
    </w:p>
    <w:p w:rsidR="00400E87" w:rsidRPr="006E4DBF" w:rsidRDefault="00540763" w:rsidP="006E4DBF">
      <w:r w:rsidRPr="00540763">
        <w:t>Национальным координаторам доступно руководство по мониторингу на английском, испанском и французском языках. Отдельное руководство на английском языке также доступно для поставщиков услуг по сотрудничеству в целях развития. Руководство регулярно обновляется.</w:t>
      </w:r>
      <w:r w:rsidR="002B547C" w:rsidRPr="002B547C">
        <w:t xml:space="preserve"> Руководство для национальных координаторов доступно по</w:t>
      </w:r>
      <w:r w:rsidR="00400E87">
        <w:t> </w:t>
      </w:r>
      <w:r w:rsidR="002B547C" w:rsidRPr="002B547C">
        <w:t xml:space="preserve">адресу </w:t>
      </w:r>
      <w:r w:rsidRPr="00D428FD">
        <w:t>https://www.effectivecooperation.org/content/2018-monitoring-guide-national-co-ordinators</w:t>
      </w:r>
      <w:r w:rsidR="002B547C" w:rsidRPr="002B547C">
        <w:t xml:space="preserve">. Руководство для провайдеров доступно по адресу </w:t>
      </w:r>
      <w:r>
        <w:t>h</w:t>
      </w:r>
      <w:r w:rsidRPr="00D428FD">
        <w:t>ttps://www.effectivecooperation.org/content/2018-monitoring-round-mini-guide-development-partners</w:t>
      </w:r>
      <w:r w:rsidR="002B547C" w:rsidRPr="002B547C">
        <w:t>.</w:t>
      </w:r>
    </w:p>
    <w:p w:rsidR="00151C00" w:rsidRDefault="002E15F9" w:rsidP="00EF24FF">
      <w:pPr>
        <w:pStyle w:val="MHeader"/>
        <w:rPr>
          <w:b/>
          <w:color w:val="auto"/>
          <w:sz w:val="24"/>
          <w:lang w:val="ru-RU"/>
        </w:rPr>
      </w:pPr>
      <w:r w:rsidRPr="007A45FD">
        <w:rPr>
          <w:b/>
          <w:color w:val="auto"/>
          <w:sz w:val="24"/>
          <w:lang w:val="ru-RU"/>
        </w:rPr>
        <w:t>4.</w:t>
      </w:r>
      <w:r w:rsidRPr="00EF24FF">
        <w:rPr>
          <w:b/>
          <w:color w:val="auto"/>
          <w:sz w:val="24"/>
        </w:rPr>
        <w:t>i</w:t>
      </w:r>
      <w:r w:rsidRPr="007A45FD">
        <w:rPr>
          <w:b/>
          <w:color w:val="auto"/>
          <w:sz w:val="24"/>
          <w:lang w:val="ru-RU"/>
        </w:rPr>
        <w:t xml:space="preserve">. </w:t>
      </w:r>
      <w:r w:rsidR="00E27922" w:rsidRPr="007A45FD">
        <w:rPr>
          <w:b/>
          <w:color w:val="auto"/>
          <w:sz w:val="24"/>
          <w:lang w:val="ru-RU"/>
        </w:rPr>
        <w:t>Управление качеством</w:t>
      </w:r>
      <w:r w:rsidR="000C224E" w:rsidRPr="007A45FD">
        <w:rPr>
          <w:b/>
          <w:color w:val="auto"/>
          <w:sz w:val="24"/>
          <w:lang w:val="ru-RU"/>
        </w:rPr>
        <w:t xml:space="preserve"> </w:t>
      </w:r>
    </w:p>
    <w:p w:rsidR="00540763" w:rsidRDefault="00540763" w:rsidP="00B8481C">
      <w:pPr>
        <w:pStyle w:val="MHeader2"/>
        <w:spacing w:line="276" w:lineRule="auto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540763">
        <w:rPr>
          <w:rFonts w:eastAsiaTheme="minorHAnsi" w:cstheme="minorBidi"/>
          <w:color w:val="auto"/>
          <w:sz w:val="24"/>
          <w:szCs w:val="22"/>
          <w:lang w:val="ru-RU" w:eastAsia="en-US"/>
        </w:rPr>
        <w:t>Национальный координатор несет основную ответственность за обеспечение качества и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540763">
        <w:rPr>
          <w:rFonts w:eastAsiaTheme="minorHAnsi" w:cstheme="minorBidi"/>
          <w:color w:val="auto"/>
          <w:sz w:val="24"/>
          <w:szCs w:val="22"/>
          <w:lang w:val="ru-RU" w:eastAsia="en-US"/>
        </w:rPr>
        <w:t>полноты данных по этому показателю. ОЭСР и ПРООН предоставляют справочную службу и методические материалы для поддержки национального координатора, управляющего качеством данных.</w:t>
      </w:r>
    </w:p>
    <w:p w:rsidR="00151C00" w:rsidRDefault="002E15F9" w:rsidP="00B8481C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40763">
        <w:rPr>
          <w:b/>
          <w:color w:val="auto"/>
          <w:sz w:val="24"/>
          <w:lang w:val="ru-RU"/>
        </w:rPr>
        <w:t>4.j</w:t>
      </w:r>
      <w:r w:rsidR="00E27922" w:rsidRPr="00540763">
        <w:rPr>
          <w:b/>
          <w:color w:val="auto"/>
          <w:sz w:val="24"/>
          <w:lang w:val="ru-RU"/>
        </w:rPr>
        <w:t>.</w:t>
      </w:r>
      <w:r w:rsidRPr="00A343D5">
        <w:rPr>
          <w:color w:val="auto"/>
          <w:sz w:val="24"/>
          <w:szCs w:val="24"/>
          <w:lang w:val="ru-RU"/>
        </w:rPr>
        <w:t xml:space="preserve"> </w:t>
      </w:r>
      <w:r w:rsidR="00E27922" w:rsidRPr="00A343D5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540763" w:rsidRDefault="00540763" w:rsidP="00423295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540763">
        <w:rPr>
          <w:rFonts w:eastAsiaTheme="minorHAnsi" w:cstheme="minorBidi"/>
          <w:color w:val="auto"/>
          <w:sz w:val="24"/>
          <w:szCs w:val="22"/>
          <w:lang w:val="ru-RU" w:eastAsia="en-US"/>
        </w:rPr>
        <w:t>Национальный координатор несет основную ответственность за обеспечение качества и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540763">
        <w:rPr>
          <w:rFonts w:eastAsiaTheme="minorHAnsi" w:cstheme="minorBidi"/>
          <w:color w:val="auto"/>
          <w:sz w:val="24"/>
          <w:szCs w:val="22"/>
          <w:lang w:val="ru-RU" w:eastAsia="en-US"/>
        </w:rPr>
        <w:t>полноты данных по этому показателю. ОЭСР и ПРООН поддерживают обеспечение качества путем совместного анализа данных с национальным координатором и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540763">
        <w:rPr>
          <w:rFonts w:eastAsiaTheme="minorHAnsi" w:cstheme="minorBidi"/>
          <w:color w:val="auto"/>
          <w:sz w:val="24"/>
          <w:szCs w:val="22"/>
          <w:lang w:val="ru-RU" w:eastAsia="en-US"/>
        </w:rPr>
        <w:t>привлечения партнеров по развитию на уровне штаб-квартиры, системы развития ООН и страновых отделений ПРООН по мере необходимости, а также перекрестной проверки с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540763">
        <w:rPr>
          <w:rFonts w:eastAsiaTheme="minorHAnsi" w:cstheme="minorBidi"/>
          <w:color w:val="auto"/>
          <w:sz w:val="24"/>
          <w:szCs w:val="22"/>
          <w:lang w:val="ru-RU" w:eastAsia="en-US"/>
        </w:rPr>
        <w:t>набором данных, представленных для предыдущих раундов мониторинга.</w:t>
      </w:r>
    </w:p>
    <w:p w:rsidR="00E06527" w:rsidRDefault="0075371E" w:rsidP="00423295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>4.</w:t>
      </w:r>
      <w:r w:rsidRPr="00333E4E">
        <w:rPr>
          <w:b/>
          <w:color w:val="auto"/>
          <w:sz w:val="24"/>
        </w:rPr>
        <w:t>k</w:t>
      </w:r>
      <w:r w:rsidRPr="002D493B">
        <w:rPr>
          <w:b/>
          <w:color w:val="auto"/>
          <w:sz w:val="24"/>
          <w:lang w:val="ru-RU"/>
        </w:rPr>
        <w:t>. Оценка качества</w:t>
      </w:r>
    </w:p>
    <w:p w:rsidR="001B149F" w:rsidRDefault="006261EE" w:rsidP="006E4DBF">
      <w:r w:rsidRPr="006261EE">
        <w:t>ОЭСР и ПРООН поддерживают оценку качества посредством совместного анализа данных с национальным координатором и путем привлечения партнеров по развитию на</w:t>
      </w:r>
      <w:r w:rsidR="00400E87">
        <w:t> </w:t>
      </w:r>
      <w:r w:rsidRPr="006261EE">
        <w:t>уровне штаб-квартиры, системы развития ООН и страновых офисов ПРООН по мере необходимости, а также перекрестной проверки данных, представленных для предыдущих раундов мониторинга.</w:t>
      </w:r>
    </w:p>
    <w:p w:rsidR="001B149F" w:rsidRPr="001B149F" w:rsidRDefault="001B149F" w:rsidP="001B149F">
      <w:pPr>
        <w:pStyle w:val="a0"/>
      </w:pPr>
    </w:p>
    <w:p w:rsidR="002E15F9" w:rsidRPr="00A343D5" w:rsidRDefault="002E15F9" w:rsidP="00CD238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</w:t>
      </w:r>
      <w:r w:rsidR="001B149F">
        <w:rPr>
          <w:b/>
          <w:color w:val="auto"/>
          <w:sz w:val="24"/>
          <w:szCs w:val="24"/>
          <w:lang w:val="ru-RU"/>
        </w:rPr>
        <w:t>ация</w:t>
      </w:r>
      <w:r w:rsidR="0075371E" w:rsidRPr="00EA60C7">
        <w:rPr>
          <w:b/>
          <w:color w:val="auto"/>
          <w:sz w:val="24"/>
          <w:szCs w:val="24"/>
          <w:lang w:val="ru-RU"/>
        </w:rPr>
        <w:t xml:space="preserve"> данных</w:t>
      </w:r>
    </w:p>
    <w:p w:rsidR="0083636B" w:rsidRPr="001B149F" w:rsidRDefault="0083636B" w:rsidP="0083636B">
      <w:pPr>
        <w:rPr>
          <w:b/>
        </w:rPr>
      </w:pPr>
      <w:r w:rsidRPr="001B149F">
        <w:rPr>
          <w:b/>
        </w:rPr>
        <w:t>Доступность данных:</w:t>
      </w:r>
    </w:p>
    <w:p w:rsidR="00EC40F9" w:rsidRDefault="00EC40F9" w:rsidP="008275D7">
      <w:r w:rsidRPr="00EC40F9">
        <w:t xml:space="preserve">Данные, собранные в ходе мониторинговых раундов 2016 и 2018 годов, позволили получить данные в общей сложности по 96 странам–получателям и более чем по 100 </w:t>
      </w:r>
      <w:r w:rsidRPr="00EC40F9">
        <w:lastRenderedPageBreak/>
        <w:t>партнерам по развитию, включая 29 стран, являющихся членами Комитета содействия развитию ОЭСР, и шесть основных многосторонних организаций с точки зрения финансирования развития (т.е. Всемирный банк, Международный валютный фонд, Программа развития Организации Объединенных Наций, Африканский банк развития, Азиатский банк развития и Межамериканский банк развития).</w:t>
      </w:r>
    </w:p>
    <w:p w:rsidR="00BA61D3" w:rsidRPr="001B149F" w:rsidRDefault="00BA61D3" w:rsidP="008275D7">
      <w:pPr>
        <w:rPr>
          <w:b/>
        </w:rPr>
      </w:pPr>
      <w:r w:rsidRPr="001B149F">
        <w:rPr>
          <w:b/>
        </w:rPr>
        <w:t>Временные ряды:</w:t>
      </w:r>
    </w:p>
    <w:p w:rsidR="00EC40F9" w:rsidRPr="00EC40F9" w:rsidRDefault="00EC40F9" w:rsidP="00EC40F9">
      <w:pPr>
        <w:pStyle w:val="a0"/>
      </w:pPr>
      <w:r w:rsidRPr="00EC40F9">
        <w:t xml:space="preserve">Данные по странам были собраны в 2016 и 2018 годах. Начиная с 2023 года данные будут предоставляться на постоянной основе, и всем странам рекомендуется представлять </w:t>
      </w:r>
      <w:proofErr w:type="gramStart"/>
      <w:r w:rsidRPr="00EC40F9">
        <w:t>данные</w:t>
      </w:r>
      <w:proofErr w:type="gramEnd"/>
      <w:r w:rsidRPr="00EC40F9">
        <w:t xml:space="preserve"> по крайней мере один раз в течение четырехлетнего цикла.</w:t>
      </w:r>
    </w:p>
    <w:p w:rsidR="00EC40F9" w:rsidRDefault="00EC40F9" w:rsidP="00BA61D3"/>
    <w:p w:rsidR="00BA61D3" w:rsidRPr="001B149F" w:rsidRDefault="00BA61D3" w:rsidP="00BA61D3">
      <w:pPr>
        <w:rPr>
          <w:b/>
        </w:rPr>
      </w:pPr>
      <w:r w:rsidRPr="001B149F">
        <w:rPr>
          <w:b/>
        </w:rPr>
        <w:t>Дезагрегация:</w:t>
      </w:r>
    </w:p>
    <w:p w:rsidR="00EC40F9" w:rsidRDefault="00EC40F9" w:rsidP="006261EE">
      <w:r w:rsidRPr="00EC40F9">
        <w:t xml:space="preserve">Учитывая подход </w:t>
      </w:r>
      <w:r w:rsidR="00400E87">
        <w:t>«</w:t>
      </w:r>
      <w:r w:rsidRPr="00EC40F9">
        <w:t>снизу вверх</w:t>
      </w:r>
      <w:r w:rsidR="00400E87">
        <w:t>»</w:t>
      </w:r>
      <w:r w:rsidRPr="00EC40F9">
        <w:t xml:space="preserve"> при составлении показателя, дезагрег</w:t>
      </w:r>
      <w:r w:rsidR="006E4DBF">
        <w:t xml:space="preserve">ация </w:t>
      </w:r>
      <w:proofErr w:type="gramStart"/>
      <w:r w:rsidRPr="00EC40F9">
        <w:t>возможн</w:t>
      </w:r>
      <w:r w:rsidR="006E4DBF">
        <w:t>а</w:t>
      </w:r>
      <w:proofErr w:type="gramEnd"/>
      <w:r w:rsidRPr="00EC40F9">
        <w:t xml:space="preserve"> на уровне стран и на уровне партнеров по развитию.</w:t>
      </w:r>
    </w:p>
    <w:p w:rsidR="00EC40F9" w:rsidRDefault="00EC40F9" w:rsidP="00AF3B1B">
      <w:pPr>
        <w:pStyle w:val="MHeader"/>
        <w:spacing w:after="100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EC40F9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В то время как сбор данных осуществляется на страновом уровне, при подходе 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«</w:t>
      </w:r>
      <w:r w:rsidRPr="00EC40F9">
        <w:rPr>
          <w:rFonts w:eastAsiaTheme="minorHAnsi" w:cstheme="minorBidi"/>
          <w:color w:val="auto"/>
          <w:sz w:val="24"/>
          <w:szCs w:val="22"/>
          <w:lang w:val="ru-RU" w:eastAsia="en-US"/>
        </w:rPr>
        <w:t>снизу вверх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»</w:t>
      </w:r>
      <w:r w:rsidRPr="00EC40F9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глобальные и региональные агрегированные данные могут использоваться для мониторинга согласованных на международном уровне обязательств, связанных с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EC40F9">
        <w:rPr>
          <w:rFonts w:eastAsiaTheme="minorHAnsi" w:cstheme="minorBidi"/>
          <w:color w:val="auto"/>
          <w:sz w:val="24"/>
          <w:szCs w:val="22"/>
          <w:lang w:val="ru-RU" w:eastAsia="en-US"/>
        </w:rPr>
        <w:t>усилением ответственности стран и лучшей увязкой партнеров с установленными на</w:t>
      </w:r>
      <w:r w:rsid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 </w:t>
      </w:r>
      <w:r w:rsidRPr="00EC40F9">
        <w:rPr>
          <w:rFonts w:eastAsiaTheme="minorHAnsi" w:cstheme="minorBidi"/>
          <w:color w:val="auto"/>
          <w:sz w:val="24"/>
          <w:szCs w:val="22"/>
          <w:lang w:val="ru-RU" w:eastAsia="en-US"/>
        </w:rPr>
        <w:t>национальном уровне целями в области развития.</w:t>
      </w:r>
    </w:p>
    <w:p w:rsidR="002E15F9" w:rsidRDefault="00845FE2" w:rsidP="00AF3B1B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EC40F9" w:rsidRDefault="00BA61D3" w:rsidP="00EC40F9">
      <w:r>
        <w:t>Источники расхождений:</w:t>
      </w:r>
      <w:r w:rsidR="00EC40F9">
        <w:t xml:space="preserve"> не применимо</w:t>
      </w:r>
    </w:p>
    <w:p w:rsidR="006E4DBF" w:rsidRDefault="006E4DBF" w:rsidP="00EC40F9">
      <w:pPr>
        <w:rPr>
          <w:rFonts w:eastAsia="Times New Roman" w:cs="Times New Roman"/>
          <w:b/>
          <w:szCs w:val="24"/>
          <w:lang w:eastAsia="en-GB"/>
        </w:rPr>
      </w:pPr>
    </w:p>
    <w:p w:rsidR="00333E4E" w:rsidRPr="006E4DBF" w:rsidRDefault="00845FE2" w:rsidP="00EC40F9">
      <w:r w:rsidRPr="006E4DBF">
        <w:rPr>
          <w:rFonts w:eastAsia="Times New Roman" w:cs="Times New Roman"/>
          <w:b/>
          <w:szCs w:val="24"/>
          <w:lang w:eastAsia="en-GB"/>
        </w:rPr>
        <w:t>7</w:t>
      </w:r>
      <w:r w:rsidR="00040034" w:rsidRPr="006E4DBF">
        <w:rPr>
          <w:rFonts w:eastAsia="Times New Roman" w:cs="Times New Roman"/>
          <w:b/>
          <w:szCs w:val="24"/>
          <w:lang w:eastAsia="en-GB"/>
        </w:rPr>
        <w:t xml:space="preserve">.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Ссылки</w:t>
      </w:r>
      <w:r w:rsidR="00040034" w:rsidRPr="006E4DBF">
        <w:rPr>
          <w:rFonts w:eastAsia="Times New Roman" w:cs="Times New Roman"/>
          <w:b/>
          <w:szCs w:val="24"/>
          <w:lang w:eastAsia="en-GB"/>
        </w:rPr>
        <w:t xml:space="preserve">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и</w:t>
      </w:r>
      <w:r w:rsidR="00040034" w:rsidRPr="006E4DBF">
        <w:rPr>
          <w:rFonts w:eastAsia="Times New Roman" w:cs="Times New Roman"/>
          <w:b/>
          <w:szCs w:val="24"/>
          <w:lang w:eastAsia="en-GB"/>
        </w:rPr>
        <w:t xml:space="preserve">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документы</w:t>
      </w:r>
    </w:p>
    <w:p w:rsidR="006E4DBF" w:rsidRDefault="006261EE" w:rsidP="00EC40F9">
      <w:pPr>
        <w:pStyle w:val="MText"/>
        <w:rPr>
          <w:color w:val="000000" w:themeColor="text1"/>
          <w:lang w:val="ru-RU"/>
        </w:rPr>
      </w:pPr>
      <w:r w:rsidRPr="006E4DBF">
        <w:rPr>
          <w:b/>
          <w:color w:val="000000" w:themeColor="text1"/>
        </w:rPr>
        <w:t>URL</w:t>
      </w:r>
      <w:r w:rsidRPr="006E4DBF">
        <w:rPr>
          <w:b/>
          <w:color w:val="000000" w:themeColor="text1"/>
          <w:lang w:val="ru-RU"/>
        </w:rPr>
        <w:t>:</w:t>
      </w:r>
    </w:p>
    <w:p w:rsidR="00EC40F9" w:rsidRPr="006E4DBF" w:rsidRDefault="003F2880" w:rsidP="00EC40F9">
      <w:pPr>
        <w:pStyle w:val="MText"/>
        <w:rPr>
          <w:lang w:val="ru-RU"/>
        </w:rPr>
      </w:pPr>
      <w:hyperlink r:id="rId12" w:history="1">
        <w:r w:rsidR="00EC40F9" w:rsidRPr="00430B60">
          <w:rPr>
            <w:rStyle w:val="ad"/>
          </w:rPr>
          <w:t>http</w:t>
        </w:r>
        <w:r w:rsidR="00EC40F9" w:rsidRPr="006E4DBF">
          <w:rPr>
            <w:rStyle w:val="ad"/>
            <w:lang w:val="ru-RU"/>
          </w:rPr>
          <w:t>://</w:t>
        </w:r>
        <w:proofErr w:type="spellStart"/>
        <w:r w:rsidR="00EC40F9" w:rsidRPr="00430B60">
          <w:rPr>
            <w:rStyle w:val="ad"/>
          </w:rPr>
          <w:t>effectivecooperation</w:t>
        </w:r>
        <w:proofErr w:type="spellEnd"/>
        <w:r w:rsidR="00EC40F9" w:rsidRPr="006E4DBF">
          <w:rPr>
            <w:rStyle w:val="ad"/>
            <w:lang w:val="ru-RU"/>
          </w:rPr>
          <w:t>.</w:t>
        </w:r>
        <w:r w:rsidR="00EC40F9" w:rsidRPr="00430B60">
          <w:rPr>
            <w:rStyle w:val="ad"/>
          </w:rPr>
          <w:t>org</w:t>
        </w:r>
        <w:r w:rsidR="00EC40F9" w:rsidRPr="006E4DBF">
          <w:rPr>
            <w:rStyle w:val="ad"/>
            <w:lang w:val="ru-RU"/>
          </w:rPr>
          <w:t>/</w:t>
        </w:r>
      </w:hyperlink>
    </w:p>
    <w:p w:rsidR="00400E87" w:rsidRPr="00400E87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  <w:r w:rsidRPr="00400E87">
        <w:rPr>
          <w:rFonts w:eastAsiaTheme="minorHAnsi" w:cstheme="minorBidi"/>
          <w:color w:val="auto"/>
          <w:sz w:val="24"/>
          <w:szCs w:val="22"/>
          <w:lang w:val="en-US" w:eastAsia="en-US"/>
        </w:rPr>
        <w:t>Internationally agreed methodology and guideline URL: https://www.effectivecooperation.org/system/files/2020-09/2018_Monitoring_Guide_National_Coordinator.pdf</w:t>
      </w:r>
    </w:p>
    <w:p w:rsidR="00400E87" w:rsidRPr="00400E87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</w:p>
    <w:p w:rsidR="00400E87" w:rsidRPr="008451C0" w:rsidRDefault="00400E87" w:rsidP="00400E87">
      <w:pPr>
        <w:pStyle w:val="MText"/>
        <w:rPr>
          <w:rFonts w:eastAsiaTheme="minorHAnsi" w:cstheme="minorBidi"/>
          <w:b/>
          <w:color w:val="auto"/>
          <w:sz w:val="24"/>
          <w:szCs w:val="22"/>
          <w:lang w:val="en-US" w:eastAsia="en-US"/>
        </w:rPr>
      </w:pPr>
      <w:r w:rsidRPr="006E4DBF">
        <w:rPr>
          <w:rFonts w:eastAsiaTheme="minorHAnsi" w:cstheme="minorBidi"/>
          <w:b/>
          <w:color w:val="auto"/>
          <w:sz w:val="24"/>
          <w:szCs w:val="22"/>
          <w:lang w:val="ru-RU" w:eastAsia="en-US"/>
        </w:rPr>
        <w:t>Ссылки</w:t>
      </w:r>
      <w:r w:rsidRPr="008451C0">
        <w:rPr>
          <w:rFonts w:eastAsiaTheme="minorHAnsi" w:cstheme="minorBidi"/>
          <w:b/>
          <w:color w:val="auto"/>
          <w:sz w:val="24"/>
          <w:szCs w:val="22"/>
          <w:lang w:val="en-US" w:eastAsia="en-US"/>
        </w:rPr>
        <w:t>:</w:t>
      </w:r>
    </w:p>
    <w:p w:rsidR="00400E87" w:rsidRPr="00686F53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  <w:proofErr w:type="spellStart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>Ocampo</w:t>
      </w:r>
      <w:proofErr w:type="spellEnd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>, Jose Antonio (2015). A Post-2015 Monitoring and Accountability Framework. UNDESA: CDP Background Paper No. 27. ST/ESA/2015/CDP/27.</w:t>
      </w:r>
    </w:p>
    <w:p w:rsidR="00400E87" w:rsidRPr="00686F53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</w:p>
    <w:p w:rsidR="00400E87" w:rsidRPr="00400E87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 xml:space="preserve">Espey, Jessica; K. Walecik and M. Kühner (2015). Follow-up and Review of the SDGs: Fulfilling our Commitments. Sustainable Development Solutions Network: A Global Initiative for the United Nations. </w:t>
      </w:r>
      <w:r w:rsidRPr="00400E87">
        <w:rPr>
          <w:rFonts w:eastAsiaTheme="minorHAnsi" w:cstheme="minorBidi"/>
          <w:color w:val="auto"/>
          <w:sz w:val="24"/>
          <w:szCs w:val="22"/>
          <w:lang w:val="ru-RU" w:eastAsia="en-US"/>
        </w:rPr>
        <w:t>New York: SDSN.</w:t>
      </w:r>
    </w:p>
    <w:p w:rsidR="00400E87" w:rsidRPr="00400E87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400E87" w:rsidRPr="00686F53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  <w:proofErr w:type="gramStart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>Coppard, D. and C. Culey (2015).</w:t>
      </w:r>
      <w:proofErr w:type="gramEnd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 xml:space="preserve"> The Global Partnership for Effective Development Co-operation’s Contribution to the 2030 Agenda for Sustainable Development. Plenary Session 1 Background Paper. Busan Global Partnership Forum, Korea.</w:t>
      </w:r>
    </w:p>
    <w:p w:rsidR="00400E87" w:rsidRPr="00686F53" w:rsidRDefault="00400E87" w:rsidP="00400E87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</w:p>
    <w:p w:rsidR="0049008B" w:rsidRPr="006E4DBF" w:rsidRDefault="00400E87" w:rsidP="006E4DBF">
      <w:pPr>
        <w:pStyle w:val="MText"/>
        <w:rPr>
          <w:rFonts w:eastAsiaTheme="minorHAnsi" w:cstheme="minorBidi"/>
          <w:color w:val="auto"/>
          <w:sz w:val="24"/>
          <w:szCs w:val="22"/>
          <w:lang w:val="en-US" w:eastAsia="en-US"/>
        </w:rPr>
      </w:pPr>
      <w:proofErr w:type="gramStart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lastRenderedPageBreak/>
        <w:t>GPEDC (2018).</w:t>
      </w:r>
      <w:proofErr w:type="gramEnd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 xml:space="preserve"> </w:t>
      </w:r>
      <w:proofErr w:type="gramStart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>2018 Monitoring Guide.</w:t>
      </w:r>
      <w:proofErr w:type="gramEnd"/>
      <w:r w:rsidRPr="00686F53">
        <w:rPr>
          <w:rFonts w:eastAsiaTheme="minorHAnsi" w:cstheme="minorBidi"/>
          <w:color w:val="auto"/>
          <w:sz w:val="24"/>
          <w:szCs w:val="22"/>
          <w:lang w:val="en-US" w:eastAsia="en-US"/>
        </w:rPr>
        <w:t xml:space="preserve"> /Paris/New York. Available at: https://www.effectivecooperation.org/system/files/2020-09/2018_Monitoring_Guide_National_Coordinator.pdf</w:t>
      </w:r>
    </w:p>
    <w:sectPr w:rsidR="0049008B" w:rsidRPr="006E4DBF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C9" w:rsidRDefault="001E36C9" w:rsidP="00F73DBC">
      <w:pPr>
        <w:spacing w:after="0" w:line="240" w:lineRule="auto"/>
      </w:pPr>
      <w:r>
        <w:separator/>
      </w:r>
    </w:p>
  </w:endnote>
  <w:endnote w:type="continuationSeparator" w:id="0">
    <w:p w:rsidR="001E36C9" w:rsidRDefault="001E36C9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53" w:rsidRDefault="005A230D">
    <w:pPr>
      <w:pStyle w:val="af1"/>
    </w:pPr>
    <w:r>
      <w:t>29.07.2024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C9" w:rsidRDefault="001E36C9" w:rsidP="00F73DBC">
      <w:pPr>
        <w:spacing w:after="0" w:line="240" w:lineRule="auto"/>
      </w:pPr>
      <w:r>
        <w:separator/>
      </w:r>
    </w:p>
  </w:footnote>
  <w:footnote w:type="continuationSeparator" w:id="0">
    <w:p w:rsidR="001E36C9" w:rsidRDefault="001E36C9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3B" w:rsidRDefault="0031253B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31253B" w:rsidRPr="009508D1" w:rsidRDefault="0031253B" w:rsidP="009508D1">
    <w:pPr>
      <w:pStyle w:val="af"/>
      <w:jc w:val="right"/>
    </w:pPr>
    <w:r>
      <w:t xml:space="preserve">Последнее обновление: </w:t>
    </w:r>
    <w:r w:rsidR="00D06635">
      <w:t>сентябрь</w:t>
    </w:r>
    <w:r>
      <w:t xml:space="preserve"> 202</w:t>
    </w:r>
    <w:r w:rsidR="00D06635">
      <w:t>4</w:t>
    </w:r>
  </w:p>
  <w:p w:rsidR="0031253B" w:rsidRDefault="003125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F9E"/>
    <w:multiLevelType w:val="hybridMultilevel"/>
    <w:tmpl w:val="5C1E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35FD"/>
    <w:multiLevelType w:val="hybridMultilevel"/>
    <w:tmpl w:val="F99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321A"/>
    <w:multiLevelType w:val="hybridMultilevel"/>
    <w:tmpl w:val="AEA8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E74D4"/>
    <w:multiLevelType w:val="hybridMultilevel"/>
    <w:tmpl w:val="C7C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5443"/>
    <w:multiLevelType w:val="hybridMultilevel"/>
    <w:tmpl w:val="6C9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65087"/>
    <w:multiLevelType w:val="hybridMultilevel"/>
    <w:tmpl w:val="ADB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E10E2"/>
    <w:multiLevelType w:val="hybridMultilevel"/>
    <w:tmpl w:val="539879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F14BB9"/>
    <w:multiLevelType w:val="hybridMultilevel"/>
    <w:tmpl w:val="91922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E4E5E"/>
    <w:multiLevelType w:val="hybridMultilevel"/>
    <w:tmpl w:val="6D049FA0"/>
    <w:lvl w:ilvl="0" w:tplc="63FC1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E24A1"/>
    <w:multiLevelType w:val="hybridMultilevel"/>
    <w:tmpl w:val="D77A1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6F36"/>
    <w:multiLevelType w:val="hybridMultilevel"/>
    <w:tmpl w:val="96C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D4A38"/>
    <w:multiLevelType w:val="hybridMultilevel"/>
    <w:tmpl w:val="C21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B1618"/>
    <w:multiLevelType w:val="hybridMultilevel"/>
    <w:tmpl w:val="7D7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B3DED"/>
    <w:multiLevelType w:val="hybridMultilevel"/>
    <w:tmpl w:val="D99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14544"/>
    <w:multiLevelType w:val="hybridMultilevel"/>
    <w:tmpl w:val="16F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A302C"/>
    <w:multiLevelType w:val="hybridMultilevel"/>
    <w:tmpl w:val="E516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D1E54"/>
    <w:multiLevelType w:val="hybridMultilevel"/>
    <w:tmpl w:val="1AD6DE36"/>
    <w:lvl w:ilvl="0" w:tplc="8062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3"/>
  </w:num>
  <w:num w:numId="5">
    <w:abstractNumId w:val="19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18"/>
  </w:num>
  <w:num w:numId="12">
    <w:abstractNumId w:val="8"/>
  </w:num>
  <w:num w:numId="13">
    <w:abstractNumId w:val="22"/>
  </w:num>
  <w:num w:numId="14">
    <w:abstractNumId w:val="0"/>
  </w:num>
  <w:num w:numId="15">
    <w:abstractNumId w:val="20"/>
  </w:num>
  <w:num w:numId="16">
    <w:abstractNumId w:val="24"/>
  </w:num>
  <w:num w:numId="17">
    <w:abstractNumId w:val="6"/>
  </w:num>
  <w:num w:numId="18">
    <w:abstractNumId w:val="9"/>
  </w:num>
  <w:num w:numId="19">
    <w:abstractNumId w:val="2"/>
  </w:num>
  <w:num w:numId="20">
    <w:abstractNumId w:val="1"/>
  </w:num>
  <w:num w:numId="21">
    <w:abstractNumId w:val="3"/>
  </w:num>
  <w:num w:numId="22">
    <w:abstractNumId w:val="7"/>
  </w:num>
  <w:num w:numId="23">
    <w:abstractNumId w:val="14"/>
  </w:num>
  <w:num w:numId="24">
    <w:abstractNumId w:val="4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6140"/>
    <w:rsid w:val="00017B67"/>
    <w:rsid w:val="00030BF5"/>
    <w:rsid w:val="00032707"/>
    <w:rsid w:val="00040034"/>
    <w:rsid w:val="0004196A"/>
    <w:rsid w:val="000451B2"/>
    <w:rsid w:val="00053D20"/>
    <w:rsid w:val="00062184"/>
    <w:rsid w:val="00066024"/>
    <w:rsid w:val="00067E3E"/>
    <w:rsid w:val="00080FD3"/>
    <w:rsid w:val="00083DC3"/>
    <w:rsid w:val="0008593B"/>
    <w:rsid w:val="00093790"/>
    <w:rsid w:val="000A210D"/>
    <w:rsid w:val="000A229E"/>
    <w:rsid w:val="000A47E6"/>
    <w:rsid w:val="000A6836"/>
    <w:rsid w:val="000B0E12"/>
    <w:rsid w:val="000C224E"/>
    <w:rsid w:val="000E666A"/>
    <w:rsid w:val="000E7DC3"/>
    <w:rsid w:val="00104284"/>
    <w:rsid w:val="00110FE3"/>
    <w:rsid w:val="00115063"/>
    <w:rsid w:val="0011581A"/>
    <w:rsid w:val="00116248"/>
    <w:rsid w:val="00116A4A"/>
    <w:rsid w:val="00120E95"/>
    <w:rsid w:val="00122608"/>
    <w:rsid w:val="001269B1"/>
    <w:rsid w:val="00133E22"/>
    <w:rsid w:val="001373EA"/>
    <w:rsid w:val="00146B30"/>
    <w:rsid w:val="00146FDC"/>
    <w:rsid w:val="001470A2"/>
    <w:rsid w:val="00147D02"/>
    <w:rsid w:val="001505DD"/>
    <w:rsid w:val="00151C00"/>
    <w:rsid w:val="0015685B"/>
    <w:rsid w:val="001577EB"/>
    <w:rsid w:val="00162B33"/>
    <w:rsid w:val="00165896"/>
    <w:rsid w:val="001661D2"/>
    <w:rsid w:val="0016743D"/>
    <w:rsid w:val="0017579E"/>
    <w:rsid w:val="00176A95"/>
    <w:rsid w:val="0018458D"/>
    <w:rsid w:val="00191621"/>
    <w:rsid w:val="001A0336"/>
    <w:rsid w:val="001A11E2"/>
    <w:rsid w:val="001A163A"/>
    <w:rsid w:val="001B0DDA"/>
    <w:rsid w:val="001B149F"/>
    <w:rsid w:val="001B4464"/>
    <w:rsid w:val="001B67A5"/>
    <w:rsid w:val="001C2F13"/>
    <w:rsid w:val="001C42E1"/>
    <w:rsid w:val="001D47B7"/>
    <w:rsid w:val="001E2FC9"/>
    <w:rsid w:val="001E36C9"/>
    <w:rsid w:val="001F2B04"/>
    <w:rsid w:val="0020339C"/>
    <w:rsid w:val="002165E6"/>
    <w:rsid w:val="00220DFC"/>
    <w:rsid w:val="00222E13"/>
    <w:rsid w:val="00235C73"/>
    <w:rsid w:val="00237F5C"/>
    <w:rsid w:val="002451DF"/>
    <w:rsid w:val="00253365"/>
    <w:rsid w:val="002540B1"/>
    <w:rsid w:val="00263E57"/>
    <w:rsid w:val="002712B1"/>
    <w:rsid w:val="00286E89"/>
    <w:rsid w:val="00290B8E"/>
    <w:rsid w:val="00291BB0"/>
    <w:rsid w:val="002A3B50"/>
    <w:rsid w:val="002A7CD7"/>
    <w:rsid w:val="002B2508"/>
    <w:rsid w:val="002B547C"/>
    <w:rsid w:val="002D493B"/>
    <w:rsid w:val="002D669D"/>
    <w:rsid w:val="002E07D4"/>
    <w:rsid w:val="002E122C"/>
    <w:rsid w:val="002E15F9"/>
    <w:rsid w:val="002E2DAB"/>
    <w:rsid w:val="002F63E5"/>
    <w:rsid w:val="00303D71"/>
    <w:rsid w:val="0031253B"/>
    <w:rsid w:val="003143BC"/>
    <w:rsid w:val="0033081A"/>
    <w:rsid w:val="00333E4E"/>
    <w:rsid w:val="003424DF"/>
    <w:rsid w:val="00342801"/>
    <w:rsid w:val="00347912"/>
    <w:rsid w:val="00350C2D"/>
    <w:rsid w:val="00351952"/>
    <w:rsid w:val="0035475F"/>
    <w:rsid w:val="003563A7"/>
    <w:rsid w:val="003569AD"/>
    <w:rsid w:val="0036001C"/>
    <w:rsid w:val="0036490E"/>
    <w:rsid w:val="00372DA0"/>
    <w:rsid w:val="003746BC"/>
    <w:rsid w:val="00376FE6"/>
    <w:rsid w:val="00390633"/>
    <w:rsid w:val="00393B97"/>
    <w:rsid w:val="00394222"/>
    <w:rsid w:val="00397764"/>
    <w:rsid w:val="003A389C"/>
    <w:rsid w:val="003B2CF2"/>
    <w:rsid w:val="003B340F"/>
    <w:rsid w:val="003C63E1"/>
    <w:rsid w:val="003C7ACA"/>
    <w:rsid w:val="003D3043"/>
    <w:rsid w:val="003E03CC"/>
    <w:rsid w:val="003E6C49"/>
    <w:rsid w:val="003F2880"/>
    <w:rsid w:val="00400B4D"/>
    <w:rsid w:val="00400E87"/>
    <w:rsid w:val="0040583C"/>
    <w:rsid w:val="004066A3"/>
    <w:rsid w:val="00407E4E"/>
    <w:rsid w:val="004143B4"/>
    <w:rsid w:val="00414CFB"/>
    <w:rsid w:val="00422DE3"/>
    <w:rsid w:val="00423295"/>
    <w:rsid w:val="0042734C"/>
    <w:rsid w:val="004333FB"/>
    <w:rsid w:val="00436030"/>
    <w:rsid w:val="00446A24"/>
    <w:rsid w:val="00453CF8"/>
    <w:rsid w:val="00456727"/>
    <w:rsid w:val="00461079"/>
    <w:rsid w:val="00465587"/>
    <w:rsid w:val="00480D4F"/>
    <w:rsid w:val="0049008B"/>
    <w:rsid w:val="00494AAC"/>
    <w:rsid w:val="004A20F3"/>
    <w:rsid w:val="004A7876"/>
    <w:rsid w:val="004B638C"/>
    <w:rsid w:val="004B6FA0"/>
    <w:rsid w:val="004B7BAF"/>
    <w:rsid w:val="004D283B"/>
    <w:rsid w:val="004D737D"/>
    <w:rsid w:val="004E087E"/>
    <w:rsid w:val="004F3B53"/>
    <w:rsid w:val="00503093"/>
    <w:rsid w:val="00504CD2"/>
    <w:rsid w:val="005057DC"/>
    <w:rsid w:val="005126D2"/>
    <w:rsid w:val="00514C74"/>
    <w:rsid w:val="005220B0"/>
    <w:rsid w:val="00540763"/>
    <w:rsid w:val="00543050"/>
    <w:rsid w:val="00547F84"/>
    <w:rsid w:val="005501BD"/>
    <w:rsid w:val="00562B74"/>
    <w:rsid w:val="0056571B"/>
    <w:rsid w:val="00577C9B"/>
    <w:rsid w:val="0059042F"/>
    <w:rsid w:val="005919D0"/>
    <w:rsid w:val="00594963"/>
    <w:rsid w:val="005974D1"/>
    <w:rsid w:val="005A0EA5"/>
    <w:rsid w:val="005A230D"/>
    <w:rsid w:val="005B3332"/>
    <w:rsid w:val="005C123D"/>
    <w:rsid w:val="005E2ABC"/>
    <w:rsid w:val="005E47BD"/>
    <w:rsid w:val="005F5D78"/>
    <w:rsid w:val="00607915"/>
    <w:rsid w:val="006120E1"/>
    <w:rsid w:val="00614A49"/>
    <w:rsid w:val="006156BE"/>
    <w:rsid w:val="00623607"/>
    <w:rsid w:val="006261EE"/>
    <w:rsid w:val="006308D5"/>
    <w:rsid w:val="006313E5"/>
    <w:rsid w:val="0063143B"/>
    <w:rsid w:val="00642663"/>
    <w:rsid w:val="00647C5F"/>
    <w:rsid w:val="00654380"/>
    <w:rsid w:val="00656288"/>
    <w:rsid w:val="006677B0"/>
    <w:rsid w:val="00670C21"/>
    <w:rsid w:val="00670E26"/>
    <w:rsid w:val="006763D1"/>
    <w:rsid w:val="00676DE5"/>
    <w:rsid w:val="00686F53"/>
    <w:rsid w:val="00691BC3"/>
    <w:rsid w:val="00693A10"/>
    <w:rsid w:val="00694160"/>
    <w:rsid w:val="00696D77"/>
    <w:rsid w:val="006B0337"/>
    <w:rsid w:val="006B260E"/>
    <w:rsid w:val="006B3939"/>
    <w:rsid w:val="006C014C"/>
    <w:rsid w:val="006C0984"/>
    <w:rsid w:val="006C10F0"/>
    <w:rsid w:val="006C3901"/>
    <w:rsid w:val="006D7049"/>
    <w:rsid w:val="006E4DBF"/>
    <w:rsid w:val="006E66FC"/>
    <w:rsid w:val="006F1198"/>
    <w:rsid w:val="006F4DA0"/>
    <w:rsid w:val="006F5EC4"/>
    <w:rsid w:val="00702333"/>
    <w:rsid w:val="00702C63"/>
    <w:rsid w:val="00704A8D"/>
    <w:rsid w:val="00705161"/>
    <w:rsid w:val="00707E86"/>
    <w:rsid w:val="00711277"/>
    <w:rsid w:val="0071174E"/>
    <w:rsid w:val="0071671D"/>
    <w:rsid w:val="007235FA"/>
    <w:rsid w:val="007321BB"/>
    <w:rsid w:val="00733327"/>
    <w:rsid w:val="00743E50"/>
    <w:rsid w:val="0075349F"/>
    <w:rsid w:val="0075371E"/>
    <w:rsid w:val="00761CAF"/>
    <w:rsid w:val="00766689"/>
    <w:rsid w:val="00780F08"/>
    <w:rsid w:val="0078233F"/>
    <w:rsid w:val="0078726E"/>
    <w:rsid w:val="0079089B"/>
    <w:rsid w:val="00791F1F"/>
    <w:rsid w:val="007A45FD"/>
    <w:rsid w:val="007B0CFD"/>
    <w:rsid w:val="007B0D42"/>
    <w:rsid w:val="007C27E0"/>
    <w:rsid w:val="007C6471"/>
    <w:rsid w:val="007C6FBC"/>
    <w:rsid w:val="007D1185"/>
    <w:rsid w:val="007D2576"/>
    <w:rsid w:val="007D49DE"/>
    <w:rsid w:val="007D4F45"/>
    <w:rsid w:val="007D5E35"/>
    <w:rsid w:val="007E6317"/>
    <w:rsid w:val="0080135E"/>
    <w:rsid w:val="00804196"/>
    <w:rsid w:val="0080606E"/>
    <w:rsid w:val="00807A22"/>
    <w:rsid w:val="0081063C"/>
    <w:rsid w:val="0082082A"/>
    <w:rsid w:val="008275D7"/>
    <w:rsid w:val="0083636B"/>
    <w:rsid w:val="008451C0"/>
    <w:rsid w:val="00845FE2"/>
    <w:rsid w:val="008501F4"/>
    <w:rsid w:val="0085248F"/>
    <w:rsid w:val="00853C09"/>
    <w:rsid w:val="0085403A"/>
    <w:rsid w:val="008616D9"/>
    <w:rsid w:val="00862CE4"/>
    <w:rsid w:val="00865164"/>
    <w:rsid w:val="00873DDE"/>
    <w:rsid w:val="008751C8"/>
    <w:rsid w:val="008803B5"/>
    <w:rsid w:val="0089043A"/>
    <w:rsid w:val="00896D91"/>
    <w:rsid w:val="008A3A19"/>
    <w:rsid w:val="008A7431"/>
    <w:rsid w:val="008B47E0"/>
    <w:rsid w:val="008C01EA"/>
    <w:rsid w:val="008C7B00"/>
    <w:rsid w:val="008E440E"/>
    <w:rsid w:val="008F5301"/>
    <w:rsid w:val="00900860"/>
    <w:rsid w:val="00924835"/>
    <w:rsid w:val="0092659A"/>
    <w:rsid w:val="009273B4"/>
    <w:rsid w:val="0093367B"/>
    <w:rsid w:val="00935B97"/>
    <w:rsid w:val="0094218F"/>
    <w:rsid w:val="00942EA9"/>
    <w:rsid w:val="0094718C"/>
    <w:rsid w:val="00947FA7"/>
    <w:rsid w:val="009508D1"/>
    <w:rsid w:val="009558D8"/>
    <w:rsid w:val="00957712"/>
    <w:rsid w:val="00957A62"/>
    <w:rsid w:val="00960F16"/>
    <w:rsid w:val="00964BE9"/>
    <w:rsid w:val="00973CD3"/>
    <w:rsid w:val="00980F79"/>
    <w:rsid w:val="00983CEB"/>
    <w:rsid w:val="009843DD"/>
    <w:rsid w:val="00986D0B"/>
    <w:rsid w:val="00990634"/>
    <w:rsid w:val="009917DD"/>
    <w:rsid w:val="00995788"/>
    <w:rsid w:val="009B3820"/>
    <w:rsid w:val="009B6CB3"/>
    <w:rsid w:val="009B78A2"/>
    <w:rsid w:val="009D078D"/>
    <w:rsid w:val="009D31AD"/>
    <w:rsid w:val="009E707C"/>
    <w:rsid w:val="009F0769"/>
    <w:rsid w:val="009F4A17"/>
    <w:rsid w:val="00A06695"/>
    <w:rsid w:val="00A1299E"/>
    <w:rsid w:val="00A248E2"/>
    <w:rsid w:val="00A3418B"/>
    <w:rsid w:val="00A343D5"/>
    <w:rsid w:val="00A41A07"/>
    <w:rsid w:val="00A41B68"/>
    <w:rsid w:val="00A423C4"/>
    <w:rsid w:val="00A44394"/>
    <w:rsid w:val="00A47315"/>
    <w:rsid w:val="00A47C12"/>
    <w:rsid w:val="00A55D22"/>
    <w:rsid w:val="00A56B34"/>
    <w:rsid w:val="00A618FC"/>
    <w:rsid w:val="00A7053F"/>
    <w:rsid w:val="00A71EC6"/>
    <w:rsid w:val="00A73CA7"/>
    <w:rsid w:val="00A82A69"/>
    <w:rsid w:val="00A8435E"/>
    <w:rsid w:val="00A8462E"/>
    <w:rsid w:val="00A91FDE"/>
    <w:rsid w:val="00AC112C"/>
    <w:rsid w:val="00AD0E6A"/>
    <w:rsid w:val="00AE510C"/>
    <w:rsid w:val="00AF3B1B"/>
    <w:rsid w:val="00B0378B"/>
    <w:rsid w:val="00B11113"/>
    <w:rsid w:val="00B179C9"/>
    <w:rsid w:val="00B17F13"/>
    <w:rsid w:val="00B27F6B"/>
    <w:rsid w:val="00B30158"/>
    <w:rsid w:val="00B51994"/>
    <w:rsid w:val="00B51BC3"/>
    <w:rsid w:val="00B62ECD"/>
    <w:rsid w:val="00B70499"/>
    <w:rsid w:val="00B72F77"/>
    <w:rsid w:val="00B8481C"/>
    <w:rsid w:val="00B90C3B"/>
    <w:rsid w:val="00B931ED"/>
    <w:rsid w:val="00BA05C5"/>
    <w:rsid w:val="00BA3599"/>
    <w:rsid w:val="00BA49DB"/>
    <w:rsid w:val="00BA61D3"/>
    <w:rsid w:val="00BA7C6B"/>
    <w:rsid w:val="00BC622F"/>
    <w:rsid w:val="00BC6451"/>
    <w:rsid w:val="00BC6BB7"/>
    <w:rsid w:val="00BD1D25"/>
    <w:rsid w:val="00BD28B9"/>
    <w:rsid w:val="00BD29EC"/>
    <w:rsid w:val="00BD2BB0"/>
    <w:rsid w:val="00BD4C64"/>
    <w:rsid w:val="00BE4D76"/>
    <w:rsid w:val="00BE618D"/>
    <w:rsid w:val="00BE70C8"/>
    <w:rsid w:val="00BF42F4"/>
    <w:rsid w:val="00C000B0"/>
    <w:rsid w:val="00C00737"/>
    <w:rsid w:val="00C013D8"/>
    <w:rsid w:val="00C02698"/>
    <w:rsid w:val="00C1236A"/>
    <w:rsid w:val="00C22DF6"/>
    <w:rsid w:val="00C25229"/>
    <w:rsid w:val="00C3154B"/>
    <w:rsid w:val="00C34D1D"/>
    <w:rsid w:val="00C536F5"/>
    <w:rsid w:val="00C605C7"/>
    <w:rsid w:val="00C638CE"/>
    <w:rsid w:val="00C645C4"/>
    <w:rsid w:val="00C66AB0"/>
    <w:rsid w:val="00C67BB7"/>
    <w:rsid w:val="00C74767"/>
    <w:rsid w:val="00C75FD4"/>
    <w:rsid w:val="00C772FD"/>
    <w:rsid w:val="00C83435"/>
    <w:rsid w:val="00C8596F"/>
    <w:rsid w:val="00C909FE"/>
    <w:rsid w:val="00C95868"/>
    <w:rsid w:val="00C9679B"/>
    <w:rsid w:val="00C96C28"/>
    <w:rsid w:val="00CA1CB1"/>
    <w:rsid w:val="00CB26D5"/>
    <w:rsid w:val="00CC1B0F"/>
    <w:rsid w:val="00CC57A0"/>
    <w:rsid w:val="00CD0810"/>
    <w:rsid w:val="00CD238E"/>
    <w:rsid w:val="00CE0762"/>
    <w:rsid w:val="00CF1BCB"/>
    <w:rsid w:val="00CF2434"/>
    <w:rsid w:val="00CF7625"/>
    <w:rsid w:val="00D006C1"/>
    <w:rsid w:val="00D00F28"/>
    <w:rsid w:val="00D05466"/>
    <w:rsid w:val="00D06635"/>
    <w:rsid w:val="00D1082C"/>
    <w:rsid w:val="00D15CDC"/>
    <w:rsid w:val="00D27196"/>
    <w:rsid w:val="00D273C6"/>
    <w:rsid w:val="00D31F63"/>
    <w:rsid w:val="00D40E85"/>
    <w:rsid w:val="00D50626"/>
    <w:rsid w:val="00D50F75"/>
    <w:rsid w:val="00D51C14"/>
    <w:rsid w:val="00D54600"/>
    <w:rsid w:val="00D604B3"/>
    <w:rsid w:val="00D62DD3"/>
    <w:rsid w:val="00D636C1"/>
    <w:rsid w:val="00D644B9"/>
    <w:rsid w:val="00D64852"/>
    <w:rsid w:val="00D65C2C"/>
    <w:rsid w:val="00D65EF2"/>
    <w:rsid w:val="00D70C4F"/>
    <w:rsid w:val="00D71A86"/>
    <w:rsid w:val="00D80BC2"/>
    <w:rsid w:val="00D91D5D"/>
    <w:rsid w:val="00DB2469"/>
    <w:rsid w:val="00DB3A18"/>
    <w:rsid w:val="00DB5508"/>
    <w:rsid w:val="00DB5552"/>
    <w:rsid w:val="00DB7209"/>
    <w:rsid w:val="00DD2FEE"/>
    <w:rsid w:val="00DD4453"/>
    <w:rsid w:val="00DD45F3"/>
    <w:rsid w:val="00DD481F"/>
    <w:rsid w:val="00DE0C01"/>
    <w:rsid w:val="00DE2202"/>
    <w:rsid w:val="00DE5549"/>
    <w:rsid w:val="00E06527"/>
    <w:rsid w:val="00E1711B"/>
    <w:rsid w:val="00E206E6"/>
    <w:rsid w:val="00E21B43"/>
    <w:rsid w:val="00E22DA5"/>
    <w:rsid w:val="00E27922"/>
    <w:rsid w:val="00E33CA8"/>
    <w:rsid w:val="00E36AFE"/>
    <w:rsid w:val="00E36CE2"/>
    <w:rsid w:val="00E377B5"/>
    <w:rsid w:val="00E55C4C"/>
    <w:rsid w:val="00E7596B"/>
    <w:rsid w:val="00E834AD"/>
    <w:rsid w:val="00E83733"/>
    <w:rsid w:val="00E90BD4"/>
    <w:rsid w:val="00E97471"/>
    <w:rsid w:val="00EA3016"/>
    <w:rsid w:val="00EA60C7"/>
    <w:rsid w:val="00EB1910"/>
    <w:rsid w:val="00EB389E"/>
    <w:rsid w:val="00EB4CBB"/>
    <w:rsid w:val="00EC3F04"/>
    <w:rsid w:val="00EC40F9"/>
    <w:rsid w:val="00EC6F78"/>
    <w:rsid w:val="00ED427B"/>
    <w:rsid w:val="00EE3914"/>
    <w:rsid w:val="00EE3BB4"/>
    <w:rsid w:val="00EE3C6C"/>
    <w:rsid w:val="00EF24FF"/>
    <w:rsid w:val="00EF3886"/>
    <w:rsid w:val="00EF47D7"/>
    <w:rsid w:val="00F03521"/>
    <w:rsid w:val="00F17015"/>
    <w:rsid w:val="00F30F68"/>
    <w:rsid w:val="00F31D49"/>
    <w:rsid w:val="00F44343"/>
    <w:rsid w:val="00F46260"/>
    <w:rsid w:val="00F532A2"/>
    <w:rsid w:val="00F56853"/>
    <w:rsid w:val="00F6371F"/>
    <w:rsid w:val="00F66E7B"/>
    <w:rsid w:val="00F73DBC"/>
    <w:rsid w:val="00F84FF1"/>
    <w:rsid w:val="00F93959"/>
    <w:rsid w:val="00F940D0"/>
    <w:rsid w:val="00F947E9"/>
    <w:rsid w:val="00FC39AA"/>
    <w:rsid w:val="00FD23B9"/>
    <w:rsid w:val="00FE175E"/>
    <w:rsid w:val="00FE35CF"/>
    <w:rsid w:val="00FE53A5"/>
    <w:rsid w:val="00FE734E"/>
    <w:rsid w:val="00FE79B4"/>
    <w:rsid w:val="00FE7F68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b"/>
    <w:uiPriority w:val="59"/>
    <w:rsid w:val="00F0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7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b"/>
    <w:uiPriority w:val="59"/>
    <w:rsid w:val="00EF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b"/>
    <w:uiPriority w:val="59"/>
    <w:rsid w:val="001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styleId="1-1">
    <w:name w:val="Medium Shading 1 Accent 1"/>
    <w:basedOn w:val="a2"/>
    <w:uiPriority w:val="63"/>
    <w:rsid w:val="00AF3B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636B"/>
  </w:style>
  <w:style w:type="character" w:customStyle="1" w:styleId="eop">
    <w:name w:val="eop"/>
    <w:basedOn w:val="a1"/>
    <w:rsid w:val="0083636B"/>
  </w:style>
  <w:style w:type="paragraph" w:styleId="afc">
    <w:name w:val="Bibliography"/>
    <w:basedOn w:val="a"/>
    <w:next w:val="a"/>
    <w:uiPriority w:val="37"/>
    <w:unhideWhenUsed/>
    <w:rsid w:val="0083636B"/>
    <w:pPr>
      <w:spacing w:after="200"/>
      <w:jc w:val="left"/>
    </w:pPr>
    <w:rPr>
      <w:rFonts w:asciiTheme="minorHAnsi" w:eastAsiaTheme="minorEastAsia" w:hAnsiTheme="minorHAnsi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b"/>
    <w:uiPriority w:val="59"/>
    <w:rsid w:val="00F0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7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b"/>
    <w:uiPriority w:val="59"/>
    <w:rsid w:val="00EF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b"/>
    <w:uiPriority w:val="59"/>
    <w:rsid w:val="001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styleId="1-1">
    <w:name w:val="Medium Shading 1 Accent 1"/>
    <w:basedOn w:val="a2"/>
    <w:uiPriority w:val="63"/>
    <w:rsid w:val="00AF3B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636B"/>
  </w:style>
  <w:style w:type="character" w:customStyle="1" w:styleId="eop">
    <w:name w:val="eop"/>
    <w:basedOn w:val="a1"/>
    <w:rsid w:val="0083636B"/>
  </w:style>
  <w:style w:type="paragraph" w:styleId="afc">
    <w:name w:val="Bibliography"/>
    <w:basedOn w:val="a"/>
    <w:next w:val="a"/>
    <w:uiPriority w:val="37"/>
    <w:unhideWhenUsed/>
    <w:rsid w:val="0083636B"/>
    <w:pPr>
      <w:spacing w:after="200"/>
      <w:jc w:val="left"/>
    </w:pPr>
    <w:rPr>
      <w:rFonts w:asciiTheme="minorHAnsi" w:eastAsiaTheme="minorEastAsia" w:hAnsiTheme="minorHAnsi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ffectivecooperation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ffectivecooperation.org/content/2018-monitoring-guide-national-co-ordinato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nstats.un.org/sdgs/files/metadata-compilation/Metadata-Goal-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stats.un.org/sdgs/files/metadata-compilation/Metadata-Goal-1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Kör11</b:Tag>
    <b:SourceType>JournalArticle</b:SourceType>
    <b:Guid>{2FBE688F-9A5F-4F08-AA0E-847160B4AB4C}</b:Guid>
    <b:Title>A definition of mountains and their bioclimatic belts for global comparisons of biodiversity data</b:Title>
    <b:Year>2011</b:Year>
    <b:JournalName>Alpine Botany</b:JournalName>
    <b:Pages>73-78</b:Pages>
    <b:Author>
      <b:Author>
        <b:NameList>
          <b:Person>
            <b:Last>Körner</b:Last>
            <b:First>C</b:First>
          </b:Person>
          <b:Person>
            <b:Last>Paulsen</b:Last>
            <b:First>J</b:First>
          </b:Person>
          <b:Person>
            <b:Last>Spehn</b:Last>
            <b:First>E</b:First>
          </b:Person>
        </b:NameList>
      </b:Author>
    </b:Author>
    <b:Volume>121</b:Volume>
    <b:RefOrder>1</b:RefOrder>
  </b:Source>
  <b:Source>
    <b:Tag>Kar17</b:Tag>
    <b:SourceType>JournalArticle</b:SourceType>
    <b:Guid>{7F94D59D-5175-4E7D-8F19-C328D6CF294C}</b:Guid>
    <b:Title>Modeling global Hammond landform regions from 250-m elevation data</b:Title>
    <b:JournalName>Transactions in GIS</b:JournalName>
    <b:Year>2017</b:Year>
    <b:Author>
      <b:Author>
        <b:NameList>
          <b:Person>
            <b:Last>Karagulle</b:Last>
            <b:First>D</b:First>
          </b:Person>
          <b:Person>
            <b:Last>Frye</b:Last>
            <b:First>C</b:First>
          </b:Person>
          <b:Person>
            <b:Last>Breyer</b:Last>
            <b:First>S</b:First>
          </b:Person>
          <b:Person>
            <b:Last>Aniello</b:Last>
            <b:First>P</b:First>
          </b:Person>
          <b:Person>
            <b:Last>Vaughan</b:Last>
            <b:First>R</b:First>
          </b:Person>
          <b:Person>
            <b:Last>Wright</b:Last>
            <b:First>D</b:First>
          </b:Person>
        </b:NameList>
      </b:Author>
    </b:Author>
    <b:DOI>10.1111/tgis.12265</b:DOI>
    <b:RefOrder>2</b:RefOrder>
  </b:Source>
  <b:Source>
    <b:Tag>Kap00</b:Tag>
    <b:SourceType>BookSection</b:SourceType>
    <b:Guid>{0E82D813-1613-4646-8646-F951054E0ADE}</b:Guid>
    <b:Title>Developing a map of the world’s mountain forests</b:Title>
    <b:BookTitle>Forests in Sustainable Mountain Development: A State-of-Knowledge Report for 2000</b:BookTitle>
    <b:Year>2000</b:Year>
    <b:Pages>4-9</b:Pages>
    <b:City>Wallingford</b:City>
    <b:Publisher>CAB International</b:Publisher>
    <b:Author>
      <b:Author>
        <b:NameList>
          <b:Person>
            <b:Last>Kapos</b:Last>
            <b:First>V</b:First>
          </b:Person>
          <b:Person>
            <b:Last>Rhind</b:Last>
            <b:First>J</b:First>
          </b:Person>
          <b:Person>
            <b:Last>Edwards</b:Last>
            <b:First>M</b:First>
          </b:Person>
          <b:Person>
            <b:Last>Prince</b:Last>
            <b:First>M</b:First>
          </b:Person>
          <b:Person>
            <b:Last>Ravillous</b:Last>
            <b:First>C</b:First>
          </b:Person>
        </b:NameList>
      </b:Author>
      <b:Editor>
        <b:NameList>
          <b:Person>
            <b:Last>Price </b:Last>
            <b:Middle>F</b:Middle>
            <b:First>M</b:First>
          </b:Person>
          <b:Person>
            <b:Last>Butt</b:Last>
            <b:First>N</b:First>
          </b:Person>
        </b:NameList>
      </b:Editor>
    </b:Author>
    <b:RefOrder>3</b:RefOrder>
  </b:Source>
  <b:Source>
    <b:Tag>San15</b:Tag>
    <b:SourceType>Report</b:SourceType>
    <b:Guid>{639A3C4F-6C15-4A31-9560-CC7D7EB0506C}</b:Guid>
    <b:Title>Land Cover CCI PRODUCT USER GUIDE VERSION 2.0</b:Title>
    <b:Year>2015</b:Year>
    <b:URL>http://maps.elie.ucl.ac.be/CCI/viewer/download/ESACCI-LC-Ph2-PUGv2_2.0.pdf</b:URL>
    <b:Publisher>European Spatial Agency</b:Publisher>
    <b:Author>
      <b:Author>
        <b:NameList>
          <b:Person>
            <b:Last>Santoro</b:Last>
            <b:First>M.</b:First>
          </b:Person>
          <b:Person>
            <b:Last>Kirches</b:Last>
            <b:First>G.</b:First>
          </b:Person>
          <b:Person>
            <b:Last>Wevers</b:Last>
            <b:First>J.</b:First>
          </b:Person>
          <b:Person>
            <b:Last>Boettcher</b:Last>
            <b:First>M.</b:First>
          </b:Person>
          <b:Person>
            <b:Last>Brockmann</b:Last>
            <b:First>C.</b:First>
          </b:Person>
          <b:Person>
            <b:Last>Lamarche</b:Last>
            <b:First>C.</b:First>
          </b:Person>
          <b:Person>
            <b:Last>Bontemps</b:Last>
            <b:First>S.</b:First>
          </b:Person>
          <b:Person>
            <b:Last>Moreau</b:Last>
            <b:First>I.</b:First>
          </b:Person>
          <b:Person>
            <b:Last>Defourny</b:Last>
            <b:First>P.</b:First>
          </b:Person>
        </b:NameList>
      </b:Author>
    </b:Author>
    <b:Institution>European Spatial Agency</b:Institution>
    <b:Pages>26-27</b:Pages>
    <b:ThesisType>USER GUIDE</b:ThesisType>
    <b:RefOrder>5</b:RefOrder>
  </b:Source>
  <b:Source>
    <b:Tag>Eur191</b:Tag>
    <b:SourceType>InternetSite</b:SourceType>
    <b:Guid>{13C10E66-0D3F-4FEC-BA42-2A47076ED030}</b:Guid>
    <b:Author>
      <b:Author>
        <b:Corporate>Eurostats</b:Corporate>
      </b:Author>
    </b:Author>
    <b:Title>LUCAS Grid</b:Title>
    <b:InternetSiteTitle>Eurostat Your Key to European statistcs</b:InternetSiteTitle>
    <b:Year>2019</b:Year>
    <b:URL>https://ec.europa.eu/eurostat/web/lucas/data/lucas-grid</b:URL>
    <b:RefOrder>4</b:RefOrder>
  </b:Source>
</b:Sources>
</file>

<file path=customXml/itemProps1.xml><?xml version="1.0" encoding="utf-8"?>
<ds:datastoreItem xmlns:ds="http://schemas.openxmlformats.org/officeDocument/2006/customXml" ds:itemID="{49510BCE-C836-4E1A-9A81-9765BBB2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30</cp:revision>
  <dcterms:created xsi:type="dcterms:W3CDTF">2021-08-20T12:59:00Z</dcterms:created>
  <dcterms:modified xsi:type="dcterms:W3CDTF">2024-09-06T11:43:00Z</dcterms:modified>
</cp:coreProperties>
</file>