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bookmarkStart w:id="0" w:name="_GoBack"/>
      <w:bookmarkEnd w:id="0"/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1.0)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4D2413">
        <w:rPr>
          <w:rFonts w:eastAsia="Arial Unicode MS" w:cs="Times New Roman"/>
          <w:szCs w:val="24"/>
          <w:bdr w:val="nil"/>
          <w:lang w:eastAsia="ru-RU"/>
        </w:rPr>
        <w:t>11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D72A9A" w:rsidRPr="00D72A9A">
        <w:t>Обеспечение открытости, безопасности, жизнестойкости и экологической устойчивости городов и населенных пунктов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E559F9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4D2413">
        <w:rPr>
          <w:rFonts w:cs="Times New Roman"/>
          <w:szCs w:val="24"/>
        </w:rPr>
        <w:t>1</w:t>
      </w:r>
      <w:r w:rsidR="00780F08" w:rsidRPr="00BD29EC">
        <w:rPr>
          <w:rFonts w:cs="Times New Roman"/>
          <w:szCs w:val="24"/>
        </w:rPr>
        <w:t>.</w:t>
      </w:r>
      <w:r w:rsidR="00D72A9A">
        <w:rPr>
          <w:rFonts w:cs="Times New Roman"/>
          <w:szCs w:val="24"/>
        </w:rPr>
        <w:t>1</w:t>
      </w:r>
      <w:r w:rsidR="00780F08" w:rsidRPr="00BD29EC">
        <w:rPr>
          <w:rFonts w:cs="Times New Roman"/>
          <w:szCs w:val="24"/>
        </w:rPr>
        <w:t xml:space="preserve">.  </w:t>
      </w:r>
      <w:r w:rsidR="00D72A9A" w:rsidRPr="00D72A9A">
        <w:rPr>
          <w:rFonts w:cs="Times New Roman"/>
          <w:szCs w:val="24"/>
        </w:rPr>
        <w:t xml:space="preserve">К 2030 году обеспечить для всех доступ к нормальным жилищным условиям, безопасному и приемлемому в ценовом отношении жилью и основным услугам </w:t>
      </w:r>
      <w:r w:rsidR="00BD02B4">
        <w:rPr>
          <w:rFonts w:cs="Times New Roman"/>
          <w:szCs w:val="24"/>
        </w:rPr>
        <w:br/>
      </w:r>
      <w:r w:rsidR="00D72A9A" w:rsidRPr="00D72A9A">
        <w:rPr>
          <w:rFonts w:cs="Times New Roman"/>
          <w:szCs w:val="24"/>
        </w:rPr>
        <w:t>и благоустроить трущобы.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741A39">
        <w:rPr>
          <w:rFonts w:cs="Times New Roman"/>
          <w:szCs w:val="24"/>
        </w:rPr>
        <w:t>1</w:t>
      </w:r>
      <w:r w:rsidR="004D2413">
        <w:rPr>
          <w:rFonts w:cs="Times New Roman"/>
          <w:szCs w:val="24"/>
        </w:rPr>
        <w:t>1</w:t>
      </w:r>
      <w:r w:rsidR="00780F08" w:rsidRPr="00BD29EC">
        <w:rPr>
          <w:rFonts w:cs="Times New Roman"/>
          <w:szCs w:val="24"/>
        </w:rPr>
        <w:t>.</w:t>
      </w:r>
      <w:r w:rsidR="004D2413">
        <w:rPr>
          <w:rFonts w:cs="Times New Roman"/>
          <w:szCs w:val="24"/>
        </w:rPr>
        <w:t>1</w:t>
      </w:r>
      <w:r w:rsidR="002064C4">
        <w:rPr>
          <w:rFonts w:cs="Times New Roman"/>
          <w:szCs w:val="24"/>
        </w:rPr>
        <w:t>.</w:t>
      </w:r>
      <w:r w:rsidR="00C95AB2">
        <w:rPr>
          <w:rFonts w:cs="Times New Roman"/>
          <w:szCs w:val="24"/>
        </w:rPr>
        <w:t>1.</w:t>
      </w:r>
      <w:r w:rsidR="00780F08" w:rsidRPr="00BD29EC">
        <w:rPr>
          <w:rFonts w:cs="Times New Roman"/>
          <w:szCs w:val="24"/>
        </w:rPr>
        <w:t xml:space="preserve"> </w:t>
      </w:r>
      <w:r w:rsidR="00D72A9A" w:rsidRPr="00D72A9A">
        <w:rPr>
          <w:rFonts w:cs="Times New Roman"/>
          <w:szCs w:val="24"/>
        </w:rPr>
        <w:t>Доля городского населения, проживающего в трущобах, неформальных поселениях или в неудовлетворительных жилищных условиях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3A325C" w:rsidRDefault="003A325C" w:rsidP="00004B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</w:p>
    <w:p w:rsidR="00004BE3" w:rsidRPr="00004BE3" w:rsidRDefault="00C8596F" w:rsidP="00004B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3A62B3" w:rsidRPr="00976B1D" w:rsidRDefault="003A62B3" w:rsidP="003A62B3">
      <w:r w:rsidRPr="00976B1D">
        <w:t xml:space="preserve">2021-12-20 </w:t>
      </w:r>
    </w:p>
    <w:p w:rsidR="00C8596F" w:rsidRPr="00976B1D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976B1D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976B1D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976B1D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976B1D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3A62B3" w:rsidRDefault="003A62B3" w:rsidP="00E30823">
      <w:pPr>
        <w:contextualSpacing/>
      </w:pPr>
      <w:r w:rsidRPr="003A62B3">
        <w:t xml:space="preserve">Прямая связь </w:t>
      </w:r>
    </w:p>
    <w:p w:rsidR="003A62B3" w:rsidRPr="003A62B3" w:rsidRDefault="003A62B3" w:rsidP="00E30823">
      <w:pPr>
        <w:contextualSpacing/>
      </w:pPr>
      <w:r w:rsidRPr="003A62B3">
        <w:t>1.1.1 Уровень бедности; 1.1.2 Уровень бедности по стране; 6.1.1 Доступ к улучшенной воде; 6.2.1 Доступ к улучшенным санитарным условиям; 7.1.1 Доступ к электричеству; 8.3.1 Неформальная занятость; 8.5.2 Уровень безработицы</w:t>
      </w:r>
    </w:p>
    <w:p w:rsidR="003A62B3" w:rsidRDefault="003A62B3" w:rsidP="003A62B3">
      <w:r w:rsidRPr="003A62B3">
        <w:t xml:space="preserve">8.6.1 Безработица среди молодежи; 10.2.1 Население с доходом ниже медианного уровня; 10.1.1 Темпы роста беднейших 40%; 11.2.1 Покрытие остановок общественного транспорта; 11.5.1 Население, затронутое опасными событиями; 11.6.1 Сбор твердых отходов; 11.7.1 Доступ к открытым общественным местам; 11.7.2 Безопасность женщин </w:t>
      </w:r>
      <w:r w:rsidR="00BD02B4">
        <w:br/>
      </w:r>
      <w:r w:rsidRPr="003A62B3">
        <w:t>в общественных местах; 16.1.1 Уровень убийств; 16.1.3 Население, подвергшееся насилию.</w:t>
      </w:r>
    </w:p>
    <w:p w:rsidR="00A91FDE" w:rsidRPr="003A62B3" w:rsidRDefault="00E33CA8" w:rsidP="003A62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3A62B3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3A62B3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Международные</w:t>
      </w:r>
      <w:r w:rsidRPr="003A62B3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организации</w:t>
      </w:r>
      <w:r w:rsidRPr="003A62B3">
        <w:rPr>
          <w:rFonts w:eastAsia="Arial Unicode MS" w:cs="Times New Roman"/>
          <w:b/>
          <w:szCs w:val="24"/>
          <w:bdr w:val="nil"/>
          <w:lang w:eastAsia="ru-RU"/>
        </w:rPr>
        <w:t xml:space="preserve">,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ответственные</w:t>
      </w:r>
      <w:r w:rsidRPr="003A62B3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за</w:t>
      </w:r>
      <w:r w:rsidRPr="003A62B3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глобальный</w:t>
      </w:r>
      <w:r w:rsidRPr="003A62B3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мониторинг</w:t>
      </w:r>
    </w:p>
    <w:p w:rsidR="003A62B3" w:rsidRDefault="003A62B3" w:rsidP="003A62B3">
      <w:pPr>
        <w:rPr>
          <w:bdr w:val="nil"/>
          <w:lang w:eastAsia="ru-RU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3A62B3">
        <w:rPr>
          <w:bdr w:val="nil"/>
          <w:lang w:eastAsia="ru-RU"/>
        </w:rPr>
        <w:t>Программа Организации Объединенных Наций по населенным пунктам (ООН-</w:t>
      </w:r>
      <w:proofErr w:type="spellStart"/>
      <w:r w:rsidRPr="003A62B3">
        <w:rPr>
          <w:bdr w:val="nil"/>
          <w:lang w:eastAsia="ru-RU"/>
        </w:rPr>
        <w:t>Хабитат</w:t>
      </w:r>
      <w:proofErr w:type="spellEnd"/>
      <w:r w:rsidRPr="003A62B3">
        <w:rPr>
          <w:bdr w:val="nil"/>
          <w:lang w:eastAsia="ru-RU"/>
        </w:rPr>
        <w:t>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3A62B3" w:rsidRDefault="003A62B3" w:rsidP="003A62B3">
      <w:pPr>
        <w:rPr>
          <w:bdr w:val="nil"/>
          <w:lang w:eastAsia="ru-RU"/>
        </w:rPr>
      </w:pPr>
      <w:r w:rsidRPr="003A62B3">
        <w:rPr>
          <w:bdr w:val="nil"/>
          <w:lang w:eastAsia="ru-RU"/>
        </w:rPr>
        <w:t>Программа Организации Объединенных Наций по населенным пунктам (ООН-</w:t>
      </w:r>
      <w:proofErr w:type="spellStart"/>
      <w:r w:rsidRPr="003A62B3">
        <w:rPr>
          <w:bdr w:val="nil"/>
          <w:lang w:eastAsia="ru-RU"/>
        </w:rPr>
        <w:t>Хабитат</w:t>
      </w:r>
      <w:proofErr w:type="spellEnd"/>
      <w:r w:rsidRPr="003A62B3">
        <w:rPr>
          <w:bdr w:val="nil"/>
          <w:lang w:eastAsia="ru-RU"/>
        </w:rPr>
        <w:t>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Default="00DA19D7" w:rsidP="00DA19D7">
      <w:pPr>
        <w:pStyle w:val="MTex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Определение:</w:t>
      </w:r>
    </w:p>
    <w:p w:rsidR="009D45AB" w:rsidRDefault="003A62B3" w:rsidP="001D735B">
      <w:r w:rsidRPr="003A62B3">
        <w:t xml:space="preserve">Характер жилищного сектора с его институтами, законами и правилами затрагивает </w:t>
      </w:r>
      <w:r w:rsidR="00BD02B4">
        <w:br/>
      </w:r>
      <w:r w:rsidRPr="003A62B3">
        <w:t xml:space="preserve">все аспекты экономики страны и взаимодействует практически со всеми секторами социального развития. Люди, живущие в </w:t>
      </w:r>
      <w:r w:rsidR="00BD02B4">
        <w:t>удовлетворительных жилищных условиях</w:t>
      </w:r>
      <w:r w:rsidR="00E30823">
        <w:t xml:space="preserve"> (прим. </w:t>
      </w:r>
      <w:r w:rsidR="00E30823">
        <w:lastRenderedPageBreak/>
        <w:t>пер. – дословно «адекватные дома»</w:t>
      </w:r>
      <w:r w:rsidR="00BD02B4">
        <w:t>)</w:t>
      </w:r>
      <w:r w:rsidRPr="003A62B3">
        <w:t xml:space="preserve">, имеют лучшее здоровье, более высокие шансы улучшить свой человеческий капитал и воспользоваться возможностями, доступными </w:t>
      </w:r>
      <w:r w:rsidR="00E30823">
        <w:br/>
      </w:r>
      <w:r w:rsidRPr="003A62B3">
        <w:t xml:space="preserve">в городских условиях. В то же время хорошо работающий жилищный сектор выступает </w:t>
      </w:r>
      <w:r w:rsidR="00E30823">
        <w:br/>
      </w:r>
      <w:r w:rsidRPr="003A62B3">
        <w:t xml:space="preserve">в качестве «мультипликатора развития», принося пользу дополнительным отраслям, способствуя экономическому развитию, созданию рабочих мест, предоставлению услуг </w:t>
      </w:r>
      <w:r w:rsidR="00E30823">
        <w:br/>
      </w:r>
      <w:r w:rsidRPr="003A62B3">
        <w:t xml:space="preserve">и общему сокращению бедности. </w:t>
      </w:r>
    </w:p>
    <w:p w:rsidR="003A62B3" w:rsidRDefault="003A62B3" w:rsidP="001D735B">
      <w:r w:rsidRPr="003A62B3">
        <w:t>В целом, на каждое рабочее место в жилищном строительстве обычно создается 1,5-2 дополнительных рабочих места в производстве строительных материалов и других отраслях производства. Вклад жил</w:t>
      </w:r>
      <w:r w:rsidR="00BB650A">
        <w:t>ищных условий</w:t>
      </w:r>
      <w:r w:rsidRPr="003A62B3">
        <w:t xml:space="preserve"> в процветание городов также очевиден. Инициатива ООН-</w:t>
      </w:r>
      <w:proofErr w:type="spellStart"/>
      <w:r w:rsidRPr="003A62B3">
        <w:t>Хабитат</w:t>
      </w:r>
      <w:proofErr w:type="spellEnd"/>
      <w:r w:rsidRPr="003A62B3">
        <w:t xml:space="preserve"> по обеспечению процветания городов показывает, </w:t>
      </w:r>
      <w:r w:rsidR="00BD02B4">
        <w:br/>
      </w:r>
      <w:r w:rsidRPr="003A62B3">
        <w:t xml:space="preserve">что </w:t>
      </w:r>
      <w:r w:rsidR="00272987">
        <w:t>неудовлетворительные</w:t>
      </w:r>
      <w:r w:rsidR="00BB650A">
        <w:t xml:space="preserve"> жилищные условия</w:t>
      </w:r>
      <w:r w:rsidRPr="003A62B3">
        <w:t xml:space="preserve"> оказыва</w:t>
      </w:r>
      <w:r w:rsidR="00BB650A">
        <w:t>ю</w:t>
      </w:r>
      <w:r w:rsidRPr="003A62B3">
        <w:t xml:space="preserve">т негативное влияние на </w:t>
      </w:r>
      <w:r w:rsidR="00BB650A">
        <w:t>ряд</w:t>
      </w:r>
      <w:r w:rsidRPr="003A62B3">
        <w:t xml:space="preserve"> других аспектов </w:t>
      </w:r>
      <w:r w:rsidR="009D45AB">
        <w:t xml:space="preserve">городского </w:t>
      </w:r>
      <w:r w:rsidRPr="003A62B3">
        <w:t xml:space="preserve">процветания. </w:t>
      </w:r>
      <w:r w:rsidR="009D45AB" w:rsidRPr="009D45AB">
        <w:t xml:space="preserve">Городские районы с жилищными условиями ниже среднего характеризуются более низким уровнем равенства и </w:t>
      </w:r>
      <w:r w:rsidR="009D45AB">
        <w:t>вовлеченности</w:t>
      </w:r>
      <w:r w:rsidR="009D45AB" w:rsidRPr="009D45AB">
        <w:t>, снижением городской безопасности и возможностей получения сре</w:t>
      </w:r>
      <w:r w:rsidR="009D45AB">
        <w:t xml:space="preserve">дств существования, </w:t>
      </w:r>
      <w:r w:rsidR="00BD02B4">
        <w:br/>
      </w:r>
      <w:r w:rsidR="009D45AB">
        <w:t xml:space="preserve">а также </w:t>
      </w:r>
      <w:r w:rsidR="00643E1E">
        <w:t xml:space="preserve">более низким </w:t>
      </w:r>
      <w:r w:rsidR="009D45AB">
        <w:t>предоставлением общественных пространств</w:t>
      </w:r>
      <w:r w:rsidR="009D45AB" w:rsidRPr="009D45AB">
        <w:t>.</w:t>
      </w:r>
    </w:p>
    <w:p w:rsidR="00643E1E" w:rsidRDefault="00643E1E" w:rsidP="001D735B">
      <w:r>
        <w:t>Неудовлетворительные</w:t>
      </w:r>
      <w:r w:rsidR="00FA79F8">
        <w:t xml:space="preserve"> жилищные условия остаю</w:t>
      </w:r>
      <w:r w:rsidR="00FA79F8" w:rsidRPr="00FA79F8">
        <w:t xml:space="preserve">тся глобальной проблемой устойчивого развития городов, но также </w:t>
      </w:r>
      <w:r w:rsidR="00FA79F8">
        <w:t xml:space="preserve">являются </w:t>
      </w:r>
      <w:r w:rsidR="00FA79F8" w:rsidRPr="00FA79F8">
        <w:t>и возможностью для развития. В то же время тематика «</w:t>
      </w:r>
      <w:r w:rsidR="00BD02B4">
        <w:t>удовлетворительных жилищных условий»</w:t>
      </w:r>
      <w:r w:rsidR="00FA79F8" w:rsidRPr="00FA79F8">
        <w:t xml:space="preserve"> и особенно термин «трущобы» зачастую сильно политизированы. Более подробные определения этих терм</w:t>
      </w:r>
      <w:r>
        <w:t>инов позволили бы и поддержали бы</w:t>
      </w:r>
      <w:r w:rsidR="00FA79F8" w:rsidRPr="00FA79F8">
        <w:t xml:space="preserve"> более активные и взвешенные дебаты, более активное участие всех основных заинтересованных сторон и разработку конкретных рекомендаций для применения в каждом контексте и месте. </w:t>
      </w:r>
    </w:p>
    <w:p w:rsidR="003A62B3" w:rsidRDefault="00FA79F8" w:rsidP="001D735B">
      <w:r w:rsidRPr="00FA79F8">
        <w:t xml:space="preserve">Существует ряд взаимосвязанных терминов, с которыми необходимо разобраться </w:t>
      </w:r>
      <w:r w:rsidR="00BD02B4">
        <w:br/>
      </w:r>
      <w:r w:rsidRPr="00FA79F8">
        <w:t>при рассмотрении показателя для за</w:t>
      </w:r>
      <w:r w:rsidR="005A0D15">
        <w:t xml:space="preserve">дачи 11.1 ЦУР. К ним относятся </w:t>
      </w:r>
      <w:r w:rsidR="00643E1E">
        <w:t>«</w:t>
      </w:r>
      <w:r w:rsidR="00272987">
        <w:t>неудовлетворительные</w:t>
      </w:r>
      <w:r w:rsidR="005A0D15">
        <w:t xml:space="preserve"> жилищные условия</w:t>
      </w:r>
      <w:r w:rsidR="00643E1E">
        <w:t xml:space="preserve">» </w:t>
      </w:r>
      <w:r w:rsidRPr="00FA79F8">
        <w:t>и доступность жилья, неформальные поселения и трущобы.</w:t>
      </w:r>
    </w:p>
    <w:p w:rsidR="003924F9" w:rsidRPr="00BD02B4" w:rsidRDefault="003924F9" w:rsidP="00643E1E">
      <w:pPr>
        <w:spacing w:after="0"/>
        <w:rPr>
          <w:i/>
        </w:rPr>
      </w:pPr>
      <w:r w:rsidRPr="00BD02B4">
        <w:rPr>
          <w:i/>
        </w:rPr>
        <w:t>Доступность жилья</w:t>
      </w:r>
    </w:p>
    <w:p w:rsidR="003924F9" w:rsidRDefault="003924F9" w:rsidP="003924F9">
      <w:r w:rsidRPr="003924F9">
        <w:t>Одной из самых сложных проблем урбанизации во всем мире является обеспечение людей жильем</w:t>
      </w:r>
      <w:r w:rsidR="00BD02B4">
        <w:t xml:space="preserve"> с удовлетворительными жилищными условиями</w:t>
      </w:r>
      <w:r w:rsidRPr="003924F9">
        <w:t>, которое они могут себе позволить. Результаты Глобальной выборки городов ООН</w:t>
      </w:r>
      <w:r>
        <w:rPr>
          <w:rStyle w:val="a6"/>
        </w:rPr>
        <w:footnoteReference w:id="1"/>
      </w:r>
      <w:r w:rsidRPr="003924F9">
        <w:t xml:space="preserve"> показывают, что люди во всех типах городских центров не могут позволить себе владение собственным жильем </w:t>
      </w:r>
      <w:r w:rsidR="00E30823">
        <w:br/>
      </w:r>
      <w:r w:rsidRPr="003924F9">
        <w:t xml:space="preserve">или даже стоимость аренды жилья. Например, в странах с низким уровнем доходов домохозяйствам необходимо сберегать эквивалент почти восьмикратного годового дохода домохозяйства, чтобы иметь возможность позволить себе стоимость стандартного дома </w:t>
      </w:r>
      <w:r w:rsidR="00E30823">
        <w:br/>
      </w:r>
      <w:r w:rsidRPr="003924F9">
        <w:t>в своем городе. Если они арендуют жилье, домохозяйства должны выделять более 25% своего ежемесячного дохода на арендную плату</w:t>
      </w:r>
      <w:r>
        <w:rPr>
          <w:rStyle w:val="a6"/>
        </w:rPr>
        <w:footnoteReference w:id="2"/>
      </w:r>
      <w:r w:rsidRPr="003924F9">
        <w:t xml:space="preserve">. </w:t>
      </w:r>
    </w:p>
    <w:p w:rsidR="003924F9" w:rsidRDefault="003924F9" w:rsidP="003924F9">
      <w:r w:rsidRPr="003924F9">
        <w:t xml:space="preserve">Проблема доступности затрагивает как развивающиеся, так и развитые страны. </w:t>
      </w:r>
      <w:r w:rsidR="00BD02B4">
        <w:br/>
      </w:r>
      <w:r w:rsidRPr="003924F9">
        <w:t xml:space="preserve">В Латинской Америке высокое отношение цены жилья к доходу и недоступность </w:t>
      </w:r>
      <w:r w:rsidRPr="003924F9">
        <w:lastRenderedPageBreak/>
        <w:t>жилищного финансирования вынуждают домохозяйства прибегать к неформальным решениям без преимуществ</w:t>
      </w:r>
      <w:r w:rsidR="00E30823">
        <w:t>а</w:t>
      </w:r>
      <w:r w:rsidRPr="003924F9">
        <w:t xml:space="preserve"> планирования и правил техники безопасности. Во многих частях Африки к югу от Сахары менее 10 процентов домохозяйств могут позволить себе ипотечный кредит даже на самый дешевый неда</w:t>
      </w:r>
      <w:r w:rsidR="00BD02B4">
        <w:t xml:space="preserve">вно построенный дом. </w:t>
      </w:r>
      <w:proofErr w:type="gramStart"/>
      <w:r w:rsidR="00BD02B4">
        <w:t xml:space="preserve">Фактически, </w:t>
      </w:r>
      <w:r w:rsidRPr="003924F9">
        <w:t xml:space="preserve">африканские домохозяйства сталкиваются с расходами на жилье на 55% выше </w:t>
      </w:r>
      <w:r w:rsidR="00E30823">
        <w:br/>
      </w:r>
      <w:r w:rsidRPr="003924F9">
        <w:t>по отношению к их ВВП на душу населения, чем в других регионах</w:t>
      </w:r>
      <w:r>
        <w:rPr>
          <w:rStyle w:val="a6"/>
        </w:rPr>
        <w:footnoteReference w:id="3"/>
      </w:r>
      <w:r w:rsidRPr="003924F9">
        <w:t>. Во многих европейских странах семьи, особенно молодежь, несут серьезное бремя расходов и имеют гораздо меньше средств на другие предметы первой необходимости, такие как еда, здоровье, транспорт и одежда.</w:t>
      </w:r>
      <w:proofErr w:type="gramEnd"/>
      <w:r w:rsidRPr="003924F9">
        <w:t xml:space="preserve"> В экстремальных обстоятельствах домохозяйства вынуждены покидать свое жилье из-за неспособности платить. Нынешний миграционный кризис ухудшил жилищные условия в регионе, и эта тенденция, похоже, сохранится </w:t>
      </w:r>
      <w:r w:rsidR="00E30823">
        <w:br/>
      </w:r>
      <w:r w:rsidRPr="003924F9">
        <w:t>в ближайшие несколько лет.</w:t>
      </w:r>
    </w:p>
    <w:p w:rsidR="003924F9" w:rsidRPr="00BD02B4" w:rsidRDefault="00272987" w:rsidP="00BD02B4">
      <w:pPr>
        <w:spacing w:after="0"/>
        <w:rPr>
          <w:i/>
        </w:rPr>
      </w:pPr>
      <w:r w:rsidRPr="00BD02B4">
        <w:rPr>
          <w:i/>
        </w:rPr>
        <w:t>Неудовлетворительные</w:t>
      </w:r>
      <w:r w:rsidR="003924F9" w:rsidRPr="00BD02B4">
        <w:rPr>
          <w:i/>
        </w:rPr>
        <w:t xml:space="preserve"> жилищные условия, неформальные поселения и трущобы</w:t>
      </w:r>
    </w:p>
    <w:p w:rsidR="003924F9" w:rsidRDefault="003924F9" w:rsidP="003924F9">
      <w:r w:rsidRPr="003924F9">
        <w:t xml:space="preserve">На сегодняшний день примерно 1,6 миллиарда человек во всем мире живут </w:t>
      </w:r>
      <w:r w:rsidR="00E30823">
        <w:br/>
      </w:r>
      <w:r w:rsidRPr="003924F9">
        <w:t xml:space="preserve">в </w:t>
      </w:r>
      <w:r w:rsidR="00272987">
        <w:t>неудовлетворительных</w:t>
      </w:r>
      <w:r>
        <w:t xml:space="preserve"> жилищных условиях</w:t>
      </w:r>
      <w:r w:rsidRPr="003924F9">
        <w:t xml:space="preserve">, из которых 1 миллиард проживает </w:t>
      </w:r>
      <w:r w:rsidR="00E30823">
        <w:br/>
      </w:r>
      <w:r w:rsidRPr="003924F9">
        <w:t>в трущобах и неформальных поселениях</w:t>
      </w:r>
      <w:r w:rsidR="00253D1F">
        <w:rPr>
          <w:rStyle w:val="a6"/>
        </w:rPr>
        <w:footnoteReference w:id="4"/>
      </w:r>
      <w:r w:rsidRPr="003924F9">
        <w:t xml:space="preserve">. Это означает, что примерно каждый четвертый горожанин живет в условиях, которые вредят его здоровью, безопасности, благополучию и возможностям. Отсутствие доступа к базовым услугам является общим препятствием </w:t>
      </w:r>
      <w:r w:rsidR="00E30823">
        <w:br/>
      </w:r>
      <w:r w:rsidRPr="003924F9">
        <w:t xml:space="preserve">в неформальных поселениях и трущобах: во всем мире 2,4 миллиарда человек живут </w:t>
      </w:r>
      <w:r w:rsidR="00E30823">
        <w:br/>
      </w:r>
      <w:r w:rsidRPr="003924F9">
        <w:t xml:space="preserve">без улучшенных санитарных условий, а 2 миллиарда страдают от нехватки воды. Несмотря на сокращение с 39 до 30 процентов городского населения, проживающего </w:t>
      </w:r>
      <w:r w:rsidR="00E30823">
        <w:br/>
      </w:r>
      <w:r w:rsidRPr="003924F9">
        <w:t xml:space="preserve">в трущобах в период с 2000 по 2014 год, абсолютные цифры продолжают расти: </w:t>
      </w:r>
      <w:r w:rsidR="00E30823">
        <w:br/>
      </w:r>
      <w:r w:rsidRPr="003924F9">
        <w:t xml:space="preserve">в настоящее время, по оценкам, четверть городского населения мира живет в трущобах, т.е. до 792 миллионов </w:t>
      </w:r>
      <w:r w:rsidR="00253D1F">
        <w:t>по состоянию на 2000 год</w:t>
      </w:r>
      <w:r w:rsidRPr="003924F9">
        <w:t xml:space="preserve">. Домохозяйства, возглавляемые молодыми женщинами и детьми, зачастую наиболее уязвимы из-за </w:t>
      </w:r>
      <w:r w:rsidR="00272987">
        <w:t>неудовлетворительных</w:t>
      </w:r>
      <w:r w:rsidRPr="003924F9">
        <w:t xml:space="preserve"> жилищных условий. </w:t>
      </w:r>
      <w:r w:rsidRPr="00253D1F">
        <w:t xml:space="preserve">Бездомность также становится все более серьезной проблемой, </w:t>
      </w:r>
      <w:r w:rsidR="00E30823">
        <w:br/>
      </w:r>
      <w:r w:rsidRPr="00253D1F">
        <w:t>и, по оценкам, более 100 миллионов человек во всем мире являются бездомными</w:t>
      </w:r>
      <w:r w:rsidR="00253D1F">
        <w:rPr>
          <w:rStyle w:val="a6"/>
          <w:lang w:val="en-US"/>
        </w:rPr>
        <w:footnoteReference w:id="5"/>
      </w:r>
      <w:r w:rsidRPr="00253D1F">
        <w:t>.</w:t>
      </w:r>
    </w:p>
    <w:p w:rsidR="00253D1F" w:rsidRPr="00253D1F" w:rsidRDefault="00253D1F" w:rsidP="00253D1F">
      <w:r w:rsidRPr="00253D1F">
        <w:t>Трущобы представляют собой одну из самых крайних форм лишения и отчуждения</w:t>
      </w:r>
      <w:r w:rsidR="00E30823">
        <w:t>,</w:t>
      </w:r>
      <w:r w:rsidRPr="00253D1F">
        <w:t xml:space="preserve"> </w:t>
      </w:r>
      <w:r w:rsidR="00E30823">
        <w:br/>
      </w:r>
      <w:r w:rsidRPr="00253D1F">
        <w:t xml:space="preserve">и остаются важнейшим фактором сохранения нищеты и отчуждения в мире, </w:t>
      </w:r>
      <w:r w:rsidR="00E30823">
        <w:br/>
        <w:t xml:space="preserve">что </w:t>
      </w:r>
      <w:r w:rsidRPr="00253D1F">
        <w:t xml:space="preserve">является </w:t>
      </w:r>
      <w:r>
        <w:t>препятствием</w:t>
      </w:r>
      <w:r w:rsidRPr="00253D1F">
        <w:t xml:space="preserve"> для устойчивой и </w:t>
      </w:r>
      <w:r w:rsidR="00E30823">
        <w:t>вовлеченной</w:t>
      </w:r>
      <w:r w:rsidRPr="00253D1F">
        <w:t xml:space="preserve"> урбанизации. Исследования показывают, что другие формы городской бедности в форме неформальных поселений </w:t>
      </w:r>
      <w:r w:rsidR="00E30823">
        <w:br/>
      </w:r>
      <w:r w:rsidRPr="00253D1F">
        <w:t xml:space="preserve">все чаще становятся общемировым явлением, встречающимся также в развитых странах. </w:t>
      </w:r>
    </w:p>
    <w:p w:rsidR="003924F9" w:rsidRDefault="00253D1F" w:rsidP="00253D1F">
      <w:r w:rsidRPr="00253D1F">
        <w:t>В то же время не все люди</w:t>
      </w:r>
      <w:r>
        <w:t>, существующих</w:t>
      </w:r>
      <w:r w:rsidRPr="00253D1F">
        <w:t xml:space="preserve"> в </w:t>
      </w:r>
      <w:r w:rsidR="00272987">
        <w:t>неудовлетворительных</w:t>
      </w:r>
      <w:r>
        <w:t xml:space="preserve"> жилищных условиях,</w:t>
      </w:r>
      <w:r w:rsidRPr="00253D1F">
        <w:t xml:space="preserve"> живут в трущобах, но, тем не менее, </w:t>
      </w:r>
      <w:r w:rsidR="006733C4">
        <w:t xml:space="preserve">они </w:t>
      </w:r>
      <w:r w:rsidRPr="00253D1F">
        <w:t>живут в очень плохих условиях</w:t>
      </w:r>
      <w:r w:rsidR="006733C4">
        <w:t xml:space="preserve"> в среде города</w:t>
      </w:r>
      <w:r w:rsidRPr="00253D1F">
        <w:t xml:space="preserve">, </w:t>
      </w:r>
      <w:r w:rsidR="00E30823">
        <w:br/>
      </w:r>
      <w:r w:rsidRPr="00253D1F">
        <w:t>в котор</w:t>
      </w:r>
      <w:r w:rsidR="006733C4">
        <w:t>ом</w:t>
      </w:r>
      <w:r w:rsidRPr="00253D1F">
        <w:t xml:space="preserve"> они находятся. Характер этих неудовлетворительных условий жизни должен быть зафиксирован и лучше представлен в глобальных данных, данных по странам </w:t>
      </w:r>
      <w:r w:rsidR="00E30823">
        <w:br/>
      </w:r>
      <w:r w:rsidRPr="00253D1F">
        <w:t xml:space="preserve">и городам, чтобы обеспечить документирование более четкой картины </w:t>
      </w:r>
      <w:r w:rsidR="001540E3">
        <w:t>неудовлетворительных жилищных условий</w:t>
      </w:r>
      <w:r w:rsidRPr="00253D1F">
        <w:t>. В свете этого предлагаются следующие определения.</w:t>
      </w:r>
    </w:p>
    <w:p w:rsidR="00E37282" w:rsidRPr="00BD02B4" w:rsidRDefault="00BD02B4" w:rsidP="006733C4">
      <w:pPr>
        <w:rPr>
          <w:b/>
        </w:rPr>
      </w:pPr>
      <w:r>
        <w:rPr>
          <w:b/>
        </w:rPr>
        <w:t>Понятие и определение:</w:t>
      </w:r>
    </w:p>
    <w:p w:rsidR="006733C4" w:rsidRPr="006733C4" w:rsidRDefault="006733C4" w:rsidP="006733C4">
      <w:proofErr w:type="gramStart"/>
      <w:r w:rsidRPr="006733C4">
        <w:t xml:space="preserve">В соответствии с Повесткой дня на период до 2030 года необходимо выявить и количественно оценить долю населения, живущего в </w:t>
      </w:r>
      <w:r w:rsidRPr="00BD02B4">
        <w:rPr>
          <w:b/>
        </w:rPr>
        <w:t>трущобах, неформальных поселениях</w:t>
      </w:r>
      <w:r w:rsidRPr="006733C4">
        <w:t xml:space="preserve"> и проживающего в </w:t>
      </w:r>
      <w:r w:rsidR="00272987" w:rsidRPr="00BD02B4">
        <w:rPr>
          <w:b/>
        </w:rPr>
        <w:t>неудовлетворительных</w:t>
      </w:r>
      <w:r w:rsidRPr="00BD02B4">
        <w:rPr>
          <w:b/>
        </w:rPr>
        <w:t xml:space="preserve"> жилищных условиях</w:t>
      </w:r>
      <w:r w:rsidR="005A3645">
        <w:t>, для того</w:t>
      </w:r>
      <w:r w:rsidRPr="006733C4">
        <w:t xml:space="preserve">, чтобы обеспечить информационную основу для разработки соответствующей политики </w:t>
      </w:r>
      <w:r w:rsidR="00E30823">
        <w:br/>
      </w:r>
      <w:r w:rsidRPr="006733C4">
        <w:t xml:space="preserve">и программ для обеспечения доступа всех к </w:t>
      </w:r>
      <w:r w:rsidR="005A3645">
        <w:t xml:space="preserve">жилью с </w:t>
      </w:r>
      <w:r w:rsidR="00BD02B4">
        <w:t>удовлетворительным</w:t>
      </w:r>
      <w:r w:rsidR="005A3645">
        <w:t>и</w:t>
      </w:r>
      <w:r>
        <w:t xml:space="preserve"> условиям</w:t>
      </w:r>
      <w:r w:rsidR="005A3645">
        <w:t>и</w:t>
      </w:r>
      <w:r>
        <w:t xml:space="preserve"> </w:t>
      </w:r>
      <w:r w:rsidR="00E30823">
        <w:br/>
      </w:r>
      <w:r w:rsidRPr="006733C4">
        <w:t xml:space="preserve">и </w:t>
      </w:r>
      <w:r w:rsidR="005A3645">
        <w:t>для улучшения</w:t>
      </w:r>
      <w:r w:rsidRPr="006733C4">
        <w:t xml:space="preserve"> трущоб.</w:t>
      </w:r>
      <w:proofErr w:type="gramEnd"/>
    </w:p>
    <w:p w:rsidR="006733C4" w:rsidRDefault="005A3645" w:rsidP="006733C4">
      <w:r>
        <w:rPr>
          <w:b/>
        </w:rPr>
        <w:t>а. Трущобы</w:t>
      </w:r>
      <w:r>
        <w:t xml:space="preserve"> –</w:t>
      </w:r>
      <w:r w:rsidR="006733C4" w:rsidRPr="006733C4">
        <w:t xml:space="preserve"> 2002 году ООН-</w:t>
      </w:r>
      <w:proofErr w:type="spellStart"/>
      <w:r w:rsidR="006733C4" w:rsidRPr="006733C4">
        <w:t>Хабитат</w:t>
      </w:r>
      <w:proofErr w:type="spellEnd"/>
      <w:r w:rsidR="006733C4" w:rsidRPr="006733C4">
        <w:t xml:space="preserve">, Статистический отдел Организации Объединенных Наций и Альянс городов созвали совещание группы экспертов </w:t>
      </w:r>
      <w:r w:rsidR="00E30823">
        <w:br/>
      </w:r>
      <w:r w:rsidR="006733C4" w:rsidRPr="006733C4">
        <w:t xml:space="preserve">для согласования рабочего определения трущоб, которое будет использоваться </w:t>
      </w:r>
      <w:r w:rsidR="00E30823">
        <w:br/>
      </w:r>
      <w:r w:rsidR="006733C4" w:rsidRPr="006733C4">
        <w:t>для измерения показателя ЦРТ 7, задачи 7.</w:t>
      </w:r>
      <w:r w:rsidR="006733C4" w:rsidRPr="006733C4">
        <w:rPr>
          <w:lang w:val="en-US"/>
        </w:rPr>
        <w:t>D</w:t>
      </w:r>
      <w:r w:rsidR="006733C4" w:rsidRPr="006733C4">
        <w:t>. Согласованное определение классифицирует</w:t>
      </w:r>
      <w:r w:rsidR="006733C4" w:rsidRPr="005A3645">
        <w:rPr>
          <w:i/>
        </w:rPr>
        <w:t xml:space="preserve"> «домохозяйство в трущобах»</w:t>
      </w:r>
      <w:r w:rsidR="006733C4" w:rsidRPr="006733C4">
        <w:t xml:space="preserve"> как домохозяйство, жители которого страдают от одного или нескольких из следующих </w:t>
      </w:r>
      <w:r w:rsidR="006733C4" w:rsidRPr="005A3645">
        <w:rPr>
          <w:i/>
        </w:rPr>
        <w:t>«домашних лишений»</w:t>
      </w:r>
      <w:r w:rsidR="00E30823">
        <w:rPr>
          <w:i/>
        </w:rPr>
        <w:t xml:space="preserve"> (нехватки</w:t>
      </w:r>
      <w:r>
        <w:rPr>
          <w:i/>
        </w:rPr>
        <w:t xml:space="preserve"> чего-либо)</w:t>
      </w:r>
      <w:r w:rsidR="006733C4" w:rsidRPr="006733C4">
        <w:t>:</w:t>
      </w:r>
    </w:p>
    <w:p w:rsidR="00E37282" w:rsidRPr="00E37282" w:rsidRDefault="00E37282" w:rsidP="00E30823">
      <w:pPr>
        <w:contextualSpacing/>
      </w:pPr>
      <w:r w:rsidRPr="00E37282">
        <w:t xml:space="preserve">1. </w:t>
      </w:r>
      <w:r w:rsidR="005A3645">
        <w:t>Нехватка</w:t>
      </w:r>
      <w:r w:rsidRPr="00E37282">
        <w:t xml:space="preserve"> доступа к улучшенному источнику воды,</w:t>
      </w:r>
    </w:p>
    <w:p w:rsidR="00E37282" w:rsidRPr="00E37282" w:rsidRDefault="00E37282" w:rsidP="00E30823">
      <w:pPr>
        <w:contextualSpacing/>
      </w:pPr>
      <w:r w:rsidRPr="00E37282">
        <w:t xml:space="preserve">2. </w:t>
      </w:r>
      <w:r w:rsidR="005A3645">
        <w:t>Нехватка</w:t>
      </w:r>
      <w:r w:rsidRPr="00E37282">
        <w:t xml:space="preserve"> доступа к улучшенным санитарно-техническим средствам,</w:t>
      </w:r>
    </w:p>
    <w:p w:rsidR="00E37282" w:rsidRPr="00E37282" w:rsidRDefault="00E37282" w:rsidP="00E30823">
      <w:pPr>
        <w:contextualSpacing/>
      </w:pPr>
      <w:r w:rsidRPr="00E37282">
        <w:t xml:space="preserve">3. </w:t>
      </w:r>
      <w:r w:rsidR="005A3645">
        <w:t>Нехватка</w:t>
      </w:r>
      <w:r w:rsidRPr="00E37282">
        <w:t xml:space="preserve"> достаточной жилой площади,</w:t>
      </w:r>
    </w:p>
    <w:p w:rsidR="00E37282" w:rsidRPr="00E37282" w:rsidRDefault="00E37282" w:rsidP="00E30823">
      <w:pPr>
        <w:contextualSpacing/>
      </w:pPr>
      <w:r w:rsidRPr="00E37282">
        <w:t xml:space="preserve">4. Недостаточная </w:t>
      </w:r>
      <w:r w:rsidR="00536771">
        <w:t>долговечность</w:t>
      </w:r>
      <w:r w:rsidRPr="00E37282">
        <w:t xml:space="preserve"> </w:t>
      </w:r>
      <w:r w:rsidR="005A3645">
        <w:t>жилища</w:t>
      </w:r>
      <w:r w:rsidRPr="00E37282">
        <w:t xml:space="preserve"> и,</w:t>
      </w:r>
    </w:p>
    <w:p w:rsidR="00E37282" w:rsidRDefault="00E37282" w:rsidP="00E30823">
      <w:r w:rsidRPr="00E37282">
        <w:t xml:space="preserve">5. </w:t>
      </w:r>
      <w:r w:rsidR="005A3645">
        <w:t>Нехватка</w:t>
      </w:r>
      <w:r w:rsidR="005A3645" w:rsidRPr="005A3645">
        <w:t xml:space="preserve"> гарантий права владения </w:t>
      </w:r>
      <w:r w:rsidR="007954E0">
        <w:t>жильем</w:t>
      </w:r>
      <w:r w:rsidR="005A3645">
        <w:t>.</w:t>
      </w:r>
    </w:p>
    <w:p w:rsidR="006733C4" w:rsidRPr="00E37282" w:rsidRDefault="00E37282" w:rsidP="00E37282">
      <w:r w:rsidRPr="00E37282">
        <w:t xml:space="preserve">В более широком </w:t>
      </w:r>
      <w:proofErr w:type="gramStart"/>
      <w:r w:rsidRPr="00E37282">
        <w:t>смысле</w:t>
      </w:r>
      <w:proofErr w:type="gramEnd"/>
      <w:r w:rsidR="00AE4CF6">
        <w:t>,</w:t>
      </w:r>
      <w:r w:rsidRPr="00E37282">
        <w:t xml:space="preserve"> термин </w:t>
      </w:r>
      <w:r w:rsidRPr="00AE4CF6">
        <w:rPr>
          <w:i/>
        </w:rPr>
        <w:t>«житель трущоб»</w:t>
      </w:r>
      <w:r w:rsidRPr="00E37282">
        <w:t xml:space="preserve"> относится к человеку, живущему </w:t>
      </w:r>
      <w:r w:rsidR="00E30823">
        <w:br/>
      </w:r>
      <w:r w:rsidRPr="00E37282">
        <w:t xml:space="preserve">в домашнем хозяйстве, в котором </w:t>
      </w:r>
      <w:r w:rsidR="00E30823">
        <w:t>есть нехватка какого</w:t>
      </w:r>
      <w:r w:rsidRPr="00E37282">
        <w:t>-либо</w:t>
      </w:r>
      <w:r>
        <w:t xml:space="preserve"> из вышеперечисленных признаков</w:t>
      </w:r>
      <w:r>
        <w:rPr>
          <w:rStyle w:val="a6"/>
        </w:rPr>
        <w:footnoteReference w:id="6"/>
      </w:r>
      <w:r>
        <w:t>.</w:t>
      </w:r>
    </w:p>
    <w:p w:rsidR="00E37282" w:rsidRDefault="00E37282" w:rsidP="00E37282">
      <w:r w:rsidRPr="00E37282">
        <w:t>Эти пять компонентов, все из которых получены из определения жилья</w:t>
      </w:r>
      <w:r w:rsidR="00AE4CF6">
        <w:t xml:space="preserve"> </w:t>
      </w:r>
      <w:r w:rsidR="00E30823">
        <w:br/>
      </w:r>
      <w:r w:rsidR="00AE4CF6">
        <w:t>с удовлетворительными условиями, с тех пор использовались</w:t>
      </w:r>
      <w:r w:rsidRPr="00E37282">
        <w:t xml:space="preserve"> для отчетности </w:t>
      </w:r>
      <w:r w:rsidR="00E30823">
        <w:br/>
      </w:r>
      <w:r w:rsidRPr="00E37282">
        <w:t xml:space="preserve">и отслеживания ЦРТ в качестве первичных или вторичных данных, измеряемых </w:t>
      </w:r>
      <w:r w:rsidR="00E30823">
        <w:br/>
      </w:r>
      <w:r w:rsidRPr="00E37282">
        <w:t>для определения количества обитателей трущоб, проживающих в развивающихся странах. Они также послужили основой для успешного выполнения задачи 7.</w:t>
      </w:r>
      <w:r w:rsidRPr="00E37282">
        <w:rPr>
          <w:lang w:val="en-US"/>
        </w:rPr>
        <w:t>D</w:t>
      </w:r>
      <w:r w:rsidRPr="00E37282">
        <w:t xml:space="preserve"> ЦРТ. Для каждого компонента эксперты согласились со </w:t>
      </w:r>
      <w:proofErr w:type="gramStart"/>
      <w:r w:rsidRPr="00E37282">
        <w:t>следующими</w:t>
      </w:r>
      <w:proofErr w:type="gramEnd"/>
      <w:r w:rsidRPr="00E37282">
        <w:t xml:space="preserve"> </w:t>
      </w:r>
      <w:proofErr w:type="spellStart"/>
      <w:r w:rsidRPr="00E37282">
        <w:t>подопределениями</w:t>
      </w:r>
      <w:proofErr w:type="spellEnd"/>
      <w:r>
        <w:rPr>
          <w:rStyle w:val="a6"/>
        </w:rPr>
        <w:footnoteReference w:id="7"/>
      </w:r>
      <w:r w:rsidRPr="00E37282">
        <w:t>:</w:t>
      </w:r>
    </w:p>
    <w:p w:rsidR="004759D9" w:rsidRPr="004759D9" w:rsidRDefault="004759D9" w:rsidP="004759D9">
      <w:r w:rsidRPr="004759D9">
        <w:t xml:space="preserve">1) </w:t>
      </w:r>
      <w:r w:rsidRPr="009D2C0B">
        <w:rPr>
          <w:u w:val="single"/>
        </w:rPr>
        <w:t>Доступ к улучшенной воде</w:t>
      </w:r>
      <w:r w:rsidR="009D2C0B">
        <w:t xml:space="preserve"> – с</w:t>
      </w:r>
      <w:r w:rsidRPr="004759D9">
        <w:t xml:space="preserve">читается, что домохозяйство имеет доступ к улучшенной питьевой воде, если члены домохозяйства используют объект, защищенный от внешнего загрязнения, в частности, от загрязнения </w:t>
      </w:r>
      <w:r>
        <w:t>экскрементами</w:t>
      </w:r>
      <w:r w:rsidRPr="004759D9">
        <w:t>. К улучшенным источникам питьевой воды относятся: водопроводная вода в жилище, на участке или во дворе; общественный водопровод/колонка, обслуживающий не боле</w:t>
      </w:r>
      <w:r>
        <w:t>е 5 домохозяйств; защищенный водный источник</w:t>
      </w:r>
      <w:r w:rsidR="00AE4CF6">
        <w:t xml:space="preserve"> (родник)</w:t>
      </w:r>
      <w:r w:rsidRPr="004759D9">
        <w:t xml:space="preserve">; сбор дождевой воды; бутилированная вода (если вторичный </w:t>
      </w:r>
      <w:r w:rsidR="00AE4CF6">
        <w:t>источник тоже улучшен); буровая</w:t>
      </w:r>
      <w:r w:rsidRPr="004759D9">
        <w:t xml:space="preserve"> скважина</w:t>
      </w:r>
      <w:r w:rsidR="00AE4CF6" w:rsidRPr="00AE4CF6">
        <w:t>/</w:t>
      </w:r>
      <w:r w:rsidR="00AE4CF6">
        <w:t>колодец</w:t>
      </w:r>
      <w:r w:rsidRPr="004759D9">
        <w:t>; и, защищенный вырытый колодец.</w:t>
      </w:r>
    </w:p>
    <w:p w:rsidR="004759D9" w:rsidRPr="004759D9" w:rsidRDefault="004759D9" w:rsidP="004759D9">
      <w:r w:rsidRPr="004759D9">
        <w:t xml:space="preserve">2) </w:t>
      </w:r>
      <w:r w:rsidRPr="009D2C0B">
        <w:rPr>
          <w:u w:val="single"/>
        </w:rPr>
        <w:t>Доступ к улучшенным санитарным условиям</w:t>
      </w:r>
      <w:r w:rsidR="009D2C0B">
        <w:t xml:space="preserve"> – с</w:t>
      </w:r>
      <w:r w:rsidRPr="004759D9">
        <w:t xml:space="preserve">читается, что домохозяйство имеет доступ к улучшенным санитарным условиям, если члены домохозяйства имеют доступ </w:t>
      </w:r>
      <w:r w:rsidR="00E30823">
        <w:br/>
      </w:r>
      <w:r w:rsidRPr="004759D9">
        <w:t xml:space="preserve">к оборудованию с системой удаления экскрементов, которая гигиенично отделяет человеческие отходы от контакта с людьми. Улучшенные сооружения включают: туалеты со смывом/протоком или уборные, соединенные с канализацией, септиком или выгребной ямой; вентилируемая улучшенная выгребная яма; уборная с выгребной ямой с плитой </w:t>
      </w:r>
      <w:r w:rsidR="00E30823">
        <w:br/>
      </w:r>
      <w:r w:rsidRPr="004759D9">
        <w:t>или платформой, полностью закрывающей выгребную яму; и компостирующие туалеты/уборные.</w:t>
      </w:r>
    </w:p>
    <w:p w:rsidR="00E37282" w:rsidRDefault="004759D9" w:rsidP="004759D9">
      <w:r w:rsidRPr="004759D9">
        <w:t xml:space="preserve">3) </w:t>
      </w:r>
      <w:r w:rsidRPr="009D2C0B">
        <w:rPr>
          <w:u w:val="single"/>
        </w:rPr>
        <w:t>Достаточная жилая площадь</w:t>
      </w:r>
      <w:r w:rsidR="009D2C0B" w:rsidRPr="009D2C0B">
        <w:t xml:space="preserve"> </w:t>
      </w:r>
      <w:r w:rsidR="009D2C0B">
        <w:t>/перенаселенность – ж</w:t>
      </w:r>
      <w:r w:rsidRPr="004759D9">
        <w:t>илая единица обеспечивает достаточную жилую площадь для членов домохозяйства, если не более трех человек проживают в одной и той же жилой комнате</w:t>
      </w:r>
      <w:r>
        <w:rPr>
          <w:rStyle w:val="a6"/>
        </w:rPr>
        <w:footnoteReference w:id="8"/>
      </w:r>
      <w:r w:rsidRPr="004759D9">
        <w:t>. Были предложены дополнительные показатели</w:t>
      </w:r>
      <w:r w:rsidR="009D2C0B">
        <w:t xml:space="preserve"> перенаселенности: показатели уровня </w:t>
      </w:r>
      <w:r w:rsidRPr="004759D9">
        <w:t>площади, та</w:t>
      </w:r>
      <w:r w:rsidR="00F72575">
        <w:t>кие как средний показатель жилой площади</w:t>
      </w:r>
      <w:r w:rsidRPr="004759D9">
        <w:t xml:space="preserve"> на человека или количество домохозяйств на единицу площади. </w:t>
      </w:r>
      <w:r w:rsidR="009D2C0B">
        <w:br/>
      </w:r>
      <w:r w:rsidRPr="004759D9">
        <w:t xml:space="preserve">Кроме того, могут оказаться полезными показатели на уровне жилищной единицы, </w:t>
      </w:r>
      <w:r w:rsidR="00E30823">
        <w:br/>
      </w:r>
      <w:r w:rsidRPr="004759D9">
        <w:t xml:space="preserve">такие как количество человек на койку или количество детей в возрасте до пяти лет </w:t>
      </w:r>
      <w:r w:rsidR="00E30823">
        <w:br/>
      </w:r>
      <w:r w:rsidRPr="004759D9">
        <w:t xml:space="preserve">в комнате. Однако было показано, что количество человек на комнату коррелирует </w:t>
      </w:r>
      <w:r w:rsidR="009D2C0B">
        <w:br/>
      </w:r>
      <w:r w:rsidRPr="004759D9">
        <w:t>с неблагоприятными рисками для здоровья и чаще всего собирается посредством обследования домохозяйств</w:t>
      </w:r>
      <w:r w:rsidR="00F72575">
        <w:rPr>
          <w:rStyle w:val="a6"/>
        </w:rPr>
        <w:footnoteReference w:id="9"/>
      </w:r>
      <w:r w:rsidRPr="004759D9">
        <w:t>. ООН-</w:t>
      </w:r>
      <w:proofErr w:type="spellStart"/>
      <w:r w:rsidRPr="004759D9">
        <w:t>Хабитат</w:t>
      </w:r>
      <w:proofErr w:type="spellEnd"/>
      <w:r w:rsidRPr="004759D9">
        <w:t xml:space="preserve"> считает, что определение в его нынешнем виде не отражает практического опыта переполненности, и, как отмечается ниже, предлагает альтернативу.</w:t>
      </w:r>
    </w:p>
    <w:p w:rsidR="00F72575" w:rsidRDefault="0022498F" w:rsidP="004759D9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  <w:lang w:eastAsia="ru-RU"/>
        </w:rPr>
        <w:drawing>
          <wp:inline distT="0" distB="0" distL="0" distR="0">
            <wp:extent cx="5934710" cy="33210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8F" w:rsidRPr="00536771" w:rsidRDefault="00F72575" w:rsidP="00536771">
      <w:pPr>
        <w:jc w:val="center"/>
        <w:rPr>
          <w:color w:val="000000" w:themeColor="text1"/>
          <w:szCs w:val="24"/>
        </w:rPr>
      </w:pPr>
      <w:r w:rsidRPr="00F72575">
        <w:rPr>
          <w:color w:val="000000" w:themeColor="text1"/>
          <w:szCs w:val="24"/>
        </w:rPr>
        <w:t>Рисунок 1</w:t>
      </w:r>
      <w:r w:rsidR="00536771" w:rsidRPr="00536771">
        <w:rPr>
          <w:color w:val="000000" w:themeColor="text1"/>
          <w:szCs w:val="24"/>
        </w:rPr>
        <w:t xml:space="preserve"> </w:t>
      </w:r>
      <w:r w:rsidRPr="00F72575">
        <w:rPr>
          <w:color w:val="000000" w:themeColor="text1"/>
          <w:szCs w:val="24"/>
        </w:rPr>
        <w:t>- Пример пере</w:t>
      </w:r>
      <w:r>
        <w:rPr>
          <w:color w:val="000000" w:themeColor="text1"/>
          <w:szCs w:val="24"/>
        </w:rPr>
        <w:t>населенности</w:t>
      </w:r>
    </w:p>
    <w:p w:rsidR="00F72575" w:rsidRDefault="00F72575" w:rsidP="00F72575">
      <w:r w:rsidRPr="00F72575">
        <w:t xml:space="preserve">4) </w:t>
      </w:r>
      <w:r w:rsidR="00536771" w:rsidRPr="00536771">
        <w:rPr>
          <w:u w:val="single"/>
        </w:rPr>
        <w:t xml:space="preserve">Структурное </w:t>
      </w:r>
      <w:r w:rsidR="00536771">
        <w:rPr>
          <w:u w:val="single"/>
        </w:rPr>
        <w:t>к</w:t>
      </w:r>
      <w:r w:rsidRPr="00536771">
        <w:rPr>
          <w:u w:val="single"/>
        </w:rPr>
        <w:t>ачество</w:t>
      </w:r>
      <w:r w:rsidR="00536771" w:rsidRPr="00536771">
        <w:rPr>
          <w:u w:val="single"/>
        </w:rPr>
        <w:t>/долговечность жилья</w:t>
      </w:r>
      <w:r w:rsidR="00536771" w:rsidRPr="00536771">
        <w:t xml:space="preserve"> – </w:t>
      </w:r>
      <w:r w:rsidR="00536771">
        <w:t>д</w:t>
      </w:r>
      <w:r w:rsidRPr="00F72575">
        <w:t xml:space="preserve">ом считается «долговечным», </w:t>
      </w:r>
      <w:r w:rsidR="0080059E">
        <w:br/>
      </w:r>
      <w:r w:rsidRPr="00F72575">
        <w:t>если он построен в безопасном месте и имеет постоянную и адекватную конструкцию, способную защитить его жителей от экстремальных климатических условий, таких как дождь, жара, холод</w:t>
      </w:r>
      <w:r w:rsidR="002F1713">
        <w:t xml:space="preserve"> </w:t>
      </w:r>
      <w:r w:rsidRPr="00F72575">
        <w:t xml:space="preserve">и влажность. </w:t>
      </w:r>
      <w:proofErr w:type="gramStart"/>
      <w:r w:rsidRPr="00F72575">
        <w:t xml:space="preserve">Для определения </w:t>
      </w:r>
      <w:r w:rsidR="00536771">
        <w:t>структурного</w:t>
      </w:r>
      <w:r w:rsidRPr="00F72575">
        <w:t xml:space="preserve"> качества/долговечности жилищ используются следующие критерии: долговечность конструкции (</w:t>
      </w:r>
      <w:r w:rsidR="00536771">
        <w:t xml:space="preserve">долговечный </w:t>
      </w:r>
      <w:r w:rsidRPr="00F72575">
        <w:t xml:space="preserve">строительный материал для стен, крыши и пола; соответствие строительным </w:t>
      </w:r>
      <w:r w:rsidR="00536771">
        <w:t xml:space="preserve">законодательным </w:t>
      </w:r>
      <w:r w:rsidRPr="00F72575">
        <w:t>нормам; жилище не находится в ветхом состоянии</w:t>
      </w:r>
      <w:r w:rsidR="002F1713">
        <w:t xml:space="preserve">; жилище </w:t>
      </w:r>
      <w:r w:rsidR="0080059E">
        <w:br/>
      </w:r>
      <w:r w:rsidR="002F1713">
        <w:t>не нуждается в</w:t>
      </w:r>
      <w:r w:rsidR="007954E0">
        <w:t xml:space="preserve"> </w:t>
      </w:r>
      <w:r w:rsidRPr="00F72575">
        <w:t>капитальн</w:t>
      </w:r>
      <w:r w:rsidR="002F1713">
        <w:t>ом</w:t>
      </w:r>
      <w:r w:rsidRPr="00F72575">
        <w:t xml:space="preserve"> ремонт</w:t>
      </w:r>
      <w:r w:rsidR="002F1713">
        <w:t>е</w:t>
      </w:r>
      <w:r w:rsidRPr="00F72575">
        <w:t xml:space="preserve">); и расположение дома (опасное место; жилье </w:t>
      </w:r>
      <w:r w:rsidR="0080059E">
        <w:br/>
      </w:r>
      <w:r w:rsidRPr="00F72575">
        <w:t xml:space="preserve">не расположено на </w:t>
      </w:r>
      <w:r w:rsidR="002F1713">
        <w:t xml:space="preserve">местах захоронения </w:t>
      </w:r>
      <w:r w:rsidR="007954E0">
        <w:t>токсичных</w:t>
      </w:r>
      <w:r w:rsidR="002F1713">
        <w:t xml:space="preserve"> отходов</w:t>
      </w:r>
      <w:r w:rsidRPr="00F72575">
        <w:t xml:space="preserve"> или рядом с ними;</w:t>
      </w:r>
      <w:proofErr w:type="gramEnd"/>
      <w:r w:rsidRPr="00F72575">
        <w:t xml:space="preserve"> жилье не находится в пойме; жилье не находится на крутом склоне; жилье не нахо</w:t>
      </w:r>
      <w:r w:rsidR="002F1713">
        <w:t>дится на опасной полосе отвода</w:t>
      </w:r>
      <w:r w:rsidRPr="00F72575">
        <w:t>: железн</w:t>
      </w:r>
      <w:r w:rsidR="002F1713">
        <w:t>ой</w:t>
      </w:r>
      <w:r w:rsidRPr="00F72575">
        <w:t xml:space="preserve"> дорог</w:t>
      </w:r>
      <w:r w:rsidR="007954E0">
        <w:t>и</w:t>
      </w:r>
      <w:r w:rsidRPr="00F72575">
        <w:t>, автомагистрал</w:t>
      </w:r>
      <w:r w:rsidR="002F1713">
        <w:t>и</w:t>
      </w:r>
      <w:r w:rsidRPr="00F72575">
        <w:t>, аэропорт</w:t>
      </w:r>
      <w:r w:rsidR="007954E0">
        <w:t>а</w:t>
      </w:r>
      <w:r w:rsidRPr="00F72575">
        <w:t>, линии электропередач).</w:t>
      </w:r>
    </w:p>
    <w:p w:rsidR="001823D9" w:rsidRDefault="007954E0" w:rsidP="001823D9">
      <w:r>
        <w:t xml:space="preserve">5) </w:t>
      </w:r>
      <w:r w:rsidRPr="007954E0">
        <w:rPr>
          <w:u w:val="single"/>
        </w:rPr>
        <w:t>Гарантии</w:t>
      </w:r>
      <w:r w:rsidR="001823D9" w:rsidRPr="007954E0">
        <w:rPr>
          <w:u w:val="single"/>
        </w:rPr>
        <w:t xml:space="preserve"> </w:t>
      </w:r>
      <w:r w:rsidRPr="007954E0">
        <w:rPr>
          <w:u w:val="single"/>
        </w:rPr>
        <w:t xml:space="preserve">права </w:t>
      </w:r>
      <w:r w:rsidR="001823D9" w:rsidRPr="007954E0">
        <w:rPr>
          <w:u w:val="single"/>
        </w:rPr>
        <w:t xml:space="preserve">владения </w:t>
      </w:r>
      <w:r w:rsidRPr="007954E0">
        <w:rPr>
          <w:u w:val="single"/>
        </w:rPr>
        <w:t>жильем</w:t>
      </w:r>
      <w:r>
        <w:t xml:space="preserve"> </w:t>
      </w:r>
      <w:r w:rsidR="001823D9" w:rsidRPr="001823D9">
        <w:t>–</w:t>
      </w:r>
      <w:r w:rsidR="001823D9">
        <w:t xml:space="preserve"> </w:t>
      </w:r>
      <w:r>
        <w:t>это права</w:t>
      </w:r>
      <w:r w:rsidR="001823D9" w:rsidRPr="001823D9">
        <w:t xml:space="preserve"> всех лиц и групп на эффективную</w:t>
      </w:r>
      <w:r w:rsidR="006C5E4E">
        <w:t xml:space="preserve"> защиту государством</w:t>
      </w:r>
      <w:r w:rsidR="001823D9" w:rsidRPr="001823D9">
        <w:t xml:space="preserve"> от принудительных выселений. Гарантия владения понимается </w:t>
      </w:r>
      <w:r w:rsidR="0080059E">
        <w:br/>
      </w:r>
      <w:r w:rsidR="001823D9" w:rsidRPr="001823D9">
        <w:t>как совокупность отношений в отношении жилья и земли, установленных на основе статутного или обычного права, неформальных или смешанных договоренностей, которые позволяют человеку жить в своем доме в безопасности, мире и достоинстве (</w:t>
      </w:r>
      <w:r w:rsidR="001823D9" w:rsidRPr="001823D9">
        <w:rPr>
          <w:lang w:val="en-US"/>
        </w:rPr>
        <w:t>A</w:t>
      </w:r>
      <w:r w:rsidR="001823D9" w:rsidRPr="001823D9">
        <w:t>/</w:t>
      </w:r>
      <w:r w:rsidR="001823D9" w:rsidRPr="001823D9">
        <w:rPr>
          <w:lang w:val="en-US"/>
        </w:rPr>
        <w:t>HRC</w:t>
      </w:r>
      <w:r w:rsidR="001823D9" w:rsidRPr="001823D9">
        <w:t>/25/ 54). Независимо от вида владения, все лица с гарантиями проживания имеют правовой статус против произвольного неза</w:t>
      </w:r>
      <w:r w:rsidR="006C5E4E">
        <w:t>конного выселения, преследования</w:t>
      </w:r>
      <w:r w:rsidR="001823D9" w:rsidRPr="001823D9">
        <w:t xml:space="preserve"> и других угроз. Люди имеют </w:t>
      </w:r>
      <w:r w:rsidR="006C5E4E">
        <w:t>гарантии права</w:t>
      </w:r>
      <w:r w:rsidR="001823D9" w:rsidRPr="001823D9">
        <w:t xml:space="preserve"> </w:t>
      </w:r>
      <w:r w:rsidR="006C5E4E">
        <w:t>владения</w:t>
      </w:r>
      <w:r w:rsidR="001823D9" w:rsidRPr="001823D9">
        <w:t xml:space="preserve"> </w:t>
      </w:r>
      <w:r w:rsidR="006C5E4E">
        <w:t>жильем</w:t>
      </w:r>
      <w:r w:rsidR="001823D9" w:rsidRPr="001823D9">
        <w:t>, когда: имеется сви</w:t>
      </w:r>
      <w:r w:rsidR="001823D9">
        <w:t>детельство документации, которое</w:t>
      </w:r>
      <w:r w:rsidR="001823D9" w:rsidRPr="001823D9">
        <w:t xml:space="preserve"> может использоваться в качестве подтверждения статуса владения</w:t>
      </w:r>
      <w:r w:rsidR="006C5E4E">
        <w:t xml:space="preserve"> жильем</w:t>
      </w:r>
      <w:r w:rsidR="001823D9" w:rsidRPr="001823D9">
        <w:t xml:space="preserve">; и существует либо де-факто, либо </w:t>
      </w:r>
      <w:r w:rsidR="001823D9">
        <w:t xml:space="preserve">есть </w:t>
      </w:r>
      <w:r w:rsidR="001823D9" w:rsidRPr="001823D9">
        <w:t xml:space="preserve">предполагаемая защита </w:t>
      </w:r>
      <w:r w:rsidR="0080059E">
        <w:br/>
      </w:r>
      <w:r w:rsidR="001823D9" w:rsidRPr="001823D9">
        <w:t>от принудительных выселений. Важный прог</w:t>
      </w:r>
      <w:r w:rsidR="006C5E4E">
        <w:t xml:space="preserve">ресс </w:t>
      </w:r>
      <w:proofErr w:type="gramStart"/>
      <w:r w:rsidR="006C5E4E">
        <w:t>был</w:t>
      </w:r>
      <w:proofErr w:type="gramEnd"/>
      <w:r w:rsidR="006C5E4E">
        <w:t xml:space="preserve"> достигнут внедрением </w:t>
      </w:r>
      <w:r w:rsidR="001823D9" w:rsidRPr="001823D9">
        <w:t>измерения этого компонента в расчет</w:t>
      </w:r>
      <w:r w:rsidR="006C5E4E">
        <w:t xml:space="preserve"> для</w:t>
      </w:r>
      <w:r w:rsidR="001823D9" w:rsidRPr="001823D9">
        <w:t xml:space="preserve"> людей, живущих в трущобах.</w:t>
      </w:r>
    </w:p>
    <w:p w:rsidR="00C96E43" w:rsidRPr="006C5E4E" w:rsidRDefault="006C5E4E" w:rsidP="00C96E43">
      <w:pPr>
        <w:rPr>
          <w:i/>
        </w:rPr>
      </w:pPr>
      <w:r>
        <w:br/>
      </w:r>
      <w:r w:rsidR="00C96E43" w:rsidRPr="006C5E4E">
        <w:rPr>
          <w:i/>
        </w:rPr>
        <w:t>Неформальные поселения</w:t>
      </w:r>
    </w:p>
    <w:p w:rsidR="00C96E43" w:rsidRPr="00C96E43" w:rsidRDefault="00C96E43" w:rsidP="00C96E43">
      <w:proofErr w:type="gramStart"/>
      <w:r w:rsidRPr="006C5E4E">
        <w:rPr>
          <w:b/>
        </w:rPr>
        <w:t>б</w:t>
      </w:r>
      <w:proofErr w:type="gramEnd"/>
      <w:r w:rsidRPr="006C5E4E">
        <w:rPr>
          <w:b/>
        </w:rPr>
        <w:t>. Неформальные поселения.</w:t>
      </w:r>
      <w:r w:rsidRPr="00C96E43">
        <w:t xml:space="preserve"> </w:t>
      </w:r>
      <w:r w:rsidR="006C5E4E">
        <w:t xml:space="preserve">Неформальные </w:t>
      </w:r>
      <w:r w:rsidRPr="00C96E43">
        <w:t xml:space="preserve">поселения обычно рассматриваются </w:t>
      </w:r>
      <w:r w:rsidR="0080059E">
        <w:br/>
      </w:r>
      <w:r w:rsidRPr="00C96E43">
        <w:t>как синоним трущоб, при этом особое внимание уделяется формальному статусу земли, структуры и услуг. Согласно выпускному документу № 22</w:t>
      </w:r>
      <w:r w:rsidR="00D9348D">
        <w:rPr>
          <w:rStyle w:val="a6"/>
        </w:rPr>
        <w:footnoteReference w:id="10"/>
      </w:r>
      <w:r w:rsidRPr="00C96E43">
        <w:t xml:space="preserve"> </w:t>
      </w:r>
      <w:r w:rsidRPr="00C96E43">
        <w:rPr>
          <w:lang w:val="en-US"/>
        </w:rPr>
        <w:t>Habitat</w:t>
      </w:r>
      <w:r w:rsidRPr="00C96E43">
        <w:t xml:space="preserve"> </w:t>
      </w:r>
      <w:r w:rsidRPr="00C96E43">
        <w:rPr>
          <w:lang w:val="en-US"/>
        </w:rPr>
        <w:t>III</w:t>
      </w:r>
      <w:r w:rsidRPr="00C96E43">
        <w:t>, они определяются тремя основными критериями, которые уже включены в определение трущоб.</w:t>
      </w:r>
    </w:p>
    <w:p w:rsidR="00C96E43" w:rsidRPr="00C96E43" w:rsidRDefault="00C96E43" w:rsidP="00C96E43">
      <w:r w:rsidRPr="00C96E43">
        <w:t>Эт</w:t>
      </w:r>
      <w:r>
        <w:t>и критерии следующие</w:t>
      </w:r>
      <w:r w:rsidRPr="00C96E43">
        <w:t>:</w:t>
      </w:r>
    </w:p>
    <w:p w:rsidR="00C96E43" w:rsidRPr="00C96E43" w:rsidRDefault="0080059E" w:rsidP="00C96E43">
      <w:r>
        <w:t>1. </w:t>
      </w:r>
      <w:r w:rsidR="00C96E43" w:rsidRPr="006C5E4E">
        <w:rPr>
          <w:u w:val="single"/>
        </w:rPr>
        <w:t xml:space="preserve">Жители не имеют гарантий </w:t>
      </w:r>
      <w:r w:rsidR="006C5E4E">
        <w:rPr>
          <w:u w:val="single"/>
        </w:rPr>
        <w:t xml:space="preserve">права </w:t>
      </w:r>
      <w:r w:rsidR="00C96E43" w:rsidRPr="006C5E4E">
        <w:rPr>
          <w:u w:val="single"/>
        </w:rPr>
        <w:t>владения</w:t>
      </w:r>
      <w:r w:rsidR="00C96E43" w:rsidRPr="006C5E4E">
        <w:t xml:space="preserve"> землей</w:t>
      </w:r>
      <w:r w:rsidR="00C96E43" w:rsidRPr="00C96E43">
        <w:t xml:space="preserve"> или жильем, в которых </w:t>
      </w:r>
      <w:r>
        <w:br/>
      </w:r>
      <w:r w:rsidR="00C96E43" w:rsidRPr="00C96E43">
        <w:t xml:space="preserve">они проживают, причем условия варьируются от </w:t>
      </w:r>
      <w:r>
        <w:t>«</w:t>
      </w:r>
      <w:proofErr w:type="spellStart"/>
      <w:r w:rsidR="00C96E43" w:rsidRPr="00C96E43">
        <w:t>сквоттинга</w:t>
      </w:r>
      <w:proofErr w:type="spellEnd"/>
      <w:r>
        <w:t>»</w:t>
      </w:r>
      <w:r w:rsidR="00C96E43" w:rsidRPr="00C96E43">
        <w:t xml:space="preserve"> до </w:t>
      </w:r>
      <w:r w:rsidR="006C5E4E">
        <w:t>аренды</w:t>
      </w:r>
      <w:r w:rsidR="00C96E43" w:rsidRPr="00C96E43">
        <w:t xml:space="preserve"> жилья</w:t>
      </w:r>
      <w:r w:rsidR="006C5E4E">
        <w:t xml:space="preserve"> </w:t>
      </w:r>
      <w:r w:rsidR="00FF75C8">
        <w:t>неформально (</w:t>
      </w:r>
      <w:r w:rsidR="006C5E4E">
        <w:t>неофициально</w:t>
      </w:r>
      <w:r w:rsidR="00FF75C8">
        <w:t>),</w:t>
      </w:r>
    </w:p>
    <w:p w:rsidR="00A87467" w:rsidRPr="00C96E43" w:rsidRDefault="00C96E43" w:rsidP="00C96E43">
      <w:r w:rsidRPr="00C96E43">
        <w:t xml:space="preserve">2. </w:t>
      </w:r>
      <w:r w:rsidRPr="00FF75C8">
        <w:rPr>
          <w:u w:val="single"/>
        </w:rPr>
        <w:t>В районах обычно отсутствуют или отрезаны официальные базовые услуги</w:t>
      </w:r>
      <w:r w:rsidRPr="00C96E43">
        <w:t xml:space="preserve"> и городская инфраструктура, и</w:t>
      </w:r>
    </w:p>
    <w:p w:rsidR="00C96E43" w:rsidRDefault="0080059E" w:rsidP="00FF75C8">
      <w:pPr>
        <w:spacing w:after="360"/>
      </w:pPr>
      <w:r>
        <w:t>3. </w:t>
      </w:r>
      <w:r w:rsidR="00C96E43" w:rsidRPr="00FF75C8">
        <w:rPr>
          <w:u w:val="single"/>
        </w:rPr>
        <w:t xml:space="preserve">Жилье может не соответствовать действующим </w:t>
      </w:r>
      <w:r w:rsidR="00FF75C8">
        <w:rPr>
          <w:u w:val="single"/>
        </w:rPr>
        <w:t xml:space="preserve">законодательным </w:t>
      </w:r>
      <w:r w:rsidR="00C96E43" w:rsidRPr="00FF75C8">
        <w:rPr>
          <w:u w:val="single"/>
        </w:rPr>
        <w:t xml:space="preserve">нормам планировки </w:t>
      </w:r>
      <w:r>
        <w:rPr>
          <w:u w:val="single"/>
        </w:rPr>
        <w:br/>
      </w:r>
      <w:r w:rsidR="00C96E43" w:rsidRPr="00FF75C8">
        <w:rPr>
          <w:u w:val="single"/>
        </w:rPr>
        <w:t>и строительства</w:t>
      </w:r>
      <w:r w:rsidR="00C96E43" w:rsidRPr="00C96E43">
        <w:t>, часто находится в географически и экологически опасных районах, может не иметь муниципального разрешения.</w:t>
      </w:r>
    </w:p>
    <w:p w:rsidR="00D9348D" w:rsidRDefault="00D9348D" w:rsidP="00FF75C8">
      <w:pPr>
        <w:spacing w:after="360"/>
      </w:pPr>
      <w:r w:rsidRPr="00D9348D">
        <w:t xml:space="preserve">Неформальные поселения могут быть заселены городскими жителями всех уровней доходов, состоятельными и </w:t>
      </w:r>
      <w:r>
        <w:t>малоимущими</w:t>
      </w:r>
      <w:r w:rsidRPr="00D9348D">
        <w:t>.</w:t>
      </w:r>
    </w:p>
    <w:p w:rsidR="00D9348D" w:rsidRPr="00FF75C8" w:rsidRDefault="00272987" w:rsidP="0080059E">
      <w:pPr>
        <w:rPr>
          <w:i/>
        </w:rPr>
      </w:pPr>
      <w:r w:rsidRPr="00FF75C8">
        <w:rPr>
          <w:i/>
        </w:rPr>
        <w:t>Неудовлетворительные</w:t>
      </w:r>
      <w:r w:rsidR="00D9348D" w:rsidRPr="00FF75C8">
        <w:rPr>
          <w:i/>
        </w:rPr>
        <w:t xml:space="preserve"> жилищные условия</w:t>
      </w:r>
    </w:p>
    <w:p w:rsidR="00D9348D" w:rsidRDefault="00D9348D" w:rsidP="00D9348D">
      <w:r w:rsidRPr="00FF75C8">
        <w:rPr>
          <w:b/>
        </w:rPr>
        <w:t>в.</w:t>
      </w:r>
      <w:r w:rsidRPr="00D9348D">
        <w:t xml:space="preserve"> </w:t>
      </w:r>
      <w:r w:rsidR="00272987" w:rsidRPr="0080059E">
        <w:rPr>
          <w:b/>
        </w:rPr>
        <w:t>Неудовлетворительные</w:t>
      </w:r>
      <w:r w:rsidRPr="0080059E">
        <w:rPr>
          <w:b/>
        </w:rPr>
        <w:t xml:space="preserve"> жилищные условия</w:t>
      </w:r>
      <w:r w:rsidRPr="00D9348D">
        <w:t>. Статья 25 Всеобщей декларации прав человека включает жилье как один из компонентов права на достаточный уровень жизни для всех</w:t>
      </w:r>
      <w:r>
        <w:rPr>
          <w:rStyle w:val="a6"/>
        </w:rPr>
        <w:footnoteReference w:id="11"/>
      </w:r>
      <w:r w:rsidRPr="00D9348D">
        <w:t xml:space="preserve">. Замечания общего порядка № 4 Комитета ООН по экономическим, социальным и культурным правам (1991 г.) о праве на достаточное жилище и № 7 (1997 г.) </w:t>
      </w:r>
      <w:r w:rsidR="0080059E">
        <w:br/>
      </w:r>
      <w:r w:rsidRPr="00D9348D">
        <w:t xml:space="preserve">о принудительном выселении подчеркивают, что право на достаточное жилище следует </w:t>
      </w:r>
      <w:proofErr w:type="gramStart"/>
      <w:r w:rsidRPr="00D9348D">
        <w:t>рассматривать</w:t>
      </w:r>
      <w:proofErr w:type="gramEnd"/>
      <w:r w:rsidRPr="00D9348D">
        <w:t xml:space="preserve"> как право жить где-то в условиях безопасности, мира и достоинства. </w:t>
      </w:r>
      <w:r w:rsidR="0080059E">
        <w:br/>
      </w:r>
      <w:r w:rsidRPr="00D9348D">
        <w:t xml:space="preserve">Чтобы жилье </w:t>
      </w:r>
      <w:r w:rsidR="0080059E">
        <w:t xml:space="preserve">обладало </w:t>
      </w:r>
      <w:r w:rsidR="00FF75C8">
        <w:t xml:space="preserve">удовлетворительными жилищными условиями (Прим. пер. – дословно </w:t>
      </w:r>
      <w:r w:rsidR="00FF75C8" w:rsidRPr="00FF75C8">
        <w:t>“</w:t>
      </w:r>
      <w:r w:rsidR="0080059E">
        <w:t xml:space="preserve">было </w:t>
      </w:r>
      <w:r w:rsidRPr="00D9348D">
        <w:t>адекватным</w:t>
      </w:r>
      <w:r w:rsidR="00FF75C8" w:rsidRPr="00FF75C8">
        <w:t>”</w:t>
      </w:r>
      <w:r w:rsidR="00FF75C8">
        <w:t>)</w:t>
      </w:r>
      <w:r w:rsidRPr="00D9348D">
        <w:t xml:space="preserve">, оно должно иметь более четырех стен и крышу </w:t>
      </w:r>
      <w:r w:rsidR="0080059E">
        <w:br/>
      </w:r>
      <w:r w:rsidRPr="00D9348D">
        <w:t>и, как минимум, соответствовать следующим критериям:</w:t>
      </w:r>
    </w:p>
    <w:p w:rsidR="00D9348D" w:rsidRDefault="00D9348D" w:rsidP="00D9348D">
      <w:r w:rsidRPr="00D9348D">
        <w:t xml:space="preserve">1. </w:t>
      </w:r>
      <w:r w:rsidRPr="00FF75C8">
        <w:rPr>
          <w:u w:val="single"/>
        </w:rPr>
        <w:t>Юридическая безопасность проживания</w:t>
      </w:r>
      <w:r w:rsidRPr="00D9348D">
        <w:t xml:space="preserve">, гарантирующая правовую защиту </w:t>
      </w:r>
      <w:r w:rsidR="0080059E">
        <w:br/>
      </w:r>
      <w:r w:rsidRPr="00D9348D">
        <w:t>от принудительных выселений, преследований и других угроз;</w:t>
      </w:r>
    </w:p>
    <w:p w:rsidR="00D9348D" w:rsidRDefault="00D9348D" w:rsidP="00D9348D">
      <w:r w:rsidRPr="00D9348D">
        <w:t xml:space="preserve">2. </w:t>
      </w:r>
      <w:r w:rsidRPr="00FF75C8">
        <w:rPr>
          <w:u w:val="single"/>
        </w:rPr>
        <w:t>Наличие услуг, материалов, объектов и инфраструктуры</w:t>
      </w:r>
      <w:r w:rsidRPr="00D9348D">
        <w:t>, включая безопасную питьевую воду, надлежащие санитарные условия, энергию д</w:t>
      </w:r>
      <w:r w:rsidR="00FF75C8">
        <w:t>ля приготовления пищи, отопления, освещения</w:t>
      </w:r>
      <w:r w:rsidRPr="00D9348D">
        <w:t>,</w:t>
      </w:r>
      <w:r w:rsidR="00FF75C8">
        <w:t xml:space="preserve"> хранения продуктов или удаления</w:t>
      </w:r>
      <w:r w:rsidRPr="00D9348D">
        <w:t xml:space="preserve"> мусора;</w:t>
      </w:r>
    </w:p>
    <w:p w:rsidR="00D9348D" w:rsidRDefault="00D9348D" w:rsidP="00D9348D">
      <w:r w:rsidRPr="00D9348D">
        <w:t xml:space="preserve">3. </w:t>
      </w:r>
      <w:r w:rsidR="007B3EA7">
        <w:rPr>
          <w:u w:val="single"/>
        </w:rPr>
        <w:t>Ценовая приемлемость</w:t>
      </w:r>
      <w:r w:rsidRPr="00D9348D">
        <w:t xml:space="preserve">, жилье </w:t>
      </w:r>
      <w:r w:rsidR="00FF75C8">
        <w:t>не обладает удовлетворительными жилищными условиями</w:t>
      </w:r>
      <w:r w:rsidRPr="00D9348D">
        <w:t xml:space="preserve">, если его стоимость ставит под угрозу </w:t>
      </w:r>
      <w:r w:rsidR="00FF75C8">
        <w:t>пользование жильцами другими</w:t>
      </w:r>
      <w:r w:rsidRPr="00D9348D">
        <w:t xml:space="preserve"> прав</w:t>
      </w:r>
      <w:r w:rsidR="00FF75C8">
        <w:t>ами</w:t>
      </w:r>
      <w:r w:rsidRPr="00D9348D">
        <w:t xml:space="preserve"> человека;</w:t>
      </w:r>
    </w:p>
    <w:p w:rsidR="00FF38FB" w:rsidRPr="00FF38FB" w:rsidRDefault="00D70542" w:rsidP="00FF38FB">
      <w:r>
        <w:t>4. </w:t>
      </w:r>
      <w:r w:rsidR="00FF38FB" w:rsidRPr="00FF75C8">
        <w:rPr>
          <w:u w:val="single"/>
        </w:rPr>
        <w:t>Пригодность жилища</w:t>
      </w:r>
      <w:r w:rsidR="00FF38FB">
        <w:t xml:space="preserve">, </w:t>
      </w:r>
      <w:r w:rsidR="00FF75C8" w:rsidRPr="00D9348D">
        <w:t xml:space="preserve">жилье не </w:t>
      </w:r>
      <w:r w:rsidR="00FF75C8">
        <w:t>обладает удовлетворительными жилищными условиями</w:t>
      </w:r>
      <w:r w:rsidR="00FF38FB" w:rsidRPr="00FF38FB">
        <w:t>, если оно не гарантирует физической безопасности или не обеспечивает достаточного пространства, а также защиты от холода, сырости, жары, дождя, ветра, других угроз здоровью и структурных опасностей;</w:t>
      </w:r>
    </w:p>
    <w:p w:rsidR="00FF38FB" w:rsidRPr="00FF38FB" w:rsidRDefault="00FF38FB" w:rsidP="00FF38FB">
      <w:r w:rsidRPr="00FF38FB">
        <w:t xml:space="preserve">5. </w:t>
      </w:r>
      <w:r w:rsidRPr="00FF75C8">
        <w:rPr>
          <w:u w:val="single"/>
        </w:rPr>
        <w:t>Доступность</w:t>
      </w:r>
      <w:r w:rsidRPr="00FF38FB">
        <w:t>,</w:t>
      </w:r>
      <w:r w:rsidR="00FF75C8" w:rsidRPr="00FF75C8">
        <w:t xml:space="preserve"> </w:t>
      </w:r>
      <w:r w:rsidR="00FF75C8" w:rsidRPr="00D9348D">
        <w:t xml:space="preserve">жилье не </w:t>
      </w:r>
      <w:r w:rsidR="00FF75C8">
        <w:t>обладает</w:t>
      </w:r>
      <w:r w:rsidR="00FF75C8" w:rsidRPr="00D9348D">
        <w:t xml:space="preserve"> </w:t>
      </w:r>
      <w:r w:rsidR="00FF75C8">
        <w:t>удовлетворительными жилищными условиями</w:t>
      </w:r>
      <w:r w:rsidRPr="00FF38FB">
        <w:t xml:space="preserve">, </w:t>
      </w:r>
      <w:r w:rsidR="0080059E">
        <w:br/>
      </w:r>
      <w:r w:rsidRPr="00FF38FB">
        <w:t xml:space="preserve">если не принимаются во внимание особые потребности обездоленных </w:t>
      </w:r>
      <w:r w:rsidR="0080059E">
        <w:br/>
      </w:r>
      <w:r w:rsidRPr="00FF38FB">
        <w:t xml:space="preserve">и </w:t>
      </w:r>
      <w:proofErr w:type="spellStart"/>
      <w:r w:rsidRPr="00FF38FB">
        <w:t>маргинализир</w:t>
      </w:r>
      <w:r w:rsidR="0080059E">
        <w:t>ованных</w:t>
      </w:r>
      <w:proofErr w:type="spellEnd"/>
      <w:r w:rsidR="0080059E">
        <w:t xml:space="preserve"> групп (таких как бедные;</w:t>
      </w:r>
      <w:r w:rsidRPr="00FF38FB">
        <w:t xml:space="preserve"> люди, сталкивающиеся </w:t>
      </w:r>
      <w:r w:rsidR="0080059E">
        <w:br/>
        <w:t>с дискриминацией;</w:t>
      </w:r>
      <w:r w:rsidRPr="00FF38FB">
        <w:t xml:space="preserve"> лица с ограни</w:t>
      </w:r>
      <w:r w:rsidR="0080059E">
        <w:t>ченными возможностями;</w:t>
      </w:r>
      <w:r w:rsidRPr="00FF38FB">
        <w:t xml:space="preserve"> жертвы стихийных бедствий);</w:t>
      </w:r>
    </w:p>
    <w:p w:rsidR="00FF38FB" w:rsidRPr="00FF38FB" w:rsidRDefault="00FF38FB" w:rsidP="00FF38FB">
      <w:r w:rsidRPr="00FF38FB">
        <w:t xml:space="preserve">6. </w:t>
      </w:r>
      <w:r w:rsidRPr="00D70542">
        <w:rPr>
          <w:u w:val="single"/>
        </w:rPr>
        <w:t>Местоположение</w:t>
      </w:r>
      <w:r w:rsidRPr="00FF38FB">
        <w:t xml:space="preserve">, </w:t>
      </w:r>
      <w:r w:rsidR="00D70542" w:rsidRPr="00D9348D">
        <w:t xml:space="preserve">жилье не </w:t>
      </w:r>
      <w:r w:rsidR="00D70542">
        <w:t>обладает</w:t>
      </w:r>
      <w:r w:rsidR="00D70542" w:rsidRPr="00D9348D">
        <w:t xml:space="preserve"> </w:t>
      </w:r>
      <w:r w:rsidR="00D70542">
        <w:t>удовлетворительными жилищными условиями</w:t>
      </w:r>
      <w:r w:rsidRPr="00FF38FB">
        <w:t xml:space="preserve">, если оно отрезано от возможностей трудоустройства, медицинских услуг, школ, детских садов и других социальных объектов, или если оно находится в опасных </w:t>
      </w:r>
      <w:r w:rsidR="0080059E">
        <w:br/>
      </w:r>
      <w:r w:rsidRPr="00FF38FB">
        <w:t xml:space="preserve">или загрязненных местах или в непосредственной близости от источников загрязнения; </w:t>
      </w:r>
      <w:r w:rsidR="0080059E">
        <w:br/>
      </w:r>
      <w:r w:rsidRPr="00FF38FB">
        <w:t>а также</w:t>
      </w:r>
    </w:p>
    <w:p w:rsidR="00D9348D" w:rsidRPr="00FF38FB" w:rsidRDefault="00FF38FB" w:rsidP="00FF38FB">
      <w:r w:rsidRPr="00FF38FB">
        <w:t xml:space="preserve">7. </w:t>
      </w:r>
      <w:r w:rsidRPr="00D70542">
        <w:rPr>
          <w:u w:val="single"/>
        </w:rPr>
        <w:t xml:space="preserve">Культурная </w:t>
      </w:r>
      <w:r w:rsidR="00D70542">
        <w:rPr>
          <w:u w:val="single"/>
        </w:rPr>
        <w:t>пригодность</w:t>
      </w:r>
      <w:r w:rsidRPr="00FF38FB">
        <w:t xml:space="preserve">, </w:t>
      </w:r>
      <w:r w:rsidR="00D70542" w:rsidRPr="00D9348D">
        <w:t xml:space="preserve">жилье не </w:t>
      </w:r>
      <w:r w:rsidR="00D70542">
        <w:t>обладает</w:t>
      </w:r>
      <w:r w:rsidR="00D70542" w:rsidRPr="00D9348D">
        <w:t xml:space="preserve"> </w:t>
      </w:r>
      <w:r w:rsidR="00D70542">
        <w:t>удовлетворительными жилищными условиями</w:t>
      </w:r>
      <w:r w:rsidRPr="00FF38FB">
        <w:t xml:space="preserve">, если оно </w:t>
      </w:r>
      <w:r w:rsidR="0080059E">
        <w:t>«не уважает</w:t>
      </w:r>
      <w:r w:rsidRPr="00FF38FB">
        <w:t xml:space="preserve"> и не принимает</w:t>
      </w:r>
      <w:r w:rsidR="0080059E">
        <w:t>»</w:t>
      </w:r>
      <w:r w:rsidRPr="00FF38FB">
        <w:t xml:space="preserve"> во внимание выражение культурной самобытности и образа жизни.</w:t>
      </w:r>
    </w:p>
    <w:tbl>
      <w:tblPr>
        <w:tblStyle w:val="TableGrid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583"/>
        <w:gridCol w:w="1221"/>
        <w:gridCol w:w="2549"/>
        <w:gridCol w:w="2622"/>
      </w:tblGrid>
      <w:tr w:rsidR="00D9348D" w:rsidRPr="00F72575" w:rsidTr="00CA2473">
        <w:tc>
          <w:tcPr>
            <w:tcW w:w="8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D9348D" w:rsidP="00272987">
            <w:pPr>
              <w:shd w:val="clear" w:color="auto" w:fill="FFFFFF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F72575">
              <w:rPr>
                <w:rFonts w:cs="Times New Roman"/>
                <w:b/>
                <w:szCs w:val="24"/>
                <w:lang w:val="ru-RU"/>
              </w:rPr>
              <w:t xml:space="preserve">Таблица 1. Критерии определения </w:t>
            </w:r>
            <w:r w:rsidR="006A3D62">
              <w:rPr>
                <w:rFonts w:cs="Times New Roman"/>
                <w:b/>
                <w:szCs w:val="24"/>
                <w:lang w:val="ru-RU"/>
              </w:rPr>
              <w:t>«</w:t>
            </w:r>
            <w:r w:rsidRPr="00F72575">
              <w:rPr>
                <w:rFonts w:cs="Times New Roman"/>
                <w:b/>
                <w:szCs w:val="24"/>
                <w:lang w:val="ru-RU"/>
              </w:rPr>
              <w:t>трущоб</w:t>
            </w:r>
            <w:r w:rsidR="006A3D62">
              <w:rPr>
                <w:rFonts w:cs="Times New Roman"/>
                <w:b/>
                <w:szCs w:val="24"/>
                <w:lang w:val="ru-RU"/>
              </w:rPr>
              <w:t>»</w:t>
            </w:r>
            <w:r w:rsidRPr="00F72575">
              <w:rPr>
                <w:rFonts w:cs="Times New Roman"/>
                <w:b/>
                <w:szCs w:val="24"/>
                <w:lang w:val="ru-RU"/>
              </w:rPr>
              <w:t xml:space="preserve">, </w:t>
            </w:r>
            <w:r w:rsidR="006A3D62">
              <w:rPr>
                <w:rFonts w:cs="Times New Roman"/>
                <w:b/>
                <w:szCs w:val="24"/>
                <w:lang w:val="ru-RU"/>
              </w:rPr>
              <w:t>«</w:t>
            </w:r>
            <w:r w:rsidRPr="00F72575">
              <w:rPr>
                <w:rFonts w:cs="Times New Roman"/>
                <w:b/>
                <w:szCs w:val="24"/>
                <w:lang w:val="ru-RU"/>
              </w:rPr>
              <w:t>неформальных поселений</w:t>
            </w:r>
            <w:r w:rsidR="006A3D62">
              <w:rPr>
                <w:rFonts w:cs="Times New Roman"/>
                <w:b/>
                <w:szCs w:val="24"/>
                <w:lang w:val="ru-RU"/>
              </w:rPr>
              <w:t>»</w:t>
            </w:r>
            <w:r w:rsidRPr="00F72575">
              <w:rPr>
                <w:rFonts w:cs="Times New Roman"/>
                <w:b/>
                <w:szCs w:val="24"/>
                <w:lang w:val="ru-RU"/>
              </w:rPr>
              <w:t xml:space="preserve"> и </w:t>
            </w:r>
            <w:r w:rsidR="006A3D62">
              <w:rPr>
                <w:rFonts w:cs="Times New Roman"/>
                <w:b/>
                <w:szCs w:val="24"/>
                <w:lang w:val="ru-RU"/>
              </w:rPr>
              <w:t>«жилья с неудовлетворительными</w:t>
            </w:r>
            <w:r w:rsidRPr="00F72575">
              <w:rPr>
                <w:rFonts w:cs="Times New Roman"/>
                <w:b/>
                <w:szCs w:val="24"/>
                <w:lang w:val="ru-RU"/>
              </w:rPr>
              <w:t xml:space="preserve"> </w:t>
            </w:r>
            <w:r w:rsidR="006A3D62">
              <w:rPr>
                <w:rFonts w:cs="Times New Roman"/>
                <w:b/>
                <w:szCs w:val="24"/>
                <w:lang w:val="ru-RU"/>
              </w:rPr>
              <w:t>жилищными</w:t>
            </w:r>
            <w:r w:rsidR="00272987">
              <w:rPr>
                <w:rFonts w:cs="Times New Roman"/>
                <w:b/>
                <w:szCs w:val="24"/>
                <w:lang w:val="ru-RU"/>
              </w:rPr>
              <w:t xml:space="preserve"> усл</w:t>
            </w:r>
            <w:r w:rsidRPr="00F72575">
              <w:rPr>
                <w:rFonts w:cs="Times New Roman"/>
                <w:b/>
                <w:szCs w:val="24"/>
                <w:lang w:val="ru-RU"/>
              </w:rPr>
              <w:t>о</w:t>
            </w:r>
            <w:r w:rsidR="00272987">
              <w:rPr>
                <w:rFonts w:cs="Times New Roman"/>
                <w:b/>
                <w:szCs w:val="24"/>
                <w:lang w:val="ru-RU"/>
              </w:rPr>
              <w:t>в</w:t>
            </w:r>
            <w:r w:rsidR="006A3D62">
              <w:rPr>
                <w:rFonts w:cs="Times New Roman"/>
                <w:b/>
                <w:szCs w:val="24"/>
                <w:lang w:val="ru-RU"/>
              </w:rPr>
              <w:t>иями»</w:t>
            </w:r>
          </w:p>
        </w:tc>
      </w:tr>
      <w:tr w:rsidR="00D9348D" w:rsidRPr="00453404" w:rsidTr="00CA2473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D" w:rsidRPr="00F72575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6A3D62" w:rsidP="00E812F4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Т</w:t>
            </w:r>
            <w:r w:rsidR="00D9348D" w:rsidRPr="00F72575">
              <w:rPr>
                <w:rFonts w:cs="Times New Roman"/>
                <w:szCs w:val="24"/>
                <w:lang w:val="ru-RU"/>
              </w:rPr>
              <w:t>рущобы</w:t>
            </w:r>
            <w:r w:rsidR="00D9348D" w:rsidRPr="00F7257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6A3D62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Н</w:t>
            </w:r>
            <w:r w:rsidR="00D9348D" w:rsidRPr="00F72575">
              <w:rPr>
                <w:rFonts w:cs="Times New Roman"/>
                <w:szCs w:val="24"/>
                <w:lang w:val="ru-RU"/>
              </w:rPr>
              <w:t>еформальные поселения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272987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proofErr w:type="spellStart"/>
            <w:r>
              <w:t>Неудовлетворительные</w:t>
            </w:r>
            <w:proofErr w:type="spellEnd"/>
            <w:r w:rsidR="00D9348D" w:rsidRPr="00F72575">
              <w:rPr>
                <w:rFonts w:cs="Times New Roman"/>
                <w:szCs w:val="24"/>
                <w:lang w:val="ru-RU"/>
              </w:rPr>
              <w:t xml:space="preserve"> жилищные условия</w:t>
            </w:r>
          </w:p>
        </w:tc>
      </w:tr>
      <w:tr w:rsidR="00D9348D" w:rsidRPr="00453404" w:rsidTr="00CA2473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125FCE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Доступ к воде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D9348D" w:rsidP="00E812F4">
            <w:pPr>
              <w:shd w:val="clear" w:color="auto" w:fill="FFFFFF"/>
              <w:rPr>
                <w:rFonts w:cs="Times New Roman"/>
                <w:szCs w:val="24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D9348D" w:rsidP="00E812F4">
            <w:pPr>
              <w:shd w:val="clear" w:color="auto" w:fill="FFFFFF"/>
              <w:rPr>
                <w:rFonts w:cs="Times New Roman"/>
                <w:szCs w:val="24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D9348D" w:rsidP="00E812F4">
            <w:pPr>
              <w:shd w:val="clear" w:color="auto" w:fill="FFFFFF"/>
              <w:rPr>
                <w:rFonts w:cs="Times New Roman"/>
                <w:szCs w:val="24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</w:tr>
      <w:tr w:rsidR="00D9348D" w:rsidRPr="00453404" w:rsidTr="00CA2473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6A3D62" w:rsidP="00E812F4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Д</w:t>
            </w:r>
            <w:proofErr w:type="spellStart"/>
            <w:r w:rsidR="00D9348D" w:rsidRPr="00F72575">
              <w:rPr>
                <w:rFonts w:cs="Times New Roman"/>
                <w:szCs w:val="24"/>
              </w:rPr>
              <w:t>оступ</w:t>
            </w:r>
            <w:proofErr w:type="spellEnd"/>
            <w:r w:rsidR="00D9348D" w:rsidRPr="00F72575">
              <w:rPr>
                <w:rFonts w:cs="Times New Roman"/>
                <w:szCs w:val="24"/>
              </w:rPr>
              <w:t xml:space="preserve"> к </w:t>
            </w:r>
            <w:proofErr w:type="spellStart"/>
            <w:r w:rsidR="00D9348D" w:rsidRPr="00F72575">
              <w:rPr>
                <w:rFonts w:cs="Times New Roman"/>
                <w:szCs w:val="24"/>
              </w:rPr>
              <w:t>санитарии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D9348D" w:rsidP="00E812F4">
            <w:pPr>
              <w:shd w:val="clear" w:color="auto" w:fill="FFFFFF"/>
              <w:rPr>
                <w:rFonts w:cs="Times New Roman"/>
                <w:szCs w:val="24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D9348D" w:rsidP="00E812F4">
            <w:pPr>
              <w:shd w:val="clear" w:color="auto" w:fill="FFFFFF"/>
              <w:rPr>
                <w:rFonts w:cs="Times New Roman"/>
                <w:szCs w:val="24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D9348D" w:rsidP="00E812F4">
            <w:pPr>
              <w:shd w:val="clear" w:color="auto" w:fill="FFFFFF"/>
              <w:rPr>
                <w:rFonts w:cs="Times New Roman"/>
                <w:szCs w:val="24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</w:tr>
      <w:tr w:rsidR="00D9348D" w:rsidRPr="00453404" w:rsidTr="00CA2473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6F5D23" w:rsidRDefault="006F5D23" w:rsidP="006F5D23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</w:t>
            </w:r>
            <w:proofErr w:type="spellStart"/>
            <w:r w:rsidR="00D9348D" w:rsidRPr="00F72575">
              <w:rPr>
                <w:rFonts w:cs="Times New Roman"/>
                <w:szCs w:val="24"/>
              </w:rPr>
              <w:t>ос</w:t>
            </w:r>
            <w:r>
              <w:rPr>
                <w:rFonts w:cs="Times New Roman"/>
                <w:szCs w:val="24"/>
              </w:rPr>
              <w:t>таточная</w:t>
            </w:r>
            <w:proofErr w:type="spellEnd"/>
            <w:r>
              <w:rPr>
                <w:rFonts w:cs="Times New Roman"/>
                <w:szCs w:val="24"/>
                <w:lang w:val="ru-RU"/>
              </w:rPr>
              <w:t> </w:t>
            </w:r>
            <w:proofErr w:type="spellStart"/>
            <w:r w:rsidR="00D9348D" w:rsidRPr="00F72575">
              <w:rPr>
                <w:rFonts w:cs="Times New Roman"/>
                <w:szCs w:val="24"/>
              </w:rPr>
              <w:t>жилая</w:t>
            </w:r>
            <w:proofErr w:type="spellEnd"/>
            <w:r w:rsidR="00D9348D" w:rsidRPr="00F72575">
              <w:rPr>
                <w:rFonts w:cs="Times New Roman"/>
                <w:szCs w:val="24"/>
              </w:rPr>
              <w:t xml:space="preserve"> </w:t>
            </w:r>
            <w:proofErr w:type="spellStart"/>
            <w:r w:rsidR="00D9348D" w:rsidRPr="00F72575">
              <w:rPr>
                <w:rFonts w:cs="Times New Roman"/>
                <w:szCs w:val="24"/>
              </w:rPr>
              <w:t>площадь</w:t>
            </w:r>
            <w:proofErr w:type="spellEnd"/>
            <w:r w:rsidR="00D9348D" w:rsidRPr="00F72575">
              <w:rPr>
                <w:rFonts w:cs="Times New Roman"/>
                <w:szCs w:val="24"/>
              </w:rPr>
              <w:t xml:space="preserve">, </w:t>
            </w:r>
            <w:r w:rsidR="00CA2473">
              <w:rPr>
                <w:rFonts w:cs="Times New Roman"/>
                <w:szCs w:val="24"/>
                <w:lang w:val="ru-RU"/>
              </w:rPr>
              <w:t>п</w:t>
            </w:r>
            <w:r w:rsidR="007B3EA7">
              <w:rPr>
                <w:rFonts w:cs="Times New Roman"/>
                <w:szCs w:val="24"/>
                <w:lang w:val="ru-RU"/>
              </w:rPr>
              <w:t>е</w:t>
            </w:r>
            <w:r w:rsidR="00CA2473">
              <w:rPr>
                <w:rFonts w:cs="Times New Roman"/>
                <w:szCs w:val="24"/>
                <w:lang w:val="ru-RU"/>
              </w:rPr>
              <w:t>ренаселенность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D9348D" w:rsidP="00E812F4">
            <w:pPr>
              <w:shd w:val="clear" w:color="auto" w:fill="FFFFFF"/>
              <w:rPr>
                <w:rFonts w:cs="Times New Roman"/>
                <w:szCs w:val="24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D" w:rsidRPr="00F72575" w:rsidRDefault="00D9348D" w:rsidP="00E812F4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D9348D" w:rsidP="00E812F4">
            <w:pPr>
              <w:shd w:val="clear" w:color="auto" w:fill="FFFFFF"/>
              <w:rPr>
                <w:rFonts w:cs="Times New Roman"/>
                <w:szCs w:val="24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</w:tr>
      <w:tr w:rsidR="00D9348D" w:rsidRPr="00453404" w:rsidTr="00CA2473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CA2473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Структурное к</w:t>
            </w:r>
            <w:r w:rsidR="007B3EA7">
              <w:rPr>
                <w:rFonts w:cs="Times New Roman"/>
                <w:szCs w:val="24"/>
                <w:lang w:val="ru-RU"/>
              </w:rPr>
              <w:t>ачество,</w:t>
            </w:r>
            <w:r>
              <w:rPr>
                <w:rFonts w:cs="Times New Roman"/>
                <w:szCs w:val="24"/>
                <w:lang w:val="ru-RU"/>
              </w:rPr>
              <w:br/>
              <w:t>долговечность </w:t>
            </w:r>
            <w:r>
              <w:rPr>
                <w:rFonts w:cs="Times New Roman"/>
                <w:szCs w:val="24"/>
                <w:lang w:val="ru-RU"/>
              </w:rPr>
              <w:br/>
            </w:r>
            <w:r w:rsidR="00D9348D" w:rsidRPr="00F72575">
              <w:rPr>
                <w:rFonts w:cs="Times New Roman"/>
                <w:szCs w:val="24"/>
                <w:lang w:val="ru-RU"/>
              </w:rPr>
              <w:t>и расположение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</w:tr>
      <w:tr w:rsidR="00D9348D" w:rsidRPr="00453404" w:rsidTr="00CA2473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CA2473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Гарантии </w:t>
            </w:r>
            <w:r w:rsidR="00D9348D" w:rsidRPr="00F72575">
              <w:rPr>
                <w:rFonts w:cs="Times New Roman"/>
                <w:szCs w:val="24"/>
                <w:lang w:val="ru-RU"/>
              </w:rPr>
              <w:t>прав владения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</w:tr>
      <w:tr w:rsidR="00D9348D" w:rsidRPr="00453404" w:rsidTr="00CA2473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 w:rsidRPr="00F72575">
              <w:rPr>
                <w:rFonts w:cs="Times New Roman"/>
                <w:szCs w:val="24"/>
                <w:lang w:val="ru-RU"/>
              </w:rPr>
              <w:t>Ценовая приемлемость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</w:tr>
      <w:tr w:rsidR="00D9348D" w:rsidRPr="00453404" w:rsidTr="00CA2473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6A3D62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Доступность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</w:tr>
      <w:tr w:rsidR="00D9348D" w:rsidRPr="00453404" w:rsidTr="00CA2473">
        <w:trPr>
          <w:trHeight w:val="28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F72575" w:rsidRDefault="00D9348D" w:rsidP="006A3D62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 w:rsidRPr="00F72575">
              <w:rPr>
                <w:rFonts w:cs="Times New Roman"/>
                <w:szCs w:val="24"/>
                <w:lang w:val="ru-RU"/>
              </w:rPr>
              <w:t xml:space="preserve">Культурная </w:t>
            </w:r>
            <w:r w:rsidR="006A3D62">
              <w:rPr>
                <w:rFonts w:cs="Times New Roman"/>
                <w:szCs w:val="24"/>
                <w:lang w:val="ru-RU"/>
              </w:rPr>
              <w:t>пригодность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D" w:rsidRPr="00CA2473" w:rsidRDefault="00D9348D" w:rsidP="00E812F4">
            <w:pPr>
              <w:shd w:val="clear" w:color="auto" w:fill="FFFFFF"/>
              <w:rPr>
                <w:rFonts w:cs="Times New Roman"/>
                <w:szCs w:val="24"/>
                <w:lang w:val="ru-RU"/>
              </w:rPr>
            </w:pPr>
            <w:r w:rsidRPr="00F72575">
              <w:rPr>
                <w:rFonts w:cs="Times New Roman"/>
                <w:szCs w:val="24"/>
              </w:rPr>
              <w:t>X</w:t>
            </w:r>
          </w:p>
        </w:tc>
      </w:tr>
    </w:tbl>
    <w:p w:rsidR="00D9348D" w:rsidRPr="00D9348D" w:rsidRDefault="00D9348D" w:rsidP="00C96E43"/>
    <w:p w:rsidR="00407E4E" w:rsidRPr="00F72575" w:rsidRDefault="00407E4E" w:rsidP="00C96E43">
      <w:pPr>
        <w:pStyle w:val="MHeader2"/>
        <w:rPr>
          <w:color w:val="auto"/>
          <w:sz w:val="24"/>
          <w:szCs w:val="24"/>
          <w:lang w:val="ru-RU"/>
        </w:rPr>
      </w:pPr>
      <w:r w:rsidRPr="00F72575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F72575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</w:t>
      </w:r>
      <w:r w:rsidRPr="00F72575">
        <w:rPr>
          <w:b/>
          <w:color w:val="auto"/>
          <w:sz w:val="24"/>
          <w:szCs w:val="24"/>
          <w:lang w:val="ru-RU"/>
        </w:rPr>
        <w:t xml:space="preserve"> </w:t>
      </w:r>
      <w:r w:rsidRPr="00A71EC6">
        <w:rPr>
          <w:b/>
          <w:color w:val="auto"/>
          <w:sz w:val="24"/>
          <w:szCs w:val="24"/>
          <w:lang w:val="ru-RU"/>
        </w:rPr>
        <w:t>измерения</w:t>
      </w:r>
    </w:p>
    <w:p w:rsidR="00407E4E" w:rsidRPr="00F72575" w:rsidRDefault="00A848DD" w:rsidP="00A848DD">
      <w:r>
        <w:t>Доля (процент)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CA2473" w:rsidRDefault="000A229E" w:rsidP="0075371E">
      <w:pPr>
        <w:pStyle w:val="MText"/>
        <w:rPr>
          <w:color w:val="auto"/>
          <w:sz w:val="24"/>
          <w:szCs w:val="24"/>
          <w:lang w:val="ru-RU"/>
        </w:rPr>
      </w:pP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CA2473" w:rsidRDefault="00E87005" w:rsidP="00E87005">
      <w:r w:rsidRPr="00A848DD">
        <w:t>Данные по компонентам показателя трущоб/неформальных поселений м</w:t>
      </w:r>
      <w:r w:rsidR="00CA2473">
        <w:t>огут быть рассчитаны на основе п</w:t>
      </w:r>
      <w:r w:rsidRPr="00A848DD">
        <w:t xml:space="preserve">ереписи населения и национальных обследований домохозяйств, включая DHS </w:t>
      </w:r>
      <w:r>
        <w:t>и</w:t>
      </w:r>
      <w:r w:rsidRPr="00A848DD">
        <w:t xml:space="preserve"> MICS. Данные по компоненту </w:t>
      </w:r>
      <w:r w:rsidR="00272987">
        <w:t>неудовлетворительные</w:t>
      </w:r>
      <w:r>
        <w:t xml:space="preserve"> жилищны</w:t>
      </w:r>
      <w:r w:rsidR="00272987">
        <w:t>е</w:t>
      </w:r>
      <w:r>
        <w:t xml:space="preserve"> услови</w:t>
      </w:r>
      <w:r w:rsidR="00272987">
        <w:t>я</w:t>
      </w:r>
      <w:r w:rsidRPr="00A848DD">
        <w:t xml:space="preserve"> можно рассчитать с помощью обследований доходов и домохозяйств, которые фиксируют расходы на жилье. </w:t>
      </w:r>
    </w:p>
    <w:p w:rsidR="00CA2473" w:rsidRDefault="00E87005" w:rsidP="00E87005">
      <w:r w:rsidRPr="00A848DD">
        <w:t xml:space="preserve">Согласно всем согласованным целям и задачам Повестки дня на период до 2030 года, </w:t>
      </w:r>
      <w:r w:rsidR="0080059E">
        <w:br/>
      </w:r>
      <w:r w:rsidRPr="00A848DD">
        <w:t xml:space="preserve">для измерения достижения этого показателя потребуется мобилизация средств, необходимых для их эффективного мониторинга, что требует активизации партнерских отношений с участием всех стран, всех заинтересованных сторон и сообществ. </w:t>
      </w:r>
    </w:p>
    <w:p w:rsidR="00E87005" w:rsidRPr="00E87005" w:rsidRDefault="00E87005" w:rsidP="00E87005">
      <w:r w:rsidRPr="00A848DD">
        <w:t xml:space="preserve">Что касается первичной отчетности, важную роль в формировании первичных данных будут играть национальные поставщики данных (особенно статистические агентства), которые будут генерировать первичные данные с помощью переписей и обследований. Региональные и глобальные оценки будут получены на основе национальных данных </w:t>
      </w:r>
      <w:r w:rsidR="00CA2473">
        <w:br/>
      </w:r>
      <w:proofErr w:type="gramStart"/>
      <w:r w:rsidRPr="00A848DD">
        <w:t>с</w:t>
      </w:r>
      <w:proofErr w:type="gramEnd"/>
      <w:r w:rsidRPr="00A848DD">
        <w:t xml:space="preserve"> соответствующей </w:t>
      </w:r>
      <w:proofErr w:type="spellStart"/>
      <w:r w:rsidRPr="00A848DD">
        <w:t>дезагрегацией</w:t>
      </w:r>
      <w:proofErr w:type="spellEnd"/>
      <w:r w:rsidRPr="00A848DD">
        <w:t xml:space="preserve">. Будут разработаны и согласованы с местными </w:t>
      </w:r>
      <w:r w:rsidR="0080059E">
        <w:br/>
      </w:r>
      <w:r w:rsidRPr="00A848DD">
        <w:t>и международными заинтересованными сторонами специализированные инструменты. Обеспечение качества использования инструментов, анализа и отчетности будет развернуто на региональном и глобальном уровнях, чтобы обеспечить единообразие стандартов и повсеместное применение определений.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E87005" w:rsidRDefault="00E87005" w:rsidP="00E87005">
      <w:r w:rsidRPr="00E87005">
        <w:t xml:space="preserve">Расчет этого показателя в основном основан на анализе существующих источников данных, включая переписи населения и жилого фонда и обследования домохозяйств, которые содержат информацию обо всех пяти компонентах трущоб: улучшенное водоснабжение, улучшенные санитарные условия, </w:t>
      </w:r>
      <w:r w:rsidR="00CA2473">
        <w:t>долговечное</w:t>
      </w:r>
      <w:r w:rsidRPr="00E87005">
        <w:t xml:space="preserve"> жилье, достаточная жилая площадь и </w:t>
      </w:r>
      <w:r w:rsidR="00CA2473">
        <w:t>гарантии права на</w:t>
      </w:r>
      <w:r w:rsidRPr="00E87005">
        <w:t xml:space="preserve"> владение. </w:t>
      </w:r>
      <w:proofErr w:type="gramStart"/>
      <w:r w:rsidRPr="00E87005">
        <w:t xml:space="preserve">Обследования домохозяйств, репрезентативные </w:t>
      </w:r>
      <w:r w:rsidR="0080059E">
        <w:br/>
      </w:r>
      <w:r w:rsidRPr="00E87005">
        <w:t xml:space="preserve">на национальном уровне, которые обычно собирают информацию о воде, санитарии </w:t>
      </w:r>
      <w:r w:rsidR="0080059E">
        <w:br/>
      </w:r>
      <w:r w:rsidRPr="00E87005">
        <w:t xml:space="preserve">и жилищных условиях, включают обследования неравенства в городах (UIS), </w:t>
      </w:r>
      <w:proofErr w:type="spellStart"/>
      <w:r w:rsidR="00C559ED">
        <w:t>многоиндикаторное</w:t>
      </w:r>
      <w:proofErr w:type="spellEnd"/>
      <w:r w:rsidRPr="00E87005">
        <w:t xml:space="preserve"> </w:t>
      </w:r>
      <w:r w:rsidR="00C559ED">
        <w:t xml:space="preserve">кластерное обследование </w:t>
      </w:r>
      <w:r w:rsidRPr="00E87005">
        <w:t>(MICS), демографические обследования состояния здоровья (DHS), обследования состояния здоровья</w:t>
      </w:r>
      <w:r w:rsidR="00C559ED">
        <w:t xml:space="preserve"> в мире (WHS), уровень жизни и измерительные опросы (LSMS), а</w:t>
      </w:r>
      <w:r w:rsidRPr="00E87005">
        <w:t xml:space="preserve">нкеты основных показателей благосостояния (CWIQ) и другие соответствующие </w:t>
      </w:r>
      <w:r w:rsidR="00C559ED">
        <w:t>обследования</w:t>
      </w:r>
      <w:r w:rsidRPr="00E87005">
        <w:t>.</w:t>
      </w:r>
      <w:proofErr w:type="gramEnd"/>
      <w:r w:rsidRPr="00E87005">
        <w:t xml:space="preserve"> Обследования домохозяйств </w:t>
      </w:r>
      <w:r w:rsidR="0080059E">
        <w:br/>
      </w:r>
      <w:r w:rsidRPr="00E87005">
        <w:t xml:space="preserve">на национальном уровне обычно проводятся каждые 3-5 лет в большинстве развивающихся стран, тогда как переписи обычно проводятся каждые 10 лет. </w:t>
      </w:r>
      <w:r w:rsidR="0080059E">
        <w:br/>
      </w:r>
      <w:r w:rsidRPr="00E87005">
        <w:t xml:space="preserve">На глобальном уровне данные будут </w:t>
      </w:r>
      <w:proofErr w:type="gramStart"/>
      <w:r w:rsidRPr="00E87005">
        <w:t>собираться</w:t>
      </w:r>
      <w:proofErr w:type="gramEnd"/>
      <w:r w:rsidRPr="00E87005">
        <w:t xml:space="preserve"> и компилироваться для международного использования и </w:t>
      </w:r>
      <w:r w:rsidR="00C559ED">
        <w:t xml:space="preserve">сопоставления </w:t>
      </w:r>
      <w:r w:rsidRPr="00E87005">
        <w:t>ООН-</w:t>
      </w:r>
      <w:proofErr w:type="spellStart"/>
      <w:r w:rsidRPr="00E87005">
        <w:t>Хабитат</w:t>
      </w:r>
      <w:proofErr w:type="spellEnd"/>
      <w:r w:rsidRPr="00E87005">
        <w:t xml:space="preserve"> и другими партнерами.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E87005" w:rsidRDefault="00E87005" w:rsidP="00E87005">
      <w:r w:rsidRPr="00E87005">
        <w:t>Все основные обследования и процесс сбора данных переписи будут по-прежнему включать аспекты/компоненты, необходимые для отчетности по этому показателю. Мониторинг этого показателя будет повторяться с регулярными интервалами в 3-5 лет, что позволит создать 3 пятилетних отчетных периода до 2030 года. ООН-</w:t>
      </w:r>
      <w:proofErr w:type="spellStart"/>
      <w:r w:rsidRPr="00E87005">
        <w:t>Хабитат</w:t>
      </w:r>
      <w:proofErr w:type="spellEnd"/>
      <w:r w:rsidRPr="00E87005">
        <w:t xml:space="preserve"> разработала простой шаблон отчетности для сбора данных из стран (https://data. unhabitat.org/</w:t>
      </w:r>
      <w:proofErr w:type="spellStart"/>
      <w:r w:rsidRPr="00E87005">
        <w:t>pages</w:t>
      </w:r>
      <w:proofErr w:type="spellEnd"/>
      <w:r w:rsidRPr="00E87005">
        <w:t>/</w:t>
      </w:r>
      <w:proofErr w:type="spellStart"/>
      <w:r w:rsidRPr="00E87005">
        <w:t>guidance</w:t>
      </w:r>
      <w:proofErr w:type="spellEnd"/>
      <w:r w:rsidRPr="00E87005">
        <w:t>). Ожидается, что шаблон, который ежегодно рассылается странам, будет использоваться до 2030 года, но могут быть внесены небольшие изменения по мере поступления данных по большему количеству аспектов.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E87005" w:rsidRDefault="00E87005" w:rsidP="00E87005">
      <w:proofErr w:type="gramStart"/>
      <w:r w:rsidRPr="00E87005">
        <w:t>Несмотря на то, что за странам</w:t>
      </w:r>
      <w:r w:rsidR="00D35F0C">
        <w:t>и ведется постоянное последовательное</w:t>
      </w:r>
      <w:r w:rsidRPr="00E87005">
        <w:t xml:space="preserve"> наблюдение, а сбор источников данных происходит на ежегодной основе, изменения в тенденциях </w:t>
      </w:r>
      <w:r w:rsidR="0080059E">
        <w:br/>
      </w:r>
      <w:r w:rsidRPr="00E87005">
        <w:t>в отдельных странах, вероятно, будут происходить в течение примерно 3–5 лет, поэтому для всестороннего анализа всех данных будет применяться трехлетний период, при этом обновления будут производиться на основе наличия новы</w:t>
      </w:r>
      <w:r>
        <w:t>х данных</w:t>
      </w:r>
      <w:r w:rsidRPr="00E87005">
        <w:t>.</w:t>
      </w:r>
      <w:proofErr w:type="gramEnd"/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D366AE" w:rsidRPr="00D366AE" w:rsidRDefault="00D366AE" w:rsidP="00D366AE">
      <w:r w:rsidRPr="00D366AE">
        <w:t>Этот показатель во многом был успешным благодаря сотрудничеству между несколькими организациями и учреждениями, включая ООН-</w:t>
      </w:r>
      <w:proofErr w:type="spellStart"/>
      <w:r w:rsidRPr="00D366AE">
        <w:t>Хабитат</w:t>
      </w:r>
      <w:proofErr w:type="spellEnd"/>
      <w:r w:rsidRPr="00D366AE">
        <w:t>, ЮНЕП, Альянс городов, Международную организацию жителей трущоб и Всемирный банк. Есть несколько других экспертов, которые также внесли свой вклад в разработку концеп</w:t>
      </w:r>
      <w:r w:rsidR="00C559ED">
        <w:t xml:space="preserve">ций, обоснования </w:t>
      </w:r>
      <w:r w:rsidR="0080059E">
        <w:br/>
      </w:r>
      <w:r w:rsidR="00C559ED">
        <w:t xml:space="preserve">и определений и </w:t>
      </w:r>
      <w:r w:rsidRPr="00D366AE">
        <w:t xml:space="preserve">метаданных, </w:t>
      </w:r>
      <w:r w:rsidR="00C559ED">
        <w:t>которые</w:t>
      </w:r>
      <w:r w:rsidRPr="00D366AE">
        <w:t xml:space="preserve"> также будут поддерживать измерение, отчетность </w:t>
      </w:r>
      <w:r w:rsidR="0080059E">
        <w:br/>
      </w:r>
      <w:r w:rsidRPr="00D366AE">
        <w:t xml:space="preserve">и политический диалог на </w:t>
      </w:r>
      <w:proofErr w:type="spellStart"/>
      <w:r w:rsidRPr="00D366AE">
        <w:t>страновом</w:t>
      </w:r>
      <w:proofErr w:type="spellEnd"/>
      <w:r w:rsidRPr="00D366AE">
        <w:t xml:space="preserve"> уровне на основе </w:t>
      </w:r>
      <w:r w:rsidR="00F0418C">
        <w:t>показателей</w:t>
      </w:r>
      <w:r w:rsidRPr="00D366AE">
        <w:t>.</w:t>
      </w:r>
    </w:p>
    <w:p w:rsidR="00D366AE" w:rsidRDefault="00D366AE" w:rsidP="00D366AE">
      <w:r w:rsidRPr="00D366AE">
        <w:t xml:space="preserve">Национальные статистические </w:t>
      </w:r>
      <w:r w:rsidR="00C559ED">
        <w:t>службы</w:t>
      </w:r>
      <w:r w:rsidRPr="00D366AE">
        <w:t xml:space="preserve"> будут играть важную роль в процессе мониторинга и отчетности посредством переписей и обследований. Окончательную компиляцию </w:t>
      </w:r>
      <w:r w:rsidR="0080059E">
        <w:br/>
      </w:r>
      <w:r w:rsidRPr="00D366AE">
        <w:t xml:space="preserve">и отчетность на глобальном уровне будет </w:t>
      </w:r>
      <w:proofErr w:type="gramStart"/>
      <w:r w:rsidRPr="00D366AE">
        <w:t>возглавлять</w:t>
      </w:r>
      <w:proofErr w:type="gramEnd"/>
      <w:r w:rsidRPr="00D366AE">
        <w:t xml:space="preserve"> и направлять ООН-</w:t>
      </w:r>
      <w:proofErr w:type="spellStart"/>
      <w:r w:rsidRPr="00D366AE">
        <w:t>Хабитат</w:t>
      </w:r>
      <w:proofErr w:type="spellEnd"/>
      <w:r w:rsidRPr="00D366AE">
        <w:t xml:space="preserve"> </w:t>
      </w:r>
      <w:r w:rsidR="0080059E">
        <w:br/>
      </w:r>
      <w:r w:rsidRPr="00D366AE">
        <w:t>при поддержке отдельных партнеров.</w:t>
      </w:r>
    </w:p>
    <w:p w:rsidR="000A229E" w:rsidRDefault="000A229E" w:rsidP="00D366A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D366AE" w:rsidRPr="00BD29EC" w:rsidRDefault="00D366AE" w:rsidP="00D366AE">
      <w:r>
        <w:t>ООН-</w:t>
      </w:r>
      <w:proofErr w:type="spellStart"/>
      <w:r>
        <w:t>Хабитат</w:t>
      </w:r>
      <w:proofErr w:type="spellEnd"/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F0418C" w:rsidRDefault="00F0418C" w:rsidP="00F0418C">
      <w:r w:rsidRPr="00F0418C">
        <w:t>Программа Организации Объединенных Наций по населенным пунктам (ООН-</w:t>
      </w:r>
      <w:proofErr w:type="spellStart"/>
      <w:r w:rsidRPr="00F0418C">
        <w:t>Хабитат</w:t>
      </w:r>
      <w:proofErr w:type="spellEnd"/>
      <w:r w:rsidRPr="00F0418C">
        <w:t xml:space="preserve">) является специализированным учреждением Организации Объединенных Наций </w:t>
      </w:r>
      <w:r w:rsidR="00FC492D">
        <w:br/>
      </w:r>
      <w:r w:rsidRPr="00F0418C">
        <w:t xml:space="preserve">по вопросам устойчивой урбанизации и населенных пунктов. </w:t>
      </w:r>
      <w:proofErr w:type="gramStart"/>
      <w:r w:rsidRPr="00F0418C">
        <w:t xml:space="preserve">Мандат вытекает </w:t>
      </w:r>
      <w:r w:rsidR="00FC492D">
        <w:br/>
      </w:r>
      <w:r w:rsidRPr="00F0418C">
        <w:t>из приоритетов, установленных в соответствующих резолюциях и решениях Генеральной Ассамблеи, включая резолюцию 3327 (</w:t>
      </w:r>
      <w:r w:rsidRPr="00F0418C">
        <w:rPr>
          <w:lang w:val="en-US"/>
        </w:rPr>
        <w:t>XXIX</w:t>
      </w:r>
      <w:r w:rsidRPr="00F0418C">
        <w:t xml:space="preserve">) Генеральной Ассамблеи, в соответствии </w:t>
      </w:r>
      <w:r w:rsidR="00FC492D">
        <w:br/>
      </w:r>
      <w:r w:rsidRPr="00F0418C">
        <w:t xml:space="preserve">с которой Генеральная Ассамблея учредила Фонд Организации Объединенных Наций </w:t>
      </w:r>
      <w:r w:rsidR="0080059E">
        <w:br/>
      </w:r>
      <w:r w:rsidRPr="00F0418C">
        <w:t xml:space="preserve">для </w:t>
      </w:r>
      <w:proofErr w:type="spellStart"/>
      <w:r w:rsidRPr="00F0418C">
        <w:t>Хабитат</w:t>
      </w:r>
      <w:proofErr w:type="spellEnd"/>
      <w:r w:rsidRPr="00F0418C">
        <w:t xml:space="preserve"> и населенных пунктов, и резолюцию 32/162, в соответствии с которой Ассамблея учредила Центр Организации Объединенных Наций по населенным пунктам (</w:t>
      </w:r>
      <w:proofErr w:type="spellStart"/>
      <w:r w:rsidRPr="00F0418C">
        <w:t>Хабитат</w:t>
      </w:r>
      <w:proofErr w:type="spellEnd"/>
      <w:r w:rsidRPr="00F0418C">
        <w:t>).</w:t>
      </w:r>
      <w:proofErr w:type="gramEnd"/>
      <w:r w:rsidRPr="00F0418C">
        <w:t xml:space="preserve"> </w:t>
      </w:r>
      <w:r w:rsidR="00FC492D">
        <w:br/>
      </w:r>
      <w:r w:rsidRPr="00F0418C">
        <w:t xml:space="preserve">В 2001 году своей резолюцией 56/206 Генеральная Ассамблея преобразовала </w:t>
      </w:r>
      <w:proofErr w:type="spellStart"/>
      <w:r w:rsidRPr="00F0418C">
        <w:t>Хабитат</w:t>
      </w:r>
      <w:proofErr w:type="spellEnd"/>
      <w:r w:rsidRPr="00F0418C">
        <w:t xml:space="preserve"> </w:t>
      </w:r>
      <w:r w:rsidR="00FC492D">
        <w:br/>
      </w:r>
      <w:r w:rsidRPr="00F0418C">
        <w:t>в секретариат Программы Организации Объединенных Наций по населенным пунктам (ООН-</w:t>
      </w:r>
      <w:proofErr w:type="spellStart"/>
      <w:r w:rsidRPr="00F0418C">
        <w:t>Хабитат</w:t>
      </w:r>
      <w:proofErr w:type="spellEnd"/>
      <w:r w:rsidRPr="00F0418C">
        <w:t>) с мандатом на координацию деятельности в области населенных пунктов в рамках системы Организации Объединенных Наций. Таким образом, ООН-</w:t>
      </w:r>
      <w:proofErr w:type="spellStart"/>
      <w:r w:rsidRPr="00F0418C">
        <w:t>Хабитат</w:t>
      </w:r>
      <w:proofErr w:type="spellEnd"/>
      <w:r w:rsidRPr="00F0418C">
        <w:t xml:space="preserve"> была назначена общим координатором ЦУР 11 и, в частности, куратором 9 из 14 показателей в рамках ЦУР 11, включая показатель 11.1.1. ООН-</w:t>
      </w:r>
      <w:proofErr w:type="spellStart"/>
      <w:r w:rsidRPr="00F0418C">
        <w:t>Хабитат</w:t>
      </w:r>
      <w:proofErr w:type="spellEnd"/>
      <w:r w:rsidRPr="00F0418C">
        <w:t xml:space="preserve"> также поддерживает мониторинг и отчетность по 4 конкретным городским показателям в рамках других целей.</w:t>
      </w: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F0418C" w:rsidRPr="00F0418C" w:rsidRDefault="002E15F9" w:rsidP="00F0418C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B86652" w:rsidRDefault="00FC492D" w:rsidP="000F5A9E">
      <w:r>
        <w:t>Как видно из Т</w:t>
      </w:r>
      <w:r w:rsidR="00B86652" w:rsidRPr="00B86652">
        <w:t xml:space="preserve">аблицы 1, большинство критериев определения трущоб, неформальных поселений и </w:t>
      </w:r>
      <w:r w:rsidR="00A16A75">
        <w:t>неудовлетворительных жилищных условий</w:t>
      </w:r>
      <w:r w:rsidR="00B86652" w:rsidRPr="00B86652">
        <w:t xml:space="preserve"> частично совпадают. </w:t>
      </w:r>
      <w:r>
        <w:br/>
      </w:r>
      <w:r w:rsidR="00B86652" w:rsidRPr="00B86652">
        <w:t xml:space="preserve">Три критерия неформальных поселений в основном отражены в определении трущоб, которое поддерживает их сочетание (трущобы/неформальные поселения). Таким образом, оба аспекта трущоб и неформальных поселений объединены в один компонент показателя, что обеспечивает некоторую преемственность с тем, что было отражено </w:t>
      </w:r>
      <w:r>
        <w:br/>
      </w:r>
      <w:r w:rsidR="00B86652" w:rsidRPr="00B86652">
        <w:t xml:space="preserve">в ЦРТ 7. На более позднем этапе будет разработан сводный индекс, который будет включать все показатели (объединение трущоб/неформальных поселений </w:t>
      </w:r>
      <w:r>
        <w:br/>
      </w:r>
      <w:r w:rsidR="00B86652" w:rsidRPr="00B86652">
        <w:t xml:space="preserve">и </w:t>
      </w:r>
      <w:r w:rsidR="00756567">
        <w:t>н</w:t>
      </w:r>
      <w:r w:rsidR="00272987">
        <w:t>еудовлетворительные</w:t>
      </w:r>
      <w:r w:rsidR="00B86652">
        <w:t xml:space="preserve"> жилищные условия</w:t>
      </w:r>
      <w:r w:rsidR="00B86652" w:rsidRPr="00B86652">
        <w:t>) и представит одну оценку.</w:t>
      </w:r>
    </w:p>
    <w:p w:rsidR="00B86652" w:rsidRDefault="007B3EA7" w:rsidP="00F0418C">
      <w:r>
        <w:t xml:space="preserve">Второй компонент </w:t>
      </w:r>
      <w:r w:rsidR="00B86652" w:rsidRPr="00B86652">
        <w:t xml:space="preserve">показателя – </w:t>
      </w:r>
      <w:r w:rsidR="00756567">
        <w:t>неудовлетворительные</w:t>
      </w:r>
      <w:r w:rsidR="00B86652">
        <w:t xml:space="preserve"> жилищные условия</w:t>
      </w:r>
      <w:r w:rsidR="00B86652" w:rsidRPr="00B86652">
        <w:t xml:space="preserve">. Из семи критериев надлежащего жилья три, которые не охватываются трущобами/неформальными поселениями, — это </w:t>
      </w:r>
      <w:r w:rsidR="008B553A" w:rsidRPr="007B3EA7">
        <w:rPr>
          <w:i/>
        </w:rPr>
        <w:t>ценовая приемлемость</w:t>
      </w:r>
      <w:r w:rsidR="00B86652" w:rsidRPr="00B86652">
        <w:t xml:space="preserve">, </w:t>
      </w:r>
      <w:r w:rsidR="00B86652" w:rsidRPr="007B3EA7">
        <w:rPr>
          <w:i/>
        </w:rPr>
        <w:t>доступность</w:t>
      </w:r>
      <w:r w:rsidR="00B86652" w:rsidRPr="00B86652">
        <w:t xml:space="preserve"> и </w:t>
      </w:r>
      <w:r w:rsidR="00B86652" w:rsidRPr="007B3EA7">
        <w:rPr>
          <w:i/>
        </w:rPr>
        <w:t xml:space="preserve">культурная </w:t>
      </w:r>
      <w:r w:rsidRPr="007B3EA7">
        <w:rPr>
          <w:i/>
        </w:rPr>
        <w:t>пригодность</w:t>
      </w:r>
      <w:r w:rsidR="00B86652" w:rsidRPr="00B86652">
        <w:t xml:space="preserve">. </w:t>
      </w:r>
      <w:r>
        <w:br/>
      </w:r>
      <w:r w:rsidR="00B86652" w:rsidRPr="00B86652">
        <w:t xml:space="preserve">Тем не менее, </w:t>
      </w:r>
      <w:r w:rsidR="008B553A">
        <w:t>критерий ценовой приемлемости</w:t>
      </w:r>
      <w:r w:rsidR="00B86652" w:rsidRPr="00B86652">
        <w:t xml:space="preserve"> является наиболее важным и более легким для измерения</w:t>
      </w:r>
      <w:r w:rsidR="00F0418C">
        <w:t>.</w:t>
      </w:r>
      <w:r>
        <w:tab/>
      </w:r>
    </w:p>
    <w:p w:rsidR="007B3EA7" w:rsidRDefault="008B553A" w:rsidP="007B3EA7">
      <w:pPr>
        <w:spacing w:after="0"/>
      </w:pPr>
      <w:r w:rsidRPr="008B553A">
        <w:t xml:space="preserve">В связи с этим </w:t>
      </w:r>
      <w:r w:rsidRPr="007B3EA7">
        <w:rPr>
          <w:i/>
        </w:rPr>
        <w:t>ценовая приемлемость</w:t>
      </w:r>
      <w:r w:rsidRPr="008B553A">
        <w:t xml:space="preserve"> является не только ключевым критерием достаточности жилья, но и подходящим средством измерения </w:t>
      </w:r>
      <w:r w:rsidR="00756567">
        <w:t>неудовлетворительных</w:t>
      </w:r>
      <w:r>
        <w:t xml:space="preserve"> жилищных условий</w:t>
      </w:r>
      <w:r w:rsidRPr="008B553A">
        <w:t xml:space="preserve"> </w:t>
      </w:r>
      <w:proofErr w:type="gramStart"/>
      <w:r w:rsidRPr="008B553A">
        <w:t>более всеобъемлющим</w:t>
      </w:r>
      <w:proofErr w:type="gramEnd"/>
      <w:r w:rsidRPr="008B553A">
        <w:t xml:space="preserve"> образом, поскольку она остается глобальной проблемой в разных странах и с разными уровнями доходов, оказывая сильное негативное воздейс</w:t>
      </w:r>
      <w:r>
        <w:t>твие на показатель неравенства в городах.</w:t>
      </w:r>
      <w:r w:rsidRPr="008B553A">
        <w:t xml:space="preserve"> Основополагающий принцип заключается в том, что финансовые расходы домашних хозяйств, связанные с жильем, не должны угрожать или ставить под угрозу достижение и удовлетворение других основных потребностей, таких как питание, образование, доступ к медицинском</w:t>
      </w:r>
      <w:r w:rsidR="007B3EA7">
        <w:t>у обслуживанию, транспорту и т.</w:t>
      </w:r>
      <w:r w:rsidRPr="008B553A">
        <w:t>д. На основе существующего метода и данных</w:t>
      </w:r>
      <w:r w:rsidR="007B3EA7">
        <w:t>, в</w:t>
      </w:r>
      <w:r w:rsidRPr="008B553A">
        <w:t xml:space="preserve"> рамках Программы городских показателей </w:t>
      </w:r>
      <w:r>
        <w:t>ООН-</w:t>
      </w:r>
      <w:proofErr w:type="spellStart"/>
      <w:r>
        <w:t>Хабитат</w:t>
      </w:r>
      <w:proofErr w:type="spellEnd"/>
      <w:r w:rsidRPr="008B553A">
        <w:t xml:space="preserve"> (1996–2006 гг.)</w:t>
      </w:r>
      <w:r w:rsidR="007B3EA7">
        <w:t>,</w:t>
      </w:r>
      <w:r w:rsidRPr="008B553A">
        <w:t xml:space="preserve"> недоступность в настоящее время измеряется как чистые ежемесячные расходы на стоимость жилья, превышающие 30% от общего ежемесячного дохода домохозяйства. </w:t>
      </w:r>
    </w:p>
    <w:p w:rsidR="008B553A" w:rsidRDefault="008B553A" w:rsidP="008B553A">
      <w:r w:rsidRPr="008B553A">
        <w:t xml:space="preserve">В Таблице 2 приводится предлагаемое определение </w:t>
      </w:r>
      <w:r w:rsidR="007B3EA7">
        <w:t>«</w:t>
      </w:r>
      <w:r w:rsidRPr="008B553A">
        <w:t>трущоб/</w:t>
      </w:r>
      <w:r w:rsidR="007B3EA7">
        <w:t>н</w:t>
      </w:r>
      <w:r w:rsidRPr="008B553A">
        <w:t>еформальных поселений</w:t>
      </w:r>
      <w:r w:rsidR="007B3EA7">
        <w:t>»</w:t>
      </w:r>
      <w:r w:rsidRPr="008B553A">
        <w:t xml:space="preserve"> и</w:t>
      </w:r>
      <w:r>
        <w:t xml:space="preserve"> </w:t>
      </w:r>
      <w:r w:rsidR="007B3EA7">
        <w:t>«</w:t>
      </w:r>
      <w:r w:rsidR="00756567">
        <w:t>неудовлетворительных</w:t>
      </w:r>
      <w:r>
        <w:t xml:space="preserve"> жилищных условий</w:t>
      </w:r>
      <w:r w:rsidR="007B3EA7">
        <w:t>»</w:t>
      </w:r>
      <w:r w:rsidRPr="008B553A">
        <w:t>, а также соответствующие измерения.</w:t>
      </w:r>
    </w:p>
    <w:p w:rsidR="00F72575" w:rsidRPr="008B553A" w:rsidRDefault="008B553A" w:rsidP="008B553A">
      <w:pPr>
        <w:rPr>
          <w:rFonts w:eastAsia="Times New Roman" w:cs="Times New Roman"/>
          <w:b/>
          <w:lang w:eastAsia="en-GB"/>
        </w:rPr>
      </w:pPr>
      <w:r w:rsidRPr="008B553A">
        <w:rPr>
          <w:b/>
        </w:rPr>
        <w:t xml:space="preserve">Таблица 2 – Критерии определения и измерения трущоб, неформальных поселений и </w:t>
      </w:r>
      <w:r w:rsidR="00A16A75">
        <w:rPr>
          <w:b/>
        </w:rPr>
        <w:t>неудовлетворительных жилищных условий</w:t>
      </w:r>
    </w:p>
    <w:tbl>
      <w:tblPr>
        <w:tblW w:w="9434" w:type="dxa"/>
        <w:jc w:val="center"/>
        <w:tblLook w:val="04A0" w:firstRow="1" w:lastRow="0" w:firstColumn="1" w:lastColumn="0" w:noHBand="0" w:noVBand="1"/>
      </w:tblPr>
      <w:tblGrid>
        <w:gridCol w:w="2476"/>
        <w:gridCol w:w="2731"/>
        <w:gridCol w:w="4227"/>
      </w:tblGrid>
      <w:tr w:rsidR="00F72575" w:rsidRPr="00A85E93" w:rsidTr="00E812F4">
        <w:trPr>
          <w:trHeight w:val="88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75" w:rsidRPr="00A16A75" w:rsidRDefault="008B553A" w:rsidP="00C7061E">
            <w:pPr>
              <w:pStyle w:val="MText"/>
              <w:rPr>
                <w:b/>
                <w:color w:val="auto"/>
                <w:szCs w:val="24"/>
                <w:lang w:val="ru-RU"/>
              </w:rPr>
            </w:pPr>
            <w:r w:rsidRPr="00A16A75">
              <w:rPr>
                <w:b/>
                <w:color w:val="auto"/>
                <w:szCs w:val="24"/>
                <w:lang w:val="ru-RU"/>
              </w:rPr>
              <w:t>Трущобы</w:t>
            </w:r>
            <w:r w:rsidR="00F72575" w:rsidRPr="00A16A75">
              <w:rPr>
                <w:b/>
                <w:color w:val="auto"/>
                <w:szCs w:val="24"/>
                <w:lang w:val="en-US"/>
              </w:rPr>
              <w:t xml:space="preserve"> / </w:t>
            </w:r>
            <w:r w:rsidR="00C7061E" w:rsidRPr="00A16A75">
              <w:rPr>
                <w:b/>
                <w:color w:val="auto"/>
                <w:szCs w:val="24"/>
                <w:lang w:val="ru-RU"/>
              </w:rPr>
              <w:t>Неформальные поселения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75" w:rsidRPr="00A16A75" w:rsidRDefault="00C7061E" w:rsidP="00F72575">
            <w:pPr>
              <w:pStyle w:val="MText"/>
              <w:rPr>
                <w:b/>
                <w:color w:val="auto"/>
                <w:szCs w:val="24"/>
                <w:lang w:val="ru-RU"/>
              </w:rPr>
            </w:pPr>
            <w:r w:rsidRPr="00A16A75">
              <w:rPr>
                <w:b/>
                <w:color w:val="auto"/>
                <w:szCs w:val="24"/>
                <w:lang w:val="ru-RU"/>
              </w:rPr>
              <w:t>Определение</w:t>
            </w:r>
            <w:r w:rsidR="00F72575" w:rsidRPr="00A16A75">
              <w:rPr>
                <w:b/>
                <w:color w:val="auto"/>
                <w:szCs w:val="24"/>
                <w:lang w:val="ru-RU"/>
              </w:rPr>
              <w:t>:</w:t>
            </w:r>
          </w:p>
          <w:p w:rsidR="00F72575" w:rsidRPr="00A16A75" w:rsidRDefault="00C7061E" w:rsidP="00F72575">
            <w:pPr>
              <w:pStyle w:val="MText"/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 xml:space="preserve">Согласно ЦРТ, </w:t>
            </w:r>
            <w:r w:rsidR="007B3EA7">
              <w:rPr>
                <w:color w:val="auto"/>
                <w:szCs w:val="24"/>
                <w:lang w:val="ru-RU"/>
              </w:rPr>
              <w:t xml:space="preserve">домохозяйства </w:t>
            </w:r>
            <w:r w:rsidRPr="00A16A75">
              <w:rPr>
                <w:color w:val="auto"/>
                <w:szCs w:val="24"/>
                <w:lang w:val="ru-RU"/>
              </w:rPr>
              <w:t>трущ</w:t>
            </w:r>
            <w:r w:rsidR="007B3EA7">
              <w:rPr>
                <w:color w:val="auto"/>
                <w:szCs w:val="24"/>
                <w:lang w:val="ru-RU"/>
              </w:rPr>
              <w:t xml:space="preserve">об </w:t>
            </w:r>
            <w:r w:rsidRPr="00A16A75">
              <w:rPr>
                <w:color w:val="auto"/>
                <w:szCs w:val="24"/>
                <w:lang w:val="ru-RU"/>
              </w:rPr>
              <w:t>— это домохозяйства, члены которых страдают от одного или нескольких из следующих «лишений</w:t>
            </w:r>
            <w:r w:rsidR="007B3EA7">
              <w:rPr>
                <w:color w:val="auto"/>
                <w:szCs w:val="24"/>
                <w:lang w:val="ru-RU"/>
              </w:rPr>
              <w:t xml:space="preserve"> домохозяйств</w:t>
            </w:r>
            <w:r w:rsidRPr="00A16A75">
              <w:rPr>
                <w:color w:val="auto"/>
                <w:szCs w:val="24"/>
                <w:lang w:val="ru-RU"/>
              </w:rPr>
              <w:t xml:space="preserve">»: </w:t>
            </w:r>
            <w:r w:rsidR="007B3EA7">
              <w:rPr>
                <w:color w:val="auto"/>
                <w:szCs w:val="24"/>
                <w:lang w:val="ru-RU"/>
              </w:rPr>
              <w:br/>
            </w:r>
            <w:r w:rsidRPr="00A16A75">
              <w:rPr>
                <w:color w:val="auto"/>
                <w:szCs w:val="24"/>
                <w:lang w:val="ru-RU"/>
              </w:rPr>
              <w:t xml:space="preserve">1) </w:t>
            </w:r>
            <w:r w:rsidR="007B3EA7">
              <w:rPr>
                <w:color w:val="auto"/>
                <w:szCs w:val="24"/>
                <w:lang w:val="ru-RU"/>
              </w:rPr>
              <w:t>недостаток</w:t>
            </w:r>
            <w:r w:rsidRPr="00A16A75">
              <w:rPr>
                <w:color w:val="auto"/>
                <w:szCs w:val="24"/>
                <w:lang w:val="ru-RU"/>
              </w:rPr>
              <w:t xml:space="preserve"> доступа к улучшенным источникам воды, 2) </w:t>
            </w:r>
            <w:r w:rsidR="007B3EA7">
              <w:rPr>
                <w:color w:val="auto"/>
                <w:szCs w:val="24"/>
                <w:lang w:val="ru-RU"/>
              </w:rPr>
              <w:t xml:space="preserve">недостаток </w:t>
            </w:r>
            <w:r w:rsidRPr="00A16A75">
              <w:rPr>
                <w:color w:val="auto"/>
                <w:szCs w:val="24"/>
                <w:lang w:val="ru-RU"/>
              </w:rPr>
              <w:t xml:space="preserve">доступа к улучшенным санитарно-техническим средствам, 3) </w:t>
            </w:r>
            <w:r w:rsidR="007B3EA7">
              <w:rPr>
                <w:color w:val="auto"/>
                <w:szCs w:val="24"/>
                <w:lang w:val="ru-RU"/>
              </w:rPr>
              <w:t>недостаток</w:t>
            </w:r>
            <w:r w:rsidR="005F4F87">
              <w:rPr>
                <w:color w:val="auto"/>
                <w:szCs w:val="24"/>
                <w:lang w:val="ru-RU"/>
              </w:rPr>
              <w:t xml:space="preserve"> достаточной жилой площади, 4) недолговечное жилье и, 5) о</w:t>
            </w:r>
            <w:r w:rsidRPr="00A16A75">
              <w:rPr>
                <w:color w:val="auto"/>
                <w:szCs w:val="24"/>
                <w:lang w:val="ru-RU"/>
              </w:rPr>
              <w:t>тсутствие гарантий владения.</w:t>
            </w:r>
          </w:p>
          <w:p w:rsidR="00F72575" w:rsidRPr="00A16A75" w:rsidRDefault="00F72575" w:rsidP="00F72575">
            <w:pPr>
              <w:pStyle w:val="MText"/>
              <w:rPr>
                <w:color w:val="auto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75" w:rsidRPr="00A16A75" w:rsidRDefault="00C7061E" w:rsidP="00F72575">
            <w:pPr>
              <w:pStyle w:val="MText"/>
              <w:rPr>
                <w:b/>
                <w:color w:val="auto"/>
                <w:szCs w:val="24"/>
                <w:lang w:val="en-US"/>
              </w:rPr>
            </w:pPr>
            <w:r w:rsidRPr="00A16A75">
              <w:rPr>
                <w:b/>
                <w:color w:val="auto"/>
                <w:szCs w:val="24"/>
                <w:lang w:val="ru-RU"/>
              </w:rPr>
              <w:t>Измерение</w:t>
            </w:r>
            <w:r w:rsidR="00F72575" w:rsidRPr="00A16A75">
              <w:rPr>
                <w:b/>
                <w:color w:val="auto"/>
                <w:szCs w:val="24"/>
                <w:vertAlign w:val="superscript"/>
                <w:lang w:val="en-US"/>
              </w:rPr>
              <w:footnoteReference w:id="12"/>
            </w:r>
            <w:r w:rsidR="00F72575" w:rsidRPr="00A16A75">
              <w:rPr>
                <w:b/>
                <w:color w:val="auto"/>
                <w:szCs w:val="24"/>
                <w:lang w:val="en-US"/>
              </w:rPr>
              <w:t>:</w:t>
            </w:r>
          </w:p>
          <w:p w:rsidR="00F72575" w:rsidRPr="00A16A75" w:rsidRDefault="00D5011E" w:rsidP="00F72575">
            <w:pPr>
              <w:pStyle w:val="MText"/>
              <w:rPr>
                <w:i/>
                <w:color w:val="auto"/>
                <w:szCs w:val="24"/>
                <w:lang w:val="en-US"/>
              </w:rPr>
            </w:pPr>
            <w:r w:rsidRPr="00A16A75">
              <w:rPr>
                <w:i/>
                <w:color w:val="auto"/>
                <w:szCs w:val="24"/>
                <w:lang w:val="ru-RU"/>
              </w:rPr>
              <w:t>Гарантия владения</w:t>
            </w:r>
            <w:r w:rsidR="00F72575" w:rsidRPr="00A16A75">
              <w:rPr>
                <w:i/>
                <w:color w:val="auto"/>
                <w:szCs w:val="24"/>
                <w:lang w:val="en-US"/>
              </w:rPr>
              <w:t>:</w:t>
            </w:r>
          </w:p>
          <w:p w:rsidR="00F72575" w:rsidRPr="00A16A75" w:rsidRDefault="00D5011E" w:rsidP="00D35F0C">
            <w:pPr>
              <w:pStyle w:val="MText"/>
              <w:numPr>
                <w:ilvl w:val="0"/>
                <w:numId w:val="5"/>
              </w:numPr>
              <w:jc w:val="left"/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 xml:space="preserve">Доля домохозяйств, имеющих официальные документы о праве </w:t>
            </w:r>
            <w:proofErr w:type="gramStart"/>
            <w:r w:rsidRPr="00A16A75">
              <w:rPr>
                <w:color w:val="auto"/>
                <w:szCs w:val="24"/>
                <w:lang w:val="ru-RU"/>
              </w:rPr>
              <w:t>собственности</w:t>
            </w:r>
            <w:proofErr w:type="gramEnd"/>
            <w:r w:rsidRPr="00A16A75">
              <w:rPr>
                <w:color w:val="auto"/>
                <w:szCs w:val="24"/>
                <w:lang w:val="ru-RU"/>
              </w:rPr>
              <w:t xml:space="preserve"> как на землю, </w:t>
            </w:r>
            <w:r w:rsidR="00D35F0C">
              <w:rPr>
                <w:color w:val="auto"/>
                <w:szCs w:val="24"/>
                <w:lang w:val="ru-RU"/>
              </w:rPr>
              <w:br/>
            </w:r>
            <w:r w:rsidRPr="00A16A75">
              <w:rPr>
                <w:color w:val="auto"/>
                <w:szCs w:val="24"/>
                <w:lang w:val="ru-RU"/>
              </w:rPr>
              <w:t>так и на жилье</w:t>
            </w:r>
            <w:r w:rsidR="00F72575" w:rsidRPr="00A16A75">
              <w:rPr>
                <w:color w:val="auto"/>
                <w:szCs w:val="24"/>
                <w:lang w:val="ru-RU"/>
              </w:rPr>
              <w:t>.</w:t>
            </w:r>
          </w:p>
          <w:p w:rsidR="00F72575" w:rsidRPr="00A16A75" w:rsidRDefault="00A85E93" w:rsidP="00D35F0C">
            <w:pPr>
              <w:pStyle w:val="MText"/>
              <w:numPr>
                <w:ilvl w:val="0"/>
                <w:numId w:val="5"/>
              </w:numPr>
              <w:jc w:val="left"/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 xml:space="preserve">Доля домохозяйств </w:t>
            </w:r>
            <w:r w:rsidR="00D35F0C">
              <w:rPr>
                <w:color w:val="auto"/>
                <w:szCs w:val="24"/>
                <w:lang w:val="ru-RU"/>
              </w:rPr>
              <w:br/>
            </w:r>
            <w:r w:rsidRPr="00A16A75">
              <w:rPr>
                <w:color w:val="auto"/>
                <w:szCs w:val="24"/>
                <w:lang w:val="ru-RU"/>
              </w:rPr>
              <w:t xml:space="preserve">с официальными документами </w:t>
            </w:r>
            <w:r w:rsidR="00D35F0C">
              <w:rPr>
                <w:color w:val="auto"/>
                <w:szCs w:val="24"/>
                <w:lang w:val="ru-RU"/>
              </w:rPr>
              <w:br/>
            </w:r>
            <w:r w:rsidRPr="00A16A75">
              <w:rPr>
                <w:color w:val="auto"/>
                <w:szCs w:val="24"/>
                <w:lang w:val="ru-RU"/>
              </w:rPr>
              <w:t xml:space="preserve">о праве собственности </w:t>
            </w:r>
            <w:r w:rsidR="005F4F87">
              <w:rPr>
                <w:color w:val="auto"/>
                <w:szCs w:val="24"/>
                <w:lang w:val="ru-RU"/>
              </w:rPr>
              <w:t xml:space="preserve">либо </w:t>
            </w:r>
            <w:r w:rsidR="00D35F0C">
              <w:rPr>
                <w:color w:val="auto"/>
                <w:szCs w:val="24"/>
                <w:lang w:val="ru-RU"/>
              </w:rPr>
              <w:br/>
            </w:r>
            <w:r w:rsidR="005F4F87">
              <w:rPr>
                <w:color w:val="auto"/>
                <w:szCs w:val="24"/>
                <w:lang w:val="ru-RU"/>
              </w:rPr>
              <w:t>на землю, либо на жилье</w:t>
            </w:r>
            <w:r w:rsidR="00F72575" w:rsidRPr="00A16A75">
              <w:rPr>
                <w:color w:val="auto"/>
                <w:szCs w:val="24"/>
                <w:lang w:val="ru-RU"/>
              </w:rPr>
              <w:t>.</w:t>
            </w:r>
          </w:p>
          <w:p w:rsidR="00F72575" w:rsidRPr="00A16A75" w:rsidRDefault="00A85E93" w:rsidP="00A85E93">
            <w:pPr>
              <w:pStyle w:val="MText"/>
              <w:numPr>
                <w:ilvl w:val="0"/>
                <w:numId w:val="5"/>
              </w:numPr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 xml:space="preserve">Доля домохозяйств с </w:t>
            </w:r>
            <w:r w:rsidR="005F4F87">
              <w:rPr>
                <w:color w:val="auto"/>
                <w:szCs w:val="24"/>
                <w:lang w:val="ru-RU"/>
              </w:rPr>
              <w:t>соглашениями</w:t>
            </w:r>
            <w:r w:rsidRPr="00A16A75">
              <w:rPr>
                <w:color w:val="auto"/>
                <w:szCs w:val="24"/>
                <w:lang w:val="ru-RU"/>
              </w:rPr>
              <w:t xml:space="preserve"> или любыми документами, подтверждающими право </w:t>
            </w:r>
            <w:r w:rsidR="005F4F87">
              <w:rPr>
                <w:color w:val="auto"/>
                <w:szCs w:val="24"/>
                <w:lang w:val="ru-RU"/>
              </w:rPr>
              <w:t>владения</w:t>
            </w:r>
            <w:r w:rsidR="00F72575" w:rsidRPr="00A16A75">
              <w:rPr>
                <w:color w:val="auto"/>
                <w:szCs w:val="24"/>
                <w:lang w:val="ru-RU"/>
              </w:rPr>
              <w:t>.</w:t>
            </w:r>
          </w:p>
          <w:p w:rsidR="00F72575" w:rsidRPr="00A16A75" w:rsidRDefault="00F72575" w:rsidP="00F72575">
            <w:pPr>
              <w:pStyle w:val="MText"/>
              <w:rPr>
                <w:color w:val="auto"/>
                <w:szCs w:val="24"/>
                <w:lang w:val="ru-RU"/>
              </w:rPr>
            </w:pPr>
          </w:p>
          <w:p w:rsidR="00F72575" w:rsidRPr="00A16A75" w:rsidRDefault="00A85E93" w:rsidP="00F72575">
            <w:pPr>
              <w:pStyle w:val="MText"/>
              <w:rPr>
                <w:i/>
                <w:color w:val="auto"/>
                <w:szCs w:val="24"/>
                <w:lang w:val="ru-RU"/>
              </w:rPr>
            </w:pPr>
            <w:r w:rsidRPr="00A16A75">
              <w:rPr>
                <w:i/>
                <w:color w:val="auto"/>
                <w:szCs w:val="24"/>
                <w:lang w:val="ru-RU"/>
              </w:rPr>
              <w:t>Доступ к улучшенным источникам воды</w:t>
            </w:r>
            <w:r w:rsidR="00F72575" w:rsidRPr="00A16A75">
              <w:rPr>
                <w:i/>
                <w:color w:val="auto"/>
                <w:szCs w:val="24"/>
                <w:lang w:val="ru-RU"/>
              </w:rPr>
              <w:t>:</w:t>
            </w:r>
          </w:p>
          <w:p w:rsidR="00F72575" w:rsidRDefault="00A85E93" w:rsidP="00A85E93">
            <w:pPr>
              <w:pStyle w:val="MText"/>
              <w:numPr>
                <w:ilvl w:val="0"/>
                <w:numId w:val="6"/>
              </w:numPr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 xml:space="preserve">Доля домохозяйств, члены которых имеют доступ к улучшенным источникам питьевой воды (например, водопроводная вода </w:t>
            </w:r>
            <w:r w:rsidR="00D35F0C">
              <w:rPr>
                <w:color w:val="auto"/>
                <w:szCs w:val="24"/>
                <w:lang w:val="ru-RU"/>
              </w:rPr>
              <w:br/>
            </w:r>
            <w:r w:rsidRPr="00A16A75">
              <w:rPr>
                <w:color w:val="auto"/>
                <w:szCs w:val="24"/>
                <w:lang w:val="ru-RU"/>
              </w:rPr>
              <w:t xml:space="preserve">в жилище, на участке или во дворе; общественный водопровод / </w:t>
            </w:r>
            <w:proofErr w:type="gramStart"/>
            <w:r w:rsidRPr="00A16A75">
              <w:rPr>
                <w:color w:val="auto"/>
                <w:szCs w:val="24"/>
                <w:lang w:val="ru-RU"/>
              </w:rPr>
              <w:t>водопровод</w:t>
            </w:r>
            <w:proofErr w:type="gramEnd"/>
            <w:r w:rsidRPr="00A16A75">
              <w:rPr>
                <w:color w:val="auto"/>
                <w:szCs w:val="24"/>
                <w:lang w:val="ru-RU"/>
              </w:rPr>
              <w:t xml:space="preserve">; защищенный источник; сбор дождевой воды; бутилированная вода, если вторичный источник также улучшен; скважина / колодец; </w:t>
            </w:r>
            <w:r w:rsidR="00D35F0C">
              <w:rPr>
                <w:color w:val="auto"/>
                <w:szCs w:val="24"/>
                <w:lang w:val="ru-RU"/>
              </w:rPr>
              <w:br/>
            </w:r>
            <w:r w:rsidRPr="00A16A75">
              <w:rPr>
                <w:color w:val="auto"/>
                <w:szCs w:val="24"/>
                <w:lang w:val="ru-RU"/>
              </w:rPr>
              <w:t>и защищенный вырытый колодец).</w:t>
            </w:r>
          </w:p>
          <w:p w:rsidR="00D35F0C" w:rsidRPr="00A16A75" w:rsidRDefault="00D35F0C" w:rsidP="00D35F0C">
            <w:pPr>
              <w:pStyle w:val="MText"/>
              <w:ind w:left="720"/>
              <w:rPr>
                <w:color w:val="auto"/>
                <w:szCs w:val="24"/>
                <w:lang w:val="ru-RU"/>
              </w:rPr>
            </w:pPr>
          </w:p>
          <w:p w:rsidR="00F72575" w:rsidRPr="00A16A75" w:rsidRDefault="00A85E93" w:rsidP="00F72575">
            <w:pPr>
              <w:pStyle w:val="MText"/>
              <w:rPr>
                <w:i/>
                <w:color w:val="auto"/>
                <w:szCs w:val="24"/>
                <w:lang w:val="ru-RU"/>
              </w:rPr>
            </w:pPr>
            <w:r w:rsidRPr="00A16A75">
              <w:rPr>
                <w:i/>
                <w:color w:val="auto"/>
                <w:szCs w:val="24"/>
                <w:lang w:val="ru-RU"/>
              </w:rPr>
              <w:t>Доступ к улучшенным санитарно-техническим средствам</w:t>
            </w:r>
            <w:r w:rsidR="00F72575" w:rsidRPr="00A16A75">
              <w:rPr>
                <w:i/>
                <w:color w:val="auto"/>
                <w:szCs w:val="24"/>
                <w:lang w:val="ru-RU"/>
              </w:rPr>
              <w:t>:</w:t>
            </w:r>
          </w:p>
          <w:p w:rsidR="00F72575" w:rsidRDefault="00A85E93" w:rsidP="00A85E93">
            <w:pPr>
              <w:pStyle w:val="MText"/>
              <w:numPr>
                <w:ilvl w:val="0"/>
                <w:numId w:val="6"/>
              </w:numPr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 xml:space="preserve">Доля домохозяйств, члены которых имеют доступ к улучшенным санитарным средствам (например, туалеты со сливом или уборные, подключенные к канализации, септику или выгребной яме; вентилируемые улучшенные выгребные ямы; выгребные ямы </w:t>
            </w:r>
            <w:r w:rsidR="00D35F0C">
              <w:rPr>
                <w:color w:val="auto"/>
                <w:szCs w:val="24"/>
                <w:lang w:val="ru-RU"/>
              </w:rPr>
              <w:br/>
            </w:r>
            <w:r w:rsidRPr="00A16A75">
              <w:rPr>
                <w:color w:val="auto"/>
                <w:szCs w:val="24"/>
                <w:lang w:val="ru-RU"/>
              </w:rPr>
              <w:t>с плитой или платформой, полностью закрывающей выгребную яму; туалеты/выгребные ямы для компостирования)</w:t>
            </w:r>
            <w:r w:rsidR="00F72575" w:rsidRPr="00A16A75">
              <w:rPr>
                <w:color w:val="auto"/>
                <w:szCs w:val="24"/>
                <w:lang w:val="ru-RU"/>
              </w:rPr>
              <w:t>.</w:t>
            </w:r>
          </w:p>
          <w:p w:rsidR="00D35F0C" w:rsidRPr="00A16A75" w:rsidRDefault="00D35F0C" w:rsidP="00D35F0C">
            <w:pPr>
              <w:pStyle w:val="MText"/>
              <w:ind w:left="720"/>
              <w:rPr>
                <w:color w:val="auto"/>
                <w:szCs w:val="24"/>
                <w:lang w:val="ru-RU"/>
              </w:rPr>
            </w:pPr>
          </w:p>
          <w:p w:rsidR="00F72575" w:rsidRPr="00A16A75" w:rsidRDefault="00A85E93" w:rsidP="00F72575">
            <w:pPr>
              <w:pStyle w:val="MText"/>
              <w:rPr>
                <w:color w:val="auto"/>
                <w:szCs w:val="24"/>
                <w:lang w:val="ru-RU"/>
              </w:rPr>
            </w:pPr>
            <w:r w:rsidRPr="00A16A75">
              <w:rPr>
                <w:i/>
                <w:color w:val="auto"/>
                <w:szCs w:val="24"/>
                <w:lang w:val="ru-RU"/>
              </w:rPr>
              <w:t>Качество жилья и местоположение</w:t>
            </w:r>
            <w:r w:rsidR="00F72575" w:rsidRPr="00A16A75">
              <w:rPr>
                <w:i/>
                <w:color w:val="auto"/>
                <w:szCs w:val="24"/>
                <w:lang w:val="ru-RU"/>
              </w:rPr>
              <w:t>:</w:t>
            </w:r>
            <w:r w:rsidR="00F72575" w:rsidRPr="00A16A75">
              <w:rPr>
                <w:color w:val="auto"/>
                <w:szCs w:val="24"/>
                <w:lang w:val="ru-RU"/>
              </w:rPr>
              <w:t xml:space="preserve"> </w:t>
            </w:r>
          </w:p>
          <w:p w:rsidR="00F72575" w:rsidRPr="00A16A75" w:rsidRDefault="00A85E93" w:rsidP="00A85E93">
            <w:pPr>
              <w:pStyle w:val="MText"/>
              <w:numPr>
                <w:ilvl w:val="0"/>
                <w:numId w:val="6"/>
              </w:numPr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>Доля домохозяйств, проживающих на опасном объекте или вблизи него. Следует рассмотреть следующие места расположения</w:t>
            </w:r>
            <w:r w:rsidR="00F72575" w:rsidRPr="00A16A75">
              <w:rPr>
                <w:color w:val="auto"/>
                <w:szCs w:val="24"/>
                <w:lang w:val="ru-RU"/>
              </w:rPr>
              <w:t>:</w:t>
            </w:r>
          </w:p>
          <w:p w:rsidR="00F72575" w:rsidRPr="00A16A75" w:rsidRDefault="0048570B" w:rsidP="00A85E93">
            <w:pPr>
              <w:pStyle w:val="MText"/>
              <w:numPr>
                <w:ilvl w:val="1"/>
                <w:numId w:val="5"/>
              </w:numPr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жилье в </w:t>
            </w:r>
            <w:proofErr w:type="spellStart"/>
            <w:r>
              <w:rPr>
                <w:color w:val="auto"/>
                <w:szCs w:val="24"/>
                <w:lang w:val="ru-RU"/>
              </w:rPr>
              <w:t>геологически</w:t>
            </w:r>
            <w:proofErr w:type="spellEnd"/>
            <w:r>
              <w:rPr>
                <w:color w:val="auto"/>
                <w:szCs w:val="24"/>
                <w:lang w:val="ru-RU"/>
              </w:rPr>
              <w:t>-</w:t>
            </w:r>
            <w:r w:rsidR="00A85E93" w:rsidRPr="00A16A75">
              <w:rPr>
                <w:color w:val="auto"/>
                <w:szCs w:val="24"/>
                <w:lang w:val="ru-RU"/>
              </w:rPr>
              <w:t xml:space="preserve">опасных зонах (районы оползней/землетрясений </w:t>
            </w:r>
            <w:r>
              <w:rPr>
                <w:color w:val="auto"/>
                <w:szCs w:val="24"/>
                <w:lang w:val="ru-RU"/>
              </w:rPr>
              <w:br/>
            </w:r>
            <w:r w:rsidR="00A85E93" w:rsidRPr="00A16A75">
              <w:rPr>
                <w:color w:val="auto"/>
                <w:szCs w:val="24"/>
                <w:lang w:val="ru-RU"/>
              </w:rPr>
              <w:t>и наводнений</w:t>
            </w:r>
            <w:r w:rsidR="00F72575" w:rsidRPr="00A16A75">
              <w:rPr>
                <w:color w:val="auto"/>
                <w:szCs w:val="24"/>
                <w:lang w:val="ru-RU"/>
              </w:rPr>
              <w:t>);</w:t>
            </w:r>
          </w:p>
          <w:p w:rsidR="00F72575" w:rsidRPr="00A16A75" w:rsidRDefault="00A85E93" w:rsidP="00A85E93">
            <w:pPr>
              <w:pStyle w:val="MText"/>
              <w:numPr>
                <w:ilvl w:val="1"/>
                <w:numId w:val="5"/>
              </w:numPr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>жилье на мусорных горах или под ними</w:t>
            </w:r>
            <w:r w:rsidR="00F72575" w:rsidRPr="00A16A75">
              <w:rPr>
                <w:color w:val="auto"/>
                <w:szCs w:val="24"/>
                <w:lang w:val="ru-RU"/>
              </w:rPr>
              <w:t>;</w:t>
            </w:r>
          </w:p>
          <w:p w:rsidR="00F72575" w:rsidRPr="00A16A75" w:rsidRDefault="00A85E93" w:rsidP="00A85E93">
            <w:pPr>
              <w:pStyle w:val="MText"/>
              <w:numPr>
                <w:ilvl w:val="1"/>
                <w:numId w:val="5"/>
              </w:numPr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>жилье в районах с высоким уровнем промышленного загрязнения</w:t>
            </w:r>
            <w:r w:rsidR="00F72575" w:rsidRPr="00A16A75">
              <w:rPr>
                <w:color w:val="auto"/>
                <w:szCs w:val="24"/>
                <w:lang w:val="ru-RU"/>
              </w:rPr>
              <w:t>;</w:t>
            </w:r>
          </w:p>
          <w:p w:rsidR="00F72575" w:rsidRDefault="00A85E93" w:rsidP="00A85E93">
            <w:pPr>
              <w:pStyle w:val="MText"/>
              <w:numPr>
                <w:ilvl w:val="1"/>
                <w:numId w:val="5"/>
              </w:numPr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>жилье вокруг других незащищенных зон повышенного риска (например, железных дорог, аэропортов, линий электропередачи).</w:t>
            </w:r>
          </w:p>
          <w:p w:rsidR="0048570B" w:rsidRPr="00A16A75" w:rsidRDefault="0048570B" w:rsidP="0048570B">
            <w:pPr>
              <w:pStyle w:val="MText"/>
              <w:ind w:left="1440"/>
              <w:rPr>
                <w:color w:val="auto"/>
                <w:szCs w:val="24"/>
                <w:lang w:val="ru-RU"/>
              </w:rPr>
            </w:pPr>
          </w:p>
          <w:p w:rsidR="00F72575" w:rsidRPr="00A16A75" w:rsidRDefault="00A85E93" w:rsidP="00F72575">
            <w:pPr>
              <w:pStyle w:val="MText"/>
              <w:rPr>
                <w:i/>
                <w:color w:val="auto"/>
                <w:szCs w:val="24"/>
                <w:lang w:val="ru-RU"/>
              </w:rPr>
            </w:pPr>
            <w:r w:rsidRPr="00A16A75">
              <w:rPr>
                <w:i/>
                <w:color w:val="auto"/>
                <w:szCs w:val="24"/>
                <w:lang w:val="ru-RU"/>
              </w:rPr>
              <w:t>Качество корпуса и долговечность конструкции</w:t>
            </w:r>
            <w:r w:rsidR="00F72575" w:rsidRPr="00A16A75">
              <w:rPr>
                <w:i/>
                <w:color w:val="auto"/>
                <w:szCs w:val="24"/>
                <w:lang w:val="ru-RU"/>
              </w:rPr>
              <w:t>:</w:t>
            </w:r>
          </w:p>
          <w:p w:rsidR="00F72575" w:rsidRPr="00A16A75" w:rsidRDefault="00A85E93" w:rsidP="00A85E93">
            <w:pPr>
              <w:pStyle w:val="MText"/>
              <w:numPr>
                <w:ilvl w:val="0"/>
                <w:numId w:val="6"/>
              </w:numPr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>Доля домохозяйств, проживающих во временных и/или ветхих строениях. При отнесении жилого помещения к этим категориям следует учитывать следующие факторы</w:t>
            </w:r>
            <w:r w:rsidR="00F72575" w:rsidRPr="00A16A75">
              <w:rPr>
                <w:color w:val="auto"/>
                <w:szCs w:val="24"/>
                <w:lang w:val="ru-RU"/>
              </w:rPr>
              <w:t xml:space="preserve">: </w:t>
            </w:r>
          </w:p>
          <w:p w:rsidR="00F72575" w:rsidRPr="00A16A75" w:rsidRDefault="00A85E93" w:rsidP="00A85E93">
            <w:pPr>
              <w:pStyle w:val="MText"/>
              <w:numPr>
                <w:ilvl w:val="1"/>
                <w:numId w:val="5"/>
              </w:numPr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>качество строительства (например, материалы, используемые для стен, пола и крыши)</w:t>
            </w:r>
            <w:r w:rsidR="00F72575" w:rsidRPr="00A16A75">
              <w:rPr>
                <w:color w:val="auto"/>
                <w:szCs w:val="24"/>
                <w:lang w:val="ru-RU"/>
              </w:rPr>
              <w:t>;</w:t>
            </w:r>
          </w:p>
          <w:p w:rsidR="00F72575" w:rsidRDefault="00A85E93" w:rsidP="00A85E93">
            <w:pPr>
              <w:pStyle w:val="MText"/>
              <w:numPr>
                <w:ilvl w:val="1"/>
                <w:numId w:val="5"/>
              </w:numPr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>соблюдение местных строительных норм, стандартов и нормативных актов.</w:t>
            </w:r>
          </w:p>
          <w:p w:rsidR="0048570B" w:rsidRPr="00A16A75" w:rsidRDefault="0048570B" w:rsidP="0048570B">
            <w:pPr>
              <w:pStyle w:val="MText"/>
              <w:ind w:left="1440"/>
              <w:rPr>
                <w:color w:val="auto"/>
                <w:szCs w:val="24"/>
                <w:lang w:val="ru-RU"/>
              </w:rPr>
            </w:pPr>
          </w:p>
          <w:p w:rsidR="00F72575" w:rsidRPr="00A16A75" w:rsidRDefault="00A85E93" w:rsidP="00F72575">
            <w:pPr>
              <w:pStyle w:val="MText"/>
              <w:rPr>
                <w:i/>
                <w:color w:val="auto"/>
                <w:szCs w:val="24"/>
                <w:lang w:val="en-US"/>
              </w:rPr>
            </w:pPr>
            <w:proofErr w:type="spellStart"/>
            <w:r w:rsidRPr="00A16A75">
              <w:rPr>
                <w:i/>
                <w:color w:val="auto"/>
                <w:szCs w:val="24"/>
                <w:lang w:val="en-US"/>
              </w:rPr>
              <w:t>Достаточная</w:t>
            </w:r>
            <w:proofErr w:type="spellEnd"/>
            <w:r w:rsidRPr="00A16A75">
              <w:rPr>
                <w:i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A16A75">
              <w:rPr>
                <w:i/>
                <w:color w:val="auto"/>
                <w:szCs w:val="24"/>
                <w:lang w:val="en-US"/>
              </w:rPr>
              <w:t>жилая</w:t>
            </w:r>
            <w:proofErr w:type="spellEnd"/>
            <w:r w:rsidRPr="00A16A75">
              <w:rPr>
                <w:i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A16A75">
              <w:rPr>
                <w:i/>
                <w:color w:val="auto"/>
                <w:szCs w:val="24"/>
                <w:lang w:val="en-US"/>
              </w:rPr>
              <w:t>площадь</w:t>
            </w:r>
            <w:proofErr w:type="spellEnd"/>
            <w:r w:rsidR="00F72575" w:rsidRPr="00A16A75">
              <w:rPr>
                <w:i/>
                <w:color w:val="auto"/>
                <w:szCs w:val="24"/>
                <w:lang w:val="en-US"/>
              </w:rPr>
              <w:t xml:space="preserve">: </w:t>
            </w:r>
          </w:p>
          <w:p w:rsidR="00F72575" w:rsidRPr="00A16A75" w:rsidRDefault="00A85E93" w:rsidP="00A85E93">
            <w:pPr>
              <w:pStyle w:val="MText"/>
              <w:numPr>
                <w:ilvl w:val="0"/>
                <w:numId w:val="7"/>
              </w:numPr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 xml:space="preserve">Доля домохозяйств, в которых </w:t>
            </w:r>
            <w:r w:rsidR="0048570B">
              <w:rPr>
                <w:color w:val="auto"/>
                <w:szCs w:val="24"/>
                <w:lang w:val="ru-RU"/>
              </w:rPr>
              <w:br/>
            </w:r>
            <w:r w:rsidRPr="00A16A75">
              <w:rPr>
                <w:color w:val="auto"/>
                <w:szCs w:val="24"/>
                <w:lang w:val="ru-RU"/>
              </w:rPr>
              <w:t xml:space="preserve">не более трех человек проживают </w:t>
            </w:r>
            <w:r w:rsidR="0048570B">
              <w:rPr>
                <w:color w:val="auto"/>
                <w:szCs w:val="24"/>
                <w:lang w:val="ru-RU"/>
              </w:rPr>
              <w:br/>
            </w:r>
            <w:r w:rsidRPr="00A16A75">
              <w:rPr>
                <w:color w:val="auto"/>
                <w:szCs w:val="24"/>
                <w:lang w:val="ru-RU"/>
              </w:rPr>
              <w:t>в одной и той же жилой комнате.</w:t>
            </w:r>
          </w:p>
        </w:tc>
      </w:tr>
      <w:tr w:rsidR="00F72575" w:rsidRPr="0048570B" w:rsidTr="00E812F4">
        <w:trPr>
          <w:trHeight w:val="1451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75" w:rsidRPr="0048570B" w:rsidRDefault="001540E3" w:rsidP="000F5A9E">
            <w:pPr>
              <w:pStyle w:val="MText"/>
              <w:rPr>
                <w:b/>
                <w:color w:val="auto"/>
                <w:szCs w:val="24"/>
                <w:lang w:val="ru-RU"/>
              </w:rPr>
            </w:pPr>
            <w:r w:rsidRPr="00A16A75">
              <w:rPr>
                <w:b/>
                <w:color w:val="auto"/>
                <w:szCs w:val="24"/>
                <w:lang w:val="ru-RU"/>
              </w:rPr>
              <w:t>Неудовлетворительные жилищные условия</w:t>
            </w:r>
            <w:r w:rsidR="0048570B">
              <w:rPr>
                <w:b/>
                <w:color w:val="auto"/>
                <w:szCs w:val="24"/>
                <w:lang w:val="ru-RU"/>
              </w:rPr>
              <w:t xml:space="preserve"> </w:t>
            </w:r>
            <w:r w:rsidR="0048570B">
              <w:rPr>
                <w:i/>
                <w:color w:val="auto"/>
                <w:szCs w:val="24"/>
                <w:lang w:val="ru-RU"/>
              </w:rPr>
              <w:t xml:space="preserve">(Прим. пер. – также </w:t>
            </w:r>
            <w:r w:rsidR="000F5A9E">
              <w:rPr>
                <w:i/>
                <w:color w:val="auto"/>
                <w:szCs w:val="24"/>
                <w:lang w:val="ru-RU"/>
              </w:rPr>
              <w:t xml:space="preserve">дословно </w:t>
            </w:r>
            <w:r w:rsidR="0048570B">
              <w:rPr>
                <w:i/>
                <w:color w:val="auto"/>
                <w:szCs w:val="24"/>
                <w:lang w:val="ru-RU"/>
              </w:rPr>
              <w:t>именуемые «неадекватным жильем»)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75" w:rsidRPr="00A16A75" w:rsidRDefault="00A85E93" w:rsidP="00F72575">
            <w:pPr>
              <w:pStyle w:val="MText"/>
              <w:rPr>
                <w:b/>
                <w:color w:val="auto"/>
                <w:szCs w:val="24"/>
                <w:lang w:val="ru-RU"/>
              </w:rPr>
            </w:pPr>
            <w:r w:rsidRPr="00A16A75">
              <w:rPr>
                <w:b/>
                <w:color w:val="auto"/>
                <w:szCs w:val="24"/>
                <w:lang w:val="ru-RU"/>
              </w:rPr>
              <w:t>Определение</w:t>
            </w:r>
            <w:r w:rsidR="00F72575" w:rsidRPr="00A16A75">
              <w:rPr>
                <w:b/>
                <w:color w:val="auto"/>
                <w:szCs w:val="24"/>
                <w:lang w:val="ru-RU"/>
              </w:rPr>
              <w:t xml:space="preserve">: </w:t>
            </w:r>
          </w:p>
          <w:p w:rsidR="00F72575" w:rsidRPr="00A16A75" w:rsidRDefault="00A85E93" w:rsidP="0048570B">
            <w:pPr>
              <w:pStyle w:val="MText"/>
              <w:rPr>
                <w:color w:val="auto"/>
                <w:szCs w:val="24"/>
                <w:lang w:val="ru-RU"/>
              </w:rPr>
            </w:pPr>
            <w:r w:rsidRPr="00A16A75">
              <w:rPr>
                <w:color w:val="auto"/>
                <w:szCs w:val="24"/>
                <w:lang w:val="ru-RU"/>
              </w:rPr>
              <w:t xml:space="preserve">Предлагается дополнить </w:t>
            </w:r>
            <w:r w:rsidR="0048570B">
              <w:rPr>
                <w:color w:val="auto"/>
                <w:szCs w:val="24"/>
                <w:lang w:val="ru-RU"/>
              </w:rPr>
              <w:br/>
            </w:r>
            <w:r w:rsidRPr="00A16A75">
              <w:rPr>
                <w:color w:val="auto"/>
                <w:szCs w:val="24"/>
                <w:lang w:val="ru-RU"/>
              </w:rPr>
              <w:t xml:space="preserve">данные </w:t>
            </w:r>
            <w:r w:rsidR="0048570B">
              <w:rPr>
                <w:color w:val="auto"/>
                <w:szCs w:val="24"/>
                <w:lang w:val="ru-RU"/>
              </w:rPr>
              <w:br/>
              <w:t xml:space="preserve">о </w:t>
            </w:r>
            <w:r w:rsidRPr="00A16A75">
              <w:rPr>
                <w:color w:val="auto"/>
                <w:szCs w:val="24"/>
                <w:lang w:val="ru-RU"/>
              </w:rPr>
              <w:t>трущобах/неформальных поселениях, измеря</w:t>
            </w:r>
            <w:r w:rsidR="0048570B">
              <w:rPr>
                <w:color w:val="auto"/>
                <w:szCs w:val="24"/>
                <w:lang w:val="ru-RU"/>
              </w:rPr>
              <w:t xml:space="preserve">я </w:t>
            </w:r>
            <w:r w:rsidRPr="00A16A75">
              <w:rPr>
                <w:color w:val="auto"/>
                <w:szCs w:val="24"/>
                <w:lang w:val="ru-RU"/>
              </w:rPr>
              <w:t xml:space="preserve">доступность жилья </w:t>
            </w:r>
            <w:r w:rsidR="000F5A9E">
              <w:rPr>
                <w:color w:val="auto"/>
                <w:szCs w:val="24"/>
                <w:lang w:val="ru-RU"/>
              </w:rPr>
              <w:br/>
            </w:r>
            <w:r w:rsidRPr="00A16A75">
              <w:rPr>
                <w:color w:val="auto"/>
                <w:szCs w:val="24"/>
                <w:lang w:val="ru-RU"/>
              </w:rPr>
              <w:t>на глобальном уровне. Жилье считается не</w:t>
            </w:r>
            <w:r w:rsidR="001540E3" w:rsidRPr="00A16A75">
              <w:rPr>
                <w:color w:val="auto"/>
                <w:szCs w:val="24"/>
                <w:lang w:val="ru-RU"/>
              </w:rPr>
              <w:t>удовлетворительным</w:t>
            </w:r>
            <w:r w:rsidRPr="00A16A75">
              <w:rPr>
                <w:color w:val="auto"/>
                <w:szCs w:val="24"/>
                <w:lang w:val="ru-RU"/>
              </w:rPr>
              <w:t xml:space="preserve">, если оно не по карману домохозяйству, т.е. чистые ежемесячные расходы </w:t>
            </w:r>
            <w:r w:rsidR="0048570B">
              <w:rPr>
                <w:color w:val="auto"/>
                <w:szCs w:val="24"/>
                <w:lang w:val="ru-RU"/>
              </w:rPr>
              <w:br/>
            </w:r>
            <w:r w:rsidRPr="00A16A75">
              <w:rPr>
                <w:color w:val="auto"/>
                <w:szCs w:val="24"/>
                <w:lang w:val="ru-RU"/>
              </w:rPr>
              <w:t>на его стоимость превышают 30% от общего ежемесячного дохода домохозяйства.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75" w:rsidRPr="0048570B" w:rsidRDefault="00A85E93" w:rsidP="00F72575">
            <w:pPr>
              <w:pStyle w:val="MText"/>
              <w:rPr>
                <w:b/>
                <w:color w:val="auto"/>
                <w:szCs w:val="24"/>
                <w:lang w:val="ru-RU"/>
              </w:rPr>
            </w:pPr>
            <w:r w:rsidRPr="00A16A75">
              <w:rPr>
                <w:b/>
                <w:color w:val="auto"/>
                <w:szCs w:val="24"/>
                <w:lang w:val="ru-RU"/>
              </w:rPr>
              <w:t>Измерение</w:t>
            </w:r>
            <w:r w:rsidR="00F72575" w:rsidRPr="0048570B">
              <w:rPr>
                <w:b/>
                <w:color w:val="auto"/>
                <w:szCs w:val="24"/>
                <w:lang w:val="ru-RU"/>
              </w:rPr>
              <w:t xml:space="preserve">: </w:t>
            </w:r>
          </w:p>
          <w:p w:rsidR="0048570B" w:rsidRPr="0048570B" w:rsidRDefault="0048570B" w:rsidP="0048570B">
            <w:pPr>
              <w:pStyle w:val="MText"/>
              <w:rPr>
                <w:i/>
                <w:color w:val="auto"/>
                <w:szCs w:val="24"/>
                <w:lang w:val="ru-RU"/>
              </w:rPr>
            </w:pPr>
            <w:r>
              <w:rPr>
                <w:i/>
                <w:color w:val="auto"/>
                <w:szCs w:val="24"/>
                <w:lang w:val="ru-RU"/>
              </w:rPr>
              <w:t xml:space="preserve">Неудовлетворительные жилищные условия: </w:t>
            </w:r>
          </w:p>
          <w:p w:rsidR="00F72575" w:rsidRPr="0048570B" w:rsidRDefault="0048570B" w:rsidP="0048570B">
            <w:pPr>
              <w:pStyle w:val="MText"/>
              <w:numPr>
                <w:ilvl w:val="0"/>
                <w:numId w:val="8"/>
              </w:numPr>
              <w:rPr>
                <w:color w:val="auto"/>
                <w:szCs w:val="24"/>
                <w:lang w:val="ru-RU"/>
              </w:rPr>
            </w:pPr>
            <w:r w:rsidRPr="0048570B">
              <w:rPr>
                <w:color w:val="auto"/>
                <w:szCs w:val="24"/>
                <w:lang w:val="ru-RU"/>
              </w:rPr>
              <w:t>Доля домохозяйств с чистыми ежемесячными расходами на жилье, превышающими 3</w:t>
            </w:r>
            <w:r w:rsidR="000F5A9E">
              <w:rPr>
                <w:color w:val="auto"/>
                <w:szCs w:val="24"/>
                <w:lang w:val="ru-RU"/>
              </w:rPr>
              <w:t>0% от общего ежемесячного </w:t>
            </w:r>
            <w:r w:rsidRPr="0048570B">
              <w:rPr>
                <w:color w:val="auto"/>
                <w:szCs w:val="24"/>
                <w:lang w:val="ru-RU"/>
              </w:rPr>
              <w:t>дохода домохозяйства</w:t>
            </w:r>
            <w:r w:rsidR="00F72575" w:rsidRPr="00A16A75">
              <w:rPr>
                <w:color w:val="auto"/>
                <w:szCs w:val="24"/>
                <w:vertAlign w:val="superscript"/>
                <w:lang w:val="en-US"/>
              </w:rPr>
              <w:footnoteReference w:id="13"/>
            </w:r>
            <w:r w:rsidR="00F72575" w:rsidRPr="0048570B">
              <w:rPr>
                <w:color w:val="auto"/>
                <w:szCs w:val="24"/>
                <w:lang w:val="ru-RU"/>
              </w:rPr>
              <w:t>.</w:t>
            </w:r>
          </w:p>
          <w:p w:rsidR="00F72575" w:rsidRPr="0048570B" w:rsidRDefault="00F72575" w:rsidP="00F72575">
            <w:pPr>
              <w:pStyle w:val="MText"/>
              <w:rPr>
                <w:color w:val="auto"/>
                <w:szCs w:val="24"/>
                <w:lang w:val="ru-RU"/>
              </w:rPr>
            </w:pPr>
          </w:p>
        </w:tc>
      </w:tr>
    </w:tbl>
    <w:p w:rsidR="002E15F9" w:rsidRPr="0048570B" w:rsidRDefault="002E15F9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756567" w:rsidRPr="00756567" w:rsidRDefault="00756567" w:rsidP="00756567">
      <w:r w:rsidRPr="00756567">
        <w:t xml:space="preserve">Как и в случае со всеми </w:t>
      </w:r>
      <w:r>
        <w:t>показателями</w:t>
      </w:r>
      <w:r w:rsidRPr="00756567">
        <w:t xml:space="preserve"> существуют некоторые потенциальные проблемы </w:t>
      </w:r>
      <w:r w:rsidR="000A6993">
        <w:br/>
      </w:r>
      <w:r w:rsidRPr="00756567">
        <w:t>и ограничения. Некоторые из них описаны ниже.</w:t>
      </w:r>
    </w:p>
    <w:p w:rsidR="00756567" w:rsidRPr="00756567" w:rsidRDefault="00756567" w:rsidP="00756567">
      <w:r w:rsidRPr="00756567">
        <w:t xml:space="preserve">• Трудности с универсальным согласованием некоторых определений и характеристик применительно к ухудшению жилищных условий, часто из-за политических </w:t>
      </w:r>
      <w:r w:rsidR="000A6993">
        <w:br/>
      </w:r>
      <w:r w:rsidRPr="00756567">
        <w:t>или экономических соображений.</w:t>
      </w:r>
    </w:p>
    <w:p w:rsidR="00756567" w:rsidRPr="00756567" w:rsidRDefault="00756567" w:rsidP="00756567">
      <w:r w:rsidRPr="00756567">
        <w:t xml:space="preserve">• Отсутствие соответствующих инструментов на национальном и городском уровнях </w:t>
      </w:r>
      <w:r w:rsidR="000A6993">
        <w:br/>
      </w:r>
      <w:r w:rsidRPr="00756567">
        <w:t xml:space="preserve">для измерения всех компонентов, требуемых </w:t>
      </w:r>
      <w:r>
        <w:t>показателем</w:t>
      </w:r>
      <w:r w:rsidRPr="00756567">
        <w:t xml:space="preserve"> 11.1.1, что иногда приводит </w:t>
      </w:r>
      <w:r w:rsidR="000A6993">
        <w:br/>
      </w:r>
      <w:r w:rsidRPr="00756567">
        <w:t>к недооценке ветхого жилья.</w:t>
      </w:r>
    </w:p>
    <w:p w:rsidR="00756567" w:rsidRPr="00756567" w:rsidRDefault="00756567" w:rsidP="00756567">
      <w:r w:rsidRPr="00756567">
        <w:t>• Сложная взаимосвязь между гарантиями владения землей и собственностью делает этот аспект сложным, но жизненно важным для включения в различные обследования и, таким образом, для измерения и мониторинга.</w:t>
      </w:r>
    </w:p>
    <w:p w:rsidR="00756567" w:rsidRPr="00756567" w:rsidRDefault="00756567" w:rsidP="00756567">
      <w:r w:rsidRPr="00756567">
        <w:t xml:space="preserve">• </w:t>
      </w:r>
      <w:r>
        <w:t>Показатель</w:t>
      </w:r>
      <w:r w:rsidRPr="00756567">
        <w:t xml:space="preserve"> 11.1.1 не охватывает бездомность.</w:t>
      </w:r>
    </w:p>
    <w:p w:rsidR="00756567" w:rsidRDefault="000A6993" w:rsidP="00756567">
      <w:r>
        <w:t>• </w:t>
      </w:r>
      <w:r w:rsidR="00756567" w:rsidRPr="00756567">
        <w:t xml:space="preserve">Многие страны все еще имеют ограниченные возможности для сбора, управления </w:t>
      </w:r>
      <w:r>
        <w:br/>
      </w:r>
      <w:r w:rsidR="00756567" w:rsidRPr="00756567">
        <w:t>и анализа данных, их обновления и мониторинга. Это ключ к обеспечению согласованности национальных и глобальных данных.</w:t>
      </w:r>
    </w:p>
    <w:p w:rsidR="002E15F9" w:rsidRPr="00976B1D" w:rsidRDefault="002E15F9" w:rsidP="00756567">
      <w:pPr>
        <w:pStyle w:val="MHeader2"/>
        <w:rPr>
          <w:color w:val="auto"/>
          <w:sz w:val="24"/>
          <w:szCs w:val="24"/>
          <w:lang w:val="ru-RU"/>
        </w:rPr>
      </w:pPr>
      <w:r w:rsidRPr="00976B1D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976B1D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</w:t>
      </w:r>
      <w:r w:rsidR="00CA1CB1" w:rsidRPr="00976B1D">
        <w:rPr>
          <w:b/>
          <w:color w:val="auto"/>
          <w:sz w:val="24"/>
          <w:szCs w:val="24"/>
          <w:lang w:val="ru-RU"/>
        </w:rPr>
        <w:t xml:space="preserve"> </w:t>
      </w:r>
      <w:r w:rsidR="00CA1CB1" w:rsidRPr="00A71EC6">
        <w:rPr>
          <w:b/>
          <w:color w:val="auto"/>
          <w:sz w:val="24"/>
          <w:szCs w:val="24"/>
          <w:lang w:val="ru-RU"/>
        </w:rPr>
        <w:t>расчета</w:t>
      </w:r>
      <w:r w:rsidR="00CA1CB1" w:rsidRPr="00976B1D">
        <w:rPr>
          <w:color w:val="auto"/>
          <w:sz w:val="24"/>
          <w:szCs w:val="24"/>
          <w:lang w:val="ru-RU"/>
        </w:rPr>
        <w:t xml:space="preserve"> </w:t>
      </w:r>
    </w:p>
    <w:p w:rsidR="00F72575" w:rsidRPr="001540E3" w:rsidRDefault="001540E3" w:rsidP="001540E3">
      <w:r w:rsidRPr="001540E3">
        <w:t>Показатель учитывает два компонента, которые должны бы</w:t>
      </w:r>
      <w:r>
        <w:t>ть рассчитаны следующим образом</w:t>
      </w:r>
      <w:r w:rsidR="00F72575" w:rsidRPr="001540E3">
        <w:t>:</w:t>
      </w:r>
    </w:p>
    <w:p w:rsidR="00F72575" w:rsidRPr="001540E3" w:rsidRDefault="001540E3" w:rsidP="001540E3">
      <w:r w:rsidRPr="001540E3">
        <w:t xml:space="preserve">Процентная доля людей, проживающих в домашних хозяйствах </w:t>
      </w:r>
      <w:r w:rsidR="000F5A9E">
        <w:br/>
      </w:r>
      <w:r w:rsidRPr="001540E3">
        <w:t>в трущобах/неформальных поселениях (</w:t>
      </w:r>
      <w:r w:rsidRPr="001540E3">
        <w:rPr>
          <w:lang w:val="en-US"/>
        </w:rPr>
        <w:t>SISH</w:t>
      </w:r>
      <w:r w:rsidRPr="001540E3">
        <w:t>):</w:t>
      </w:r>
      <w:r w:rsidR="00F72575" w:rsidRPr="001540E3">
        <w:tab/>
      </w:r>
      <w:r w:rsidR="00F72575" w:rsidRPr="001540E3">
        <w:tab/>
      </w:r>
    </w:p>
    <w:p w:rsidR="00F72575" w:rsidRPr="0099157D" w:rsidRDefault="00F72575" w:rsidP="001540E3">
      <m:oMathPara>
        <m:oMath>
          <m:r>
            <w:rPr>
              <w:rFonts w:ascii="Cambria Math" w:eastAsia="Times New Roman" w:hAnsi="Cambria Math" w:cstheme="minorHAnsi"/>
              <w:szCs w:val="21"/>
              <w:lang w:eastAsia="en-GB"/>
            </w:rPr>
            <m:t>= 100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theme="minorHAnsi"/>
                  <w:i/>
                  <w:szCs w:val="21"/>
                  <w:lang w:eastAsia="en-GB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Cs w:val="21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Cs w:val="21"/>
                      <w:lang w:eastAsia="en-GB"/>
                    </w:rPr>
                    <m:t xml:space="preserve"> Число людей, живущих в SISH 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Cs w:val="21"/>
                      <w:lang w:eastAsia="en-GB"/>
                    </w:rPr>
                    <m:t>Городское население</m:t>
                  </m:r>
                </m:den>
              </m:f>
            </m:e>
          </m:d>
        </m:oMath>
      </m:oMathPara>
    </w:p>
    <w:p w:rsidR="00F72575" w:rsidRPr="001540E3" w:rsidRDefault="001540E3" w:rsidP="001540E3">
      <w:r w:rsidRPr="001540E3">
        <w:t xml:space="preserve">Процентная доля людей, живущих в домохозяйствах </w:t>
      </w:r>
      <w:r>
        <w:t>в неудовлетворительных условиях</w:t>
      </w:r>
      <w:r w:rsidRPr="001540E3">
        <w:t xml:space="preserve"> (</w:t>
      </w:r>
      <w:r w:rsidRPr="001540E3">
        <w:rPr>
          <w:lang w:val="en-US"/>
        </w:rPr>
        <w:t>IHH</w:t>
      </w:r>
      <w:r w:rsidRPr="001540E3">
        <w:t>)</w:t>
      </w:r>
      <w:r w:rsidR="00F72575" w:rsidRPr="001540E3">
        <w:t>:</w:t>
      </w:r>
    </w:p>
    <w:p w:rsidR="00F72575" w:rsidRPr="0099157D" w:rsidRDefault="00F72575" w:rsidP="001540E3">
      <m:oMathPara>
        <m:oMath>
          <m:r>
            <w:rPr>
              <w:rFonts w:ascii="Cambria Math" w:eastAsia="Times New Roman" w:hAnsi="Cambria Math" w:cstheme="minorHAnsi"/>
              <w:szCs w:val="21"/>
              <w:lang w:eastAsia="en-GB"/>
            </w:rPr>
            <m:t>= 100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theme="minorHAnsi"/>
                  <w:i/>
                  <w:szCs w:val="21"/>
                  <w:lang w:eastAsia="en-GB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Cs w:val="21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Cs w:val="21"/>
                      <w:lang w:eastAsia="en-GB"/>
                    </w:rPr>
                    <m:t>Число людей, живущих в IHH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Cs w:val="21"/>
                      <w:lang w:eastAsia="en-GB"/>
                    </w:rPr>
                    <m:t>Городское население</m:t>
                  </m:r>
                </m:den>
              </m:f>
            </m:e>
          </m:d>
        </m:oMath>
      </m:oMathPara>
    </w:p>
    <w:p w:rsidR="00F72575" w:rsidRPr="001540E3" w:rsidRDefault="001540E3" w:rsidP="001540E3">
      <w:r w:rsidRPr="001540E3">
        <w:t xml:space="preserve">Единицей измерения для всех этих показателей будет %. В настоящее время данные </w:t>
      </w:r>
      <w:r w:rsidR="000F5A9E">
        <w:br/>
      </w:r>
      <w:r w:rsidRPr="001540E3">
        <w:t xml:space="preserve">по этому показателю уже представлены почти во всех развивающихся странах </w:t>
      </w:r>
      <w:r w:rsidR="000F5A9E">
        <w:br/>
      </w:r>
      <w:r w:rsidRPr="001540E3">
        <w:t>в отношении того, что относится к трущобам и неформальным пос</w:t>
      </w:r>
      <w:r w:rsidR="000F5A9E">
        <w:t>елениям, а в некоторых странах –</w:t>
      </w:r>
      <w:r w:rsidRPr="001540E3">
        <w:t xml:space="preserve"> в отношении того, что относится к расходам на жилье </w:t>
      </w:r>
      <w:r w:rsidR="000F5A9E">
        <w:br/>
      </w:r>
      <w:r w:rsidRPr="001540E3">
        <w:t xml:space="preserve">(для </w:t>
      </w:r>
      <w:r>
        <w:t>неудовлетворительных условий</w:t>
      </w:r>
      <w:r w:rsidRPr="001540E3">
        <w:t>). Таким образом, показатель 11.1.1 ЦУР будет способствовать представлению информации о более широком спектре н</w:t>
      </w:r>
      <w:r>
        <w:t>еудовлетворительны</w:t>
      </w:r>
      <w:r w:rsidRPr="001540E3">
        <w:t>х жилищных условий, затрагивающих домохозяйства во всех странах</w:t>
      </w:r>
      <w:r w:rsidR="00F72575" w:rsidRPr="001540E3">
        <w:t>.</w:t>
      </w:r>
    </w:p>
    <w:p w:rsidR="002E15F9" w:rsidRPr="00976B1D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976B1D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976B1D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</w:p>
    <w:p w:rsidR="00A16A75" w:rsidRDefault="00A16A75" w:rsidP="00A16A75">
      <w:r w:rsidRPr="00A16A75">
        <w:t>В рамках процесса проверки ООН-</w:t>
      </w:r>
      <w:proofErr w:type="spellStart"/>
      <w:r w:rsidRPr="00A16A75">
        <w:t>Хабитат</w:t>
      </w:r>
      <w:proofErr w:type="spellEnd"/>
      <w:r w:rsidRPr="00A16A75">
        <w:t xml:space="preserve"> разработала шаблон для сбора данных, полученных странами через национальные статистические управления, а также другие государственные учреждения, отвечающие за официальную статистику (https://data.unhabitat.org/pages/guidance). Собранные данные затем проверяются </w:t>
      </w:r>
      <w:r w:rsidR="000F5A9E">
        <w:br/>
      </w:r>
      <w:r w:rsidRPr="00A16A75">
        <w:t xml:space="preserve">по нескольким критериям, включая используемые источники данных, применение согласованных на международном уровне определений, классификации и методологий </w:t>
      </w:r>
      <w:r w:rsidR="000A6993">
        <w:br/>
      </w:r>
      <w:r w:rsidRPr="00A16A75">
        <w:t>к данным из этого источника и т. д. После рассмотрения соответствующим странам предоставляется соответствующая обратная связь для дальнейшего обсуждения.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A16A75" w:rsidRDefault="00A16A75" w:rsidP="00A16A75">
      <w:r w:rsidRPr="00A16A75">
        <w:t xml:space="preserve">Любая корректировка данных согласовывается совместно после консультаций </w:t>
      </w:r>
      <w:r w:rsidR="000A6993">
        <w:br/>
      </w:r>
      <w:r w:rsidRPr="00A16A75">
        <w:t>с соответствующими национальными агентствами, которые обмениваются точками данных для отчетности.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r w:rsidR="00694160" w:rsidRPr="00A71EC6">
        <w:rPr>
          <w:b/>
          <w:color w:val="auto"/>
          <w:sz w:val="24"/>
          <w:szCs w:val="24"/>
        </w:rPr>
        <w:t>i</w:t>
      </w:r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BD29EC" w:rsidRDefault="002E15F9" w:rsidP="0075371E">
      <w:pPr>
        <w:pStyle w:val="MText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•</w:t>
      </w:r>
      <w:r w:rsidRPr="00BD29EC">
        <w:rPr>
          <w:color w:val="auto"/>
          <w:sz w:val="24"/>
          <w:szCs w:val="24"/>
          <w:lang w:val="ru-RU"/>
        </w:rPr>
        <w:tab/>
      </w:r>
      <w:r w:rsidR="00694160" w:rsidRPr="000A6993">
        <w:rPr>
          <w:b/>
          <w:color w:val="auto"/>
          <w:sz w:val="24"/>
          <w:szCs w:val="24"/>
          <w:lang w:val="ru-RU"/>
        </w:rPr>
        <w:t>На уровне страны</w:t>
      </w:r>
    </w:p>
    <w:p w:rsidR="00F33D07" w:rsidRDefault="00F33D07" w:rsidP="00AE1814">
      <w:r w:rsidRPr="00F33D07">
        <w:t xml:space="preserve">Ожидается, что все страны будут представлять полные отчеты по этому показателю более последовательно, с некоторыми проблемами, когда недостающие значения будут сообщаться на национальном/глобальном уровне. На национальном уровне возможно, </w:t>
      </w:r>
      <w:r w:rsidR="000A6993">
        <w:br/>
      </w:r>
      <w:r w:rsidRPr="00F33D07">
        <w:t>что будут зарегистрированы недостающие значения, возможно, представляющие собой пробелы, связанные с отсутствием измерений среди населения, чей статус</w:t>
      </w:r>
      <w:r>
        <w:t xml:space="preserve"> проживания </w:t>
      </w:r>
      <w:r w:rsidR="000A6993">
        <w:br/>
      </w:r>
      <w:r>
        <w:t>в</w:t>
      </w:r>
      <w:r w:rsidRPr="00F33D07">
        <w:t xml:space="preserve"> трущоб</w:t>
      </w:r>
      <w:r>
        <w:t>ах</w:t>
      </w:r>
      <w:r w:rsidRPr="00F33D07">
        <w:t>,</w:t>
      </w:r>
      <w:r>
        <w:t xml:space="preserve"> неудовлетворительных жилищных</w:t>
      </w:r>
      <w:r w:rsidRPr="00F33D07">
        <w:t xml:space="preserve"> </w:t>
      </w:r>
      <w:r>
        <w:t xml:space="preserve">условиях и </w:t>
      </w:r>
      <w:r w:rsidRPr="00F33D07">
        <w:t>неформально</w:t>
      </w:r>
      <w:r>
        <w:t>й занятости</w:t>
      </w:r>
      <w:r w:rsidRPr="00F33D07">
        <w:t xml:space="preserve"> </w:t>
      </w:r>
      <w:r w:rsidR="000A6993">
        <w:br/>
      </w:r>
      <w:r w:rsidRPr="00F33D07">
        <w:t xml:space="preserve">не зарегистрирован, неизвестен или где данные отсутствуют. Поскольку значения будут </w:t>
      </w:r>
      <w:proofErr w:type="spellStart"/>
      <w:r w:rsidRPr="00F33D07">
        <w:t>агрегироваться</w:t>
      </w:r>
      <w:proofErr w:type="spellEnd"/>
      <w:r w:rsidRPr="00F33D07">
        <w:t xml:space="preserve"> на национальном уровне, недостающие значения будут менее заметны </w:t>
      </w:r>
      <w:r w:rsidR="000A6993">
        <w:br/>
      </w:r>
      <w:r w:rsidRPr="00F33D07">
        <w:t>на этих уровнях, но, вероятно, повлияют на оценки. На уровне обследования и сбора данных процедуры обследования для управления недостающими значениями будут применяться на основе единицы анализа/единиц первичной выборки.</w:t>
      </w:r>
    </w:p>
    <w:p w:rsidR="00694160" w:rsidRPr="000A6993" w:rsidRDefault="002E15F9" w:rsidP="00F33D07">
      <w:pPr>
        <w:pStyle w:val="MText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•</w:t>
      </w:r>
      <w:r w:rsidRPr="00BD29EC">
        <w:rPr>
          <w:color w:val="auto"/>
          <w:sz w:val="24"/>
          <w:szCs w:val="24"/>
          <w:lang w:val="ru-RU"/>
        </w:rPr>
        <w:tab/>
      </w:r>
      <w:r w:rsidR="00694160" w:rsidRPr="000A6993">
        <w:rPr>
          <w:b/>
          <w:color w:val="auto"/>
          <w:sz w:val="24"/>
          <w:szCs w:val="24"/>
          <w:lang w:val="ru-RU"/>
        </w:rPr>
        <w:t>На региональном и глобальном уровнях</w:t>
      </w:r>
    </w:p>
    <w:p w:rsidR="00AE1814" w:rsidRPr="00AE1814" w:rsidRDefault="00AE1814" w:rsidP="00AE1814">
      <w:r w:rsidRPr="00AE1814">
        <w:t xml:space="preserve">Глобальные оценки будут скорректированы с помощью моделирования, основанного на тенденциях, с учетом недостающей информации или данных. </w:t>
      </w:r>
    </w:p>
    <w:p w:rsidR="00AE1814" w:rsidRDefault="00AE1814" w:rsidP="00AE1814">
      <w:r w:rsidRPr="00AE1814">
        <w:t xml:space="preserve">Региональные и глобальные оценки для глобального мониторинга </w:t>
      </w:r>
    </w:p>
    <w:p w:rsidR="00AE1814" w:rsidRPr="00AE1814" w:rsidRDefault="00AE1814" w:rsidP="00AE1814">
      <w:r w:rsidRPr="00AE1814">
        <w:t xml:space="preserve">Региональные и глобальные оценки будут получены на основе национальных показателей с соответствующим уровнем </w:t>
      </w:r>
      <w:proofErr w:type="spellStart"/>
      <w:r w:rsidRPr="00AE1814">
        <w:t>дезагрегирования</w:t>
      </w:r>
      <w:proofErr w:type="spellEnd"/>
      <w:r w:rsidRPr="00AE1814">
        <w:t xml:space="preserve">. Будут разработаны и согласованы </w:t>
      </w:r>
      <w:r w:rsidR="000A6993">
        <w:br/>
      </w:r>
      <w:r w:rsidRPr="00AE1814">
        <w:t xml:space="preserve">с местными и международными заинтересованными сторонами специализированные инструменты. Системы обеспечения качества использования инструментов, анализа </w:t>
      </w:r>
      <w:r w:rsidR="000A6993">
        <w:br/>
      </w:r>
      <w:r w:rsidRPr="00AE1814">
        <w:t xml:space="preserve">и отчетности будут внедрены на региональном и глобальном уровнях для обеспечения единообразия стандартов и универсального применения определений. </w:t>
      </w:r>
      <w:proofErr w:type="gramStart"/>
      <w:r w:rsidRPr="00AE1814">
        <w:t xml:space="preserve">Мы ожидаем, </w:t>
      </w:r>
      <w:r w:rsidR="000A6993">
        <w:br/>
      </w:r>
      <w:r w:rsidRPr="00AE1814">
        <w:t xml:space="preserve">что инвестиции в улучшение сбора и мониторинга данных на </w:t>
      </w:r>
      <w:proofErr w:type="spellStart"/>
      <w:r w:rsidRPr="00AE1814">
        <w:t>страновом</w:t>
      </w:r>
      <w:proofErr w:type="spellEnd"/>
      <w:r w:rsidRPr="00AE1814">
        <w:t xml:space="preserve"> уровне будут стимулировать правительства к улучшению отчетности и эффективности, а также </w:t>
      </w:r>
      <w:r w:rsidR="000A6993">
        <w:br/>
      </w:r>
      <w:r w:rsidRPr="00AE1814">
        <w:t xml:space="preserve">к большей готовности взаимодействовать с многочисленными заинтересованными сторонами в сборе и анализе данных и в достижении лучшего понимания сильных </w:t>
      </w:r>
      <w:r w:rsidR="000A6993">
        <w:br/>
      </w:r>
      <w:r w:rsidRPr="00AE1814">
        <w:t xml:space="preserve">и слабых сторон существующих определений трущоб и их применения. </w:t>
      </w:r>
      <w:proofErr w:type="gramEnd"/>
    </w:p>
    <w:p w:rsidR="00AE1814" w:rsidRPr="000A6993" w:rsidRDefault="00AE1814" w:rsidP="00AE1814">
      <w:pPr>
        <w:rPr>
          <w:i/>
        </w:rPr>
      </w:pPr>
      <w:r w:rsidRPr="000A6993">
        <w:rPr>
          <w:i/>
        </w:rPr>
        <w:t xml:space="preserve">Источники различий между глобальными и национальными показателями: </w:t>
      </w:r>
    </w:p>
    <w:p w:rsidR="00AE1814" w:rsidRDefault="00AE1814" w:rsidP="00AE1814">
      <w:r w:rsidRPr="00AE1814">
        <w:t xml:space="preserve">Поскольку за сбор данных отвечают национальные агентства, ожидается, </w:t>
      </w:r>
      <w:r w:rsidR="000A6993">
        <w:br/>
      </w:r>
      <w:r w:rsidRPr="00AE1814">
        <w:t xml:space="preserve">что при соблюдении стандартных методологий и процедур на всех этапах процесса отчетности не возникнет различий между данными, полученными странами, </w:t>
      </w:r>
      <w:r w:rsidR="000A6993">
        <w:br/>
      </w:r>
      <w:r w:rsidRPr="00AE1814">
        <w:t>и международными оценочными данными по показателю. Недостающие данные и другие локальные переменные, а также частота сбора данных обычно влияют на показатели, сообщаемые на глобальном и национальном уровнях. Для этого показателя национальные данные будут использоваться для получения глобальных показателей. В тех случаях, когда глобальные значения отличаются от национальных показателей, будут предприняты усилия по согласованию.</w:t>
      </w:r>
    </w:p>
    <w:p w:rsidR="002E15F9" w:rsidRPr="00976B1D" w:rsidRDefault="002E15F9" w:rsidP="00AE1814">
      <w:pPr>
        <w:pStyle w:val="MHeader2"/>
        <w:rPr>
          <w:color w:val="auto"/>
          <w:sz w:val="24"/>
          <w:szCs w:val="24"/>
          <w:lang w:val="ru-RU"/>
        </w:rPr>
      </w:pPr>
      <w:r w:rsidRPr="00976B1D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976B1D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</w:t>
      </w:r>
      <w:r w:rsidR="00E27922" w:rsidRPr="00976B1D">
        <w:rPr>
          <w:b/>
          <w:color w:val="auto"/>
          <w:sz w:val="24"/>
          <w:szCs w:val="24"/>
          <w:lang w:val="ru-RU"/>
        </w:rPr>
        <w:t xml:space="preserve"> </w:t>
      </w:r>
      <w:r w:rsidR="00E27922" w:rsidRPr="00A71EC6">
        <w:rPr>
          <w:b/>
          <w:color w:val="auto"/>
          <w:sz w:val="24"/>
          <w:szCs w:val="24"/>
          <w:lang w:val="ru-RU"/>
        </w:rPr>
        <w:t>агрегирование</w:t>
      </w:r>
      <w:r w:rsidR="00E27922" w:rsidRPr="00976B1D">
        <w:rPr>
          <w:color w:val="auto"/>
          <w:sz w:val="24"/>
          <w:szCs w:val="24"/>
          <w:lang w:val="ru-RU"/>
        </w:rPr>
        <w:t xml:space="preserve"> </w:t>
      </w:r>
    </w:p>
    <w:p w:rsidR="00AE1814" w:rsidRDefault="00AE1814" w:rsidP="00AE1814">
      <w:r w:rsidRPr="00AE1814">
        <w:t xml:space="preserve">Региональные и глобальные оценки будут получены из национальных данных </w:t>
      </w:r>
      <w:r w:rsidR="000A6993">
        <w:br/>
      </w:r>
      <w:r w:rsidRPr="00AE1814">
        <w:t xml:space="preserve">с использованием средневзвешенных значений. Взвешивание производится </w:t>
      </w:r>
      <w:r w:rsidR="000A6993">
        <w:br/>
      </w:r>
      <w:r w:rsidRPr="00AE1814">
        <w:t>с использованием численности городского населения из World Urbanization Prospects. Глобальным мониторингом будет руководить ООН-</w:t>
      </w:r>
      <w:proofErr w:type="spellStart"/>
      <w:r w:rsidRPr="00AE1814">
        <w:t>Хабитат</w:t>
      </w:r>
      <w:proofErr w:type="spellEnd"/>
      <w:r w:rsidRPr="00AE1814">
        <w:t xml:space="preserve"> при поддержке других партнеров и региональных комиссий.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AE1814" w:rsidRPr="00AE1814" w:rsidRDefault="00AE1814" w:rsidP="00AE1814">
      <w:r w:rsidRPr="00AE1814">
        <w:t>ООН-</w:t>
      </w:r>
      <w:proofErr w:type="spellStart"/>
      <w:r w:rsidRPr="00AE1814">
        <w:t>Хабитат</w:t>
      </w:r>
      <w:proofErr w:type="spellEnd"/>
      <w:r w:rsidRPr="00AE1814">
        <w:t xml:space="preserve"> разработала пошаговый методологический документ по сбору данных </w:t>
      </w:r>
      <w:r w:rsidR="000F5A9E">
        <w:br/>
      </w:r>
      <w:r w:rsidRPr="00AE1814">
        <w:t xml:space="preserve">и расчетам, применимый на национальном уровне. Документ доступен здесь: </w:t>
      </w:r>
      <w:hyperlink r:id="rId10" w:history="1">
        <w:r w:rsidR="000A6993" w:rsidRPr="008655F0">
          <w:rPr>
            <w:rStyle w:val="ac"/>
          </w:rPr>
          <w:t>https://unhabitat.org/sites/default/files/2020/06/indicator_11.1.1_training_module_adequate_housing_ and_slum_upgrading.pdf</w:t>
        </w:r>
      </w:hyperlink>
      <w:r w:rsidR="000A6993">
        <w:t xml:space="preserve"> (на английском языке)</w:t>
      </w:r>
      <w:r w:rsidRPr="00AE1814">
        <w:t>.</w:t>
      </w:r>
      <w:r w:rsidR="000A6993">
        <w:t xml:space="preserve"> </w:t>
      </w:r>
      <w:r w:rsidRPr="00AE1814">
        <w:t xml:space="preserve"> Агентство также предоставляет обучение странам по мере необходимости, а также постоянную техническую поддержку на протяжении всего процесса сбора данных, чтобы обеспечить соответствие национальных процессов всемирно принятой методологии.</w:t>
      </w:r>
    </w:p>
    <w:p w:rsidR="00AE1814" w:rsidRDefault="00AE1814" w:rsidP="00AE1814">
      <w:r w:rsidRPr="00AE1814">
        <w:t>Кроме того, ООН-</w:t>
      </w:r>
      <w:proofErr w:type="spellStart"/>
      <w:r w:rsidRPr="00AE1814">
        <w:t>Хабитат</w:t>
      </w:r>
      <w:proofErr w:type="spellEnd"/>
      <w:r w:rsidRPr="00AE1814">
        <w:t xml:space="preserve"> разработала аудиовизуальный контент для показателя 11.1.1, который доступен через </w:t>
      </w:r>
      <w:r w:rsidR="00453629">
        <w:t>ее портал электронного обучения и</w:t>
      </w:r>
      <w:r w:rsidRPr="00AE1814">
        <w:t xml:space="preserve"> предлага</w:t>
      </w:r>
      <w:r w:rsidR="00453629">
        <w:t>ет</w:t>
      </w:r>
      <w:r w:rsidRPr="00AE1814">
        <w:t xml:space="preserve"> более интерактивное обучение для </w:t>
      </w:r>
      <w:proofErr w:type="gramStart"/>
      <w:r w:rsidRPr="00AE1814">
        <w:t>производителей</w:t>
      </w:r>
      <w:proofErr w:type="gramEnd"/>
      <w:r w:rsidRPr="00AE1814">
        <w:t xml:space="preserve"> данных на разных уровнях. Содержание включает в себя </w:t>
      </w:r>
      <w:r w:rsidR="000A6993">
        <w:t>онлайн-</w:t>
      </w:r>
      <w:r w:rsidRPr="00AE1814">
        <w:t xml:space="preserve">курсы для самостоятельного обучения, в которых представлены описательные и практические пошаговые инструкции по расчету каждого </w:t>
      </w:r>
      <w:r w:rsidR="00453629">
        <w:t>показателя</w:t>
      </w:r>
      <w:r w:rsidRPr="00AE1814">
        <w:t xml:space="preserve">. Эти курсы направлены на укрепление национального потенциала в области сбора, анализа </w:t>
      </w:r>
      <w:r w:rsidR="000A6993">
        <w:br/>
      </w:r>
      <w:r w:rsidRPr="00AE1814">
        <w:t xml:space="preserve">и мониторинга городских показателей ЦУР. Они также предназначены для того, </w:t>
      </w:r>
      <w:r w:rsidR="000F5A9E">
        <w:br/>
      </w:r>
      <w:r w:rsidRPr="00AE1814">
        <w:t xml:space="preserve">чтобы быть привлекательными для различных групп, от </w:t>
      </w:r>
      <w:proofErr w:type="gramStart"/>
      <w:r w:rsidRPr="00AE1814">
        <w:t>производителей</w:t>
      </w:r>
      <w:proofErr w:type="gramEnd"/>
      <w:r w:rsidRPr="00AE1814">
        <w:t xml:space="preserve"> данных </w:t>
      </w:r>
      <w:r w:rsidR="000F5A9E">
        <w:br/>
      </w:r>
      <w:r w:rsidRPr="00AE1814">
        <w:t xml:space="preserve">до людей, просто заинтересованных в понимании показателей и их интерпретации. </w:t>
      </w:r>
      <w:r w:rsidR="000A6993">
        <w:br/>
      </w:r>
      <w:r w:rsidRPr="00AE1814">
        <w:t xml:space="preserve">Это было направлено на расширение круга экспертов по городскому мониторингу </w:t>
      </w:r>
      <w:r w:rsidR="00492F67">
        <w:br/>
      </w:r>
      <w:r w:rsidRPr="00AE1814">
        <w:t>и повышение уровня внедрения и использования инструментов в странах.</w:t>
      </w:r>
    </w:p>
    <w:p w:rsidR="002E15F9" w:rsidRDefault="002E15F9" w:rsidP="00AE1814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i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CE2E12" w:rsidRDefault="00CE2E12" w:rsidP="00CE2E12">
      <w:r w:rsidRPr="00CE2E12">
        <w:t>Для обеспечения согласованности производства данных по странам ООН-</w:t>
      </w:r>
      <w:proofErr w:type="spellStart"/>
      <w:r w:rsidRPr="00CE2E12">
        <w:t>Хабитат</w:t>
      </w:r>
      <w:proofErr w:type="spellEnd"/>
      <w:r w:rsidRPr="00CE2E12">
        <w:t xml:space="preserve"> разработала подробные пошаговые учебные пособия по расчету показателя 11.1.1, </w:t>
      </w:r>
      <w:r w:rsidR="00492F67">
        <w:br/>
      </w:r>
      <w:r w:rsidRPr="00CE2E12">
        <w:t xml:space="preserve">в которых более подробно объясняются этапы, представленные в этих метаданных. </w:t>
      </w:r>
      <w:proofErr w:type="gramStart"/>
      <w:r w:rsidRPr="00CE2E12">
        <w:t xml:space="preserve">Подробные учебные пособия, которые будут постоянно обновляться, доступны </w:t>
      </w:r>
      <w:r w:rsidR="00492F67">
        <w:br/>
        <w:t xml:space="preserve">на английском языке </w:t>
      </w:r>
      <w:r w:rsidRPr="00CE2E12">
        <w:t>по адресу</w:t>
      </w:r>
      <w:r w:rsidR="00492F67">
        <w:t>:</w:t>
      </w:r>
      <w:r w:rsidRPr="00CE2E12">
        <w:t xml:space="preserve"> </w:t>
      </w:r>
      <w:hyperlink r:id="rId11" w:history="1">
        <w:r w:rsidRPr="00CE2E12">
          <w:rPr>
            <w:rStyle w:val="ac"/>
          </w:rPr>
          <w:t>https://unhabitat.org/knowledge/data-and-analytics</w:t>
        </w:r>
      </w:hyperlink>
      <w:r w:rsidRPr="00CE2E12">
        <w:t xml:space="preserve">, </w:t>
      </w:r>
      <w:hyperlink r:id="rId12" w:history="1">
        <w:r w:rsidR="00492F67" w:rsidRPr="008655F0">
          <w:rPr>
            <w:rStyle w:val="ac"/>
          </w:rPr>
          <w:t>https://www.urbanagendaplatform.org/learning</w:t>
        </w:r>
      </w:hyperlink>
      <w:r w:rsidR="00492F67">
        <w:t xml:space="preserve"> и </w:t>
      </w:r>
      <w:hyperlink r:id="rId13" w:history="1">
        <w:r w:rsidR="00492F67" w:rsidRPr="008655F0">
          <w:rPr>
            <w:rStyle w:val="ac"/>
          </w:rPr>
          <w:t>https://data.unhabitat.org</w:t>
        </w:r>
      </w:hyperlink>
      <w:r w:rsidRPr="00CE2E12">
        <w:t xml:space="preserve">. В Секции данных </w:t>
      </w:r>
      <w:r w:rsidR="00492F67">
        <w:br/>
      </w:r>
      <w:r w:rsidRPr="00CE2E12">
        <w:t>и аналитики, отвечающей за сбор данных по показателям, ООН-</w:t>
      </w:r>
      <w:proofErr w:type="spellStart"/>
      <w:r w:rsidRPr="00CE2E12">
        <w:t>Хабитат</w:t>
      </w:r>
      <w:proofErr w:type="spellEnd"/>
      <w:r w:rsidRPr="00CE2E12">
        <w:t xml:space="preserve"> имеет группу экспертов по данным, которые проверяют все представленные данные и оказывают непосредственную поддержку странам в расчете показателей.</w:t>
      </w:r>
      <w:proofErr w:type="gramEnd"/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CE2E12" w:rsidRDefault="00CE2E12" w:rsidP="00CE2E12">
      <w:r w:rsidRPr="00CE2E12">
        <w:t>ООН-</w:t>
      </w:r>
      <w:proofErr w:type="spellStart"/>
      <w:r w:rsidRPr="00CE2E12">
        <w:t>Хабитат</w:t>
      </w:r>
      <w:proofErr w:type="spellEnd"/>
      <w:r w:rsidRPr="00CE2E12">
        <w:t xml:space="preserve"> поддерживает глобальную базу данных городских показателей, которая используется для мониторинга городских показателей, взятых из ЦУР, NUA, флагманских отчетов (например, </w:t>
      </w:r>
      <w:proofErr w:type="spellStart"/>
      <w:r w:rsidRPr="00CE2E12">
        <w:t>World</w:t>
      </w:r>
      <w:proofErr w:type="spellEnd"/>
      <w:r w:rsidRPr="00CE2E12">
        <w:t xml:space="preserve"> </w:t>
      </w:r>
      <w:proofErr w:type="spellStart"/>
      <w:r w:rsidRPr="00CE2E12">
        <w:t>Cities</w:t>
      </w:r>
      <w:proofErr w:type="spellEnd"/>
      <w:r w:rsidRPr="00CE2E12">
        <w:t xml:space="preserve"> </w:t>
      </w:r>
      <w:proofErr w:type="spellStart"/>
      <w:r w:rsidRPr="00CE2E12">
        <w:t>Report</w:t>
      </w:r>
      <w:proofErr w:type="spellEnd"/>
      <w:r w:rsidRPr="00CE2E12">
        <w:t xml:space="preserve">) и других официальных отчетов. Как правило, </w:t>
      </w:r>
      <w:r w:rsidR="00492F67">
        <w:br/>
      </w:r>
      <w:r w:rsidRPr="00CE2E12">
        <w:t xml:space="preserve">все новые данные тщательно анализируются техническим персоналом отдела данных </w:t>
      </w:r>
      <w:r w:rsidR="00492F67">
        <w:br/>
      </w:r>
      <w:r w:rsidRPr="00CE2E12">
        <w:t xml:space="preserve">и аналитики на предмет их согласованности и общего качества перед публикацией в базе данных городских показателей. Это гарантирует, что в базу данных будет включена только самая точная и достоверная информация. Ключевые элементы, рассматриваемые </w:t>
      </w:r>
      <w:r w:rsidR="00492F67">
        <w:br/>
      </w:r>
      <w:r w:rsidRPr="00CE2E12">
        <w:t>в обзоре, включают: надлежащее документирование источников данных; репрезентативность данных на национальном уровне, использование надлежащей методологии для сбора и анализа данных (например, надлежащий процесс выборки, значения, основанны</w:t>
      </w:r>
      <w:r>
        <w:t>й</w:t>
      </w:r>
      <w:r w:rsidRPr="00CE2E12">
        <w:t xml:space="preserve"> на действительных размерах выборки), использование соответствующих концепций и определений, согласованность тенденций данных с ранее опубликованными/от</w:t>
      </w:r>
      <w:r>
        <w:t>четными оценками для показателя</w:t>
      </w:r>
      <w:r w:rsidRPr="00CE2E12">
        <w:t>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CE2E12" w:rsidRDefault="00CE2E12" w:rsidP="00CE2E12">
      <w:r w:rsidRPr="00CE2E12">
        <w:t>После получения данных от государств-членов ООН-</w:t>
      </w:r>
      <w:proofErr w:type="spellStart"/>
      <w:r w:rsidRPr="00CE2E12">
        <w:t>Хабитат</w:t>
      </w:r>
      <w:proofErr w:type="spellEnd"/>
      <w:r w:rsidRPr="00CE2E12">
        <w:t xml:space="preserve"> использует контрольный список, относящийся к каждому показателю, для оценки а) соответствия процесса производства данных положениям о метаданных и б) подтверждения точности источников данных, использованных для расчета показателя. </w:t>
      </w:r>
      <w:proofErr w:type="gramStart"/>
      <w:r w:rsidRPr="00CE2E12">
        <w:t xml:space="preserve">Оба компонента отражены в шаблоне отчетности, предоставленном в распоряжение национальных статистических управлений, что помогает оценить, были ли расчеты выполнены с использованием предлагаемых исходных данных </w:t>
      </w:r>
      <w:r>
        <w:t>показателей</w:t>
      </w:r>
      <w:r w:rsidRPr="00CE2E12">
        <w:t xml:space="preserve"> или </w:t>
      </w:r>
      <w:r w:rsidR="00492F67">
        <w:t>прокси-</w:t>
      </w:r>
      <w:r w:rsidRPr="00CE2E12">
        <w:t>показателей</w:t>
      </w:r>
      <w:r w:rsidR="00492F67">
        <w:t xml:space="preserve"> (косвенных)</w:t>
      </w:r>
      <w:r w:rsidRPr="00CE2E12">
        <w:t>.</w:t>
      </w:r>
      <w:proofErr w:type="gramEnd"/>
      <w:r w:rsidRPr="00CE2E12">
        <w:t xml:space="preserve"> В шаблоне отчетности также запрашивается информация, которая помогает понять, были ли национальные данные по показателю получены из </w:t>
      </w:r>
      <w:r w:rsidR="00492F67">
        <w:t xml:space="preserve">подходящих </w:t>
      </w:r>
      <w:r w:rsidRPr="00CE2E12">
        <w:t>источников данных. Кроме того, полученные данные также проверяются на другие качества, такие как дезагрегация данных, отчетный период и согласованность с другими ранее зарегистрированными тенденциями, что обеспечивает надежные региональные оценки.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Доступность и </w:t>
      </w:r>
      <w:proofErr w:type="spellStart"/>
      <w:r w:rsidR="0075371E" w:rsidRPr="00BD29EC">
        <w:rPr>
          <w:b/>
          <w:color w:val="auto"/>
          <w:sz w:val="24"/>
          <w:szCs w:val="24"/>
          <w:lang w:val="ru-RU"/>
        </w:rPr>
        <w:t>дезагрегирование</w:t>
      </w:r>
      <w:proofErr w:type="spellEnd"/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492F67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492F67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CE2E12" w:rsidRPr="00CE2E12" w:rsidRDefault="00CE2E12" w:rsidP="00A304DD">
      <w:r w:rsidRPr="00CE2E12">
        <w:t>Данные о трущобах имеются по всем развивающимся странам, как это ежегодно сообщает ООН-</w:t>
      </w:r>
      <w:proofErr w:type="spellStart"/>
      <w:r w:rsidRPr="00CE2E12">
        <w:t>Хабитат</w:t>
      </w:r>
      <w:proofErr w:type="spellEnd"/>
      <w:r w:rsidRPr="00CE2E12">
        <w:t xml:space="preserve"> в отчетах о достижении ЦРТ. Недавно ООН-</w:t>
      </w:r>
      <w:proofErr w:type="spellStart"/>
      <w:r w:rsidRPr="00CE2E12">
        <w:t>Хабитат</w:t>
      </w:r>
      <w:proofErr w:type="spellEnd"/>
      <w:r w:rsidRPr="00CE2E12">
        <w:t xml:space="preserve"> дезагрегировала информацию по этому показателю на уровне городов, повысив ее пригодность для ЦУР 11. В настоящее время показатель людей, живущих в трущобах, измеряется более чем </w:t>
      </w:r>
      <w:r w:rsidR="00492F67">
        <w:br/>
      </w:r>
      <w:r w:rsidRPr="00CE2E12">
        <w:t>в</w:t>
      </w:r>
      <w:r w:rsidR="00492F67">
        <w:t xml:space="preserve"> </w:t>
      </w:r>
      <w:r w:rsidRPr="00CE2E12">
        <w:t>320 городах по всему миру в рамках Инициативы ООН-</w:t>
      </w:r>
      <w:proofErr w:type="spellStart"/>
      <w:r w:rsidRPr="00CE2E12">
        <w:t>Хабитат</w:t>
      </w:r>
      <w:proofErr w:type="spellEnd"/>
      <w:r w:rsidRPr="00CE2E12">
        <w:t xml:space="preserve"> по обеспечению процветания городов. ООН-</w:t>
      </w:r>
      <w:proofErr w:type="spellStart"/>
      <w:r w:rsidRPr="00CE2E12">
        <w:t>Хабитат</w:t>
      </w:r>
      <w:proofErr w:type="spellEnd"/>
      <w:r w:rsidRPr="00CE2E12">
        <w:t xml:space="preserve"> и Всемирный банк </w:t>
      </w:r>
      <w:r w:rsidR="00A304DD">
        <w:t xml:space="preserve">рассчитывали этот показатель </w:t>
      </w:r>
      <w:r w:rsidR="00492F67">
        <w:br/>
      </w:r>
      <w:r w:rsidR="00A304DD">
        <w:t xml:space="preserve">для ряда данных </w:t>
      </w:r>
      <w:r w:rsidRPr="00CE2E12">
        <w:t>(1996-2006 гг.) в рамках Программы городских показателей.</w:t>
      </w:r>
    </w:p>
    <w:p w:rsidR="00CE2E12" w:rsidRDefault="00CE2E12" w:rsidP="00A304DD">
      <w:r w:rsidRPr="00CE2E12">
        <w:t xml:space="preserve">Данные о </w:t>
      </w:r>
      <w:r w:rsidR="00A304DD">
        <w:t>неудовлетворительных жилищных условиях</w:t>
      </w:r>
      <w:r w:rsidRPr="00CE2E12">
        <w:t xml:space="preserve">, </w:t>
      </w:r>
      <w:proofErr w:type="gramStart"/>
      <w:r w:rsidRPr="00CE2E12">
        <w:t>измеряем</w:t>
      </w:r>
      <w:r w:rsidR="00A304DD">
        <w:t>ым</w:t>
      </w:r>
      <w:proofErr w:type="gramEnd"/>
      <w:r w:rsidRPr="00CE2E12">
        <w:t xml:space="preserve"> доступностью жилья, доступны для всех стран ОЭСР, а также в Глобальной выборке городов ООН, охватывающей 200 городов. Данные о </w:t>
      </w:r>
      <w:r w:rsidR="00A304DD">
        <w:t>неудовлетворительных жилищных условиях</w:t>
      </w:r>
      <w:r w:rsidRPr="00CE2E12">
        <w:t>, измеряем</w:t>
      </w:r>
      <w:r w:rsidR="00A304DD">
        <w:t>ые ценовой приемлемостью</w:t>
      </w:r>
      <w:r w:rsidRPr="00CE2E12">
        <w:t>, имеются во многих странах. ООН-</w:t>
      </w:r>
      <w:proofErr w:type="spellStart"/>
      <w:r w:rsidRPr="00CE2E12">
        <w:t>Хабитат</w:t>
      </w:r>
      <w:proofErr w:type="spellEnd"/>
      <w:r w:rsidRPr="00CE2E12">
        <w:t xml:space="preserve"> </w:t>
      </w:r>
      <w:r w:rsidR="00492F67">
        <w:br/>
      </w:r>
      <w:r w:rsidRPr="00CE2E12">
        <w:t xml:space="preserve">и Всемирный банк рассчитывали этот показатель на протяжении многих лет (1996-2006 гг.) в рамках Программы городских показателей. Недавно Рабочая группа по глобальным жилищным показателям, совместная работа </w:t>
      </w:r>
      <w:proofErr w:type="spellStart"/>
      <w:r w:rsidRPr="00CE2E12">
        <w:t>Cities</w:t>
      </w:r>
      <w:proofErr w:type="spellEnd"/>
      <w:r w:rsidRPr="00CE2E12">
        <w:t xml:space="preserve"> </w:t>
      </w:r>
      <w:proofErr w:type="spellStart"/>
      <w:r w:rsidRPr="00CE2E12">
        <w:t>Alliance</w:t>
      </w:r>
      <w:proofErr w:type="spellEnd"/>
      <w:r w:rsidRPr="00CE2E12">
        <w:t xml:space="preserve">, </w:t>
      </w:r>
      <w:proofErr w:type="spellStart"/>
      <w:r w:rsidRPr="00CE2E12">
        <w:t>Habitat</w:t>
      </w:r>
      <w:proofErr w:type="spellEnd"/>
      <w:r w:rsidRPr="00CE2E12">
        <w:t xml:space="preserve"> </w:t>
      </w:r>
      <w:proofErr w:type="spellStart"/>
      <w:r w:rsidRPr="00CE2E12">
        <w:t>for</w:t>
      </w:r>
      <w:proofErr w:type="spellEnd"/>
      <w:r w:rsidRPr="00CE2E12">
        <w:t xml:space="preserve"> </w:t>
      </w:r>
      <w:proofErr w:type="spellStart"/>
      <w:r w:rsidRPr="00CE2E12">
        <w:t>Humanity</w:t>
      </w:r>
      <w:proofErr w:type="spellEnd"/>
      <w:r w:rsidRPr="00CE2E12">
        <w:t xml:space="preserve"> </w:t>
      </w:r>
      <w:proofErr w:type="spellStart"/>
      <w:r w:rsidRPr="00CE2E12">
        <w:t>International</w:t>
      </w:r>
      <w:proofErr w:type="spellEnd"/>
      <w:r w:rsidRPr="00CE2E12">
        <w:t>, Межамериканского банка развития, ООН-</w:t>
      </w:r>
      <w:proofErr w:type="spellStart"/>
      <w:r w:rsidRPr="00CE2E12">
        <w:t>Хабитат</w:t>
      </w:r>
      <w:proofErr w:type="spellEnd"/>
      <w:r w:rsidRPr="00CE2E12">
        <w:t>, предложила собирать данные по этому показателю во всем мире.</w:t>
      </w:r>
    </w:p>
    <w:p w:rsidR="0075371E" w:rsidRPr="00492F67" w:rsidRDefault="0075371E" w:rsidP="00CE2E12">
      <w:pPr>
        <w:pStyle w:val="MText"/>
        <w:rPr>
          <w:b/>
          <w:color w:val="auto"/>
          <w:sz w:val="24"/>
          <w:szCs w:val="24"/>
          <w:lang w:val="ru-RU"/>
        </w:rPr>
      </w:pPr>
      <w:r w:rsidRPr="00492F67">
        <w:rPr>
          <w:b/>
          <w:color w:val="auto"/>
          <w:sz w:val="24"/>
          <w:szCs w:val="24"/>
          <w:lang w:val="ru-RU"/>
        </w:rPr>
        <w:t>Временные ряды:</w:t>
      </w:r>
    </w:p>
    <w:p w:rsidR="00A304DD" w:rsidRDefault="00A304DD" w:rsidP="00A304DD">
      <w:r w:rsidRPr="00A304DD">
        <w:t>Имеющиеся данные охватывают период 1990-2018 гг. Поскольку усилия и возможности по сбору и анализу данных обследований различны для каждой страны, продолжительность временного ряда для каждой страны сильно различается.</w:t>
      </w:r>
    </w:p>
    <w:p w:rsidR="0075371E" w:rsidRPr="00492F67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492F67">
        <w:rPr>
          <w:b/>
          <w:color w:val="auto"/>
          <w:sz w:val="24"/>
          <w:szCs w:val="24"/>
          <w:lang w:val="ru-RU"/>
        </w:rPr>
        <w:t>Разбивка:</w:t>
      </w:r>
    </w:p>
    <w:p w:rsidR="00A304DD" w:rsidRPr="00492F67" w:rsidRDefault="00A304DD" w:rsidP="00492F67">
      <w:pPr>
        <w:spacing w:line="240" w:lineRule="auto"/>
        <w:contextualSpacing/>
        <w:rPr>
          <w:i/>
        </w:rPr>
      </w:pPr>
      <w:r w:rsidRPr="00492F67">
        <w:rPr>
          <w:i/>
        </w:rPr>
        <w:t xml:space="preserve">Потенциальная дезагрегация: </w:t>
      </w:r>
    </w:p>
    <w:p w:rsidR="00A304DD" w:rsidRPr="00A304DD" w:rsidRDefault="00A304DD" w:rsidP="00492F67">
      <w:pPr>
        <w:spacing w:line="240" w:lineRule="auto"/>
        <w:contextualSpacing/>
      </w:pPr>
      <w:r w:rsidRPr="00A304DD">
        <w:t>• Разбивка по местоположению (внутри города)</w:t>
      </w:r>
      <w:r w:rsidR="00C3485D">
        <w:t>;</w:t>
      </w:r>
      <w:r w:rsidRPr="00A304DD">
        <w:t xml:space="preserve"> </w:t>
      </w:r>
    </w:p>
    <w:p w:rsidR="00A304DD" w:rsidRPr="00A304DD" w:rsidRDefault="00A304DD" w:rsidP="00492F67">
      <w:pPr>
        <w:spacing w:line="240" w:lineRule="auto"/>
        <w:contextualSpacing/>
      </w:pPr>
      <w:r w:rsidRPr="00A304DD">
        <w:t>• Разбивка по группам доходов</w:t>
      </w:r>
      <w:r w:rsidR="00C3485D">
        <w:t>;</w:t>
      </w:r>
      <w:r w:rsidRPr="00A304DD">
        <w:t xml:space="preserve"> </w:t>
      </w:r>
    </w:p>
    <w:p w:rsidR="00A304DD" w:rsidRPr="00A304DD" w:rsidRDefault="00A304DD" w:rsidP="00492F67">
      <w:pPr>
        <w:spacing w:line="240" w:lineRule="auto"/>
        <w:contextualSpacing/>
      </w:pPr>
      <w:r w:rsidRPr="00A304DD">
        <w:t>• Разбивка по полу, расе, этнической принадлежности, религии, миграционному статусу (глава домохозяйства)</w:t>
      </w:r>
      <w:r w:rsidR="00C3485D">
        <w:t>;</w:t>
      </w:r>
      <w:r w:rsidRPr="00A304DD">
        <w:t xml:space="preserve"> </w:t>
      </w:r>
    </w:p>
    <w:p w:rsidR="00A304DD" w:rsidRPr="00A304DD" w:rsidRDefault="00A304DD" w:rsidP="00492F67">
      <w:pPr>
        <w:spacing w:line="240" w:lineRule="auto"/>
        <w:contextualSpacing/>
      </w:pPr>
      <w:r w:rsidRPr="00A304DD">
        <w:t>• Разбивка по возрасту (члены домохозяйства)</w:t>
      </w:r>
      <w:r w:rsidR="00C3485D">
        <w:t>;</w:t>
      </w:r>
      <w:r w:rsidRPr="00A304DD">
        <w:t xml:space="preserve"> </w:t>
      </w:r>
    </w:p>
    <w:p w:rsidR="00A304DD" w:rsidRDefault="00A304DD" w:rsidP="00492F67">
      <w:pPr>
        <w:spacing w:line="240" w:lineRule="auto"/>
        <w:contextualSpacing/>
      </w:pPr>
      <w:r w:rsidRPr="00A304DD">
        <w:t>• Разбивка по статусу инвалидности (члены домохозяйства)</w:t>
      </w:r>
      <w:r w:rsidR="00C3485D">
        <w:t>;</w:t>
      </w:r>
      <w:r w:rsidRPr="00A304DD">
        <w:t xml:space="preserve"> </w:t>
      </w:r>
    </w:p>
    <w:p w:rsidR="00492F67" w:rsidRPr="00A304DD" w:rsidRDefault="00492F67" w:rsidP="00492F67">
      <w:pPr>
        <w:spacing w:line="240" w:lineRule="auto"/>
        <w:contextualSpacing/>
      </w:pPr>
    </w:p>
    <w:p w:rsidR="00A304DD" w:rsidRPr="00492F67" w:rsidRDefault="00492F67" w:rsidP="00492F67">
      <w:pPr>
        <w:contextualSpacing/>
        <w:rPr>
          <w:i/>
        </w:rPr>
      </w:pPr>
      <w:r>
        <w:rPr>
          <w:i/>
        </w:rPr>
        <w:t>Количественные производные</w:t>
      </w:r>
      <w:r w:rsidR="00A304DD" w:rsidRPr="00492F67">
        <w:rPr>
          <w:i/>
        </w:rPr>
        <w:t xml:space="preserve">: </w:t>
      </w:r>
    </w:p>
    <w:p w:rsidR="00A304DD" w:rsidRPr="00A304DD" w:rsidRDefault="00A304DD" w:rsidP="00492F67">
      <w:pPr>
        <w:contextualSpacing/>
      </w:pPr>
      <w:r w:rsidRPr="00A304DD">
        <w:t>• Доля домохозяйств, имеющих долговечное жилье</w:t>
      </w:r>
      <w:r w:rsidR="00C3485D">
        <w:t>;</w:t>
      </w:r>
      <w:r w:rsidRPr="00A304DD">
        <w:t xml:space="preserve"> </w:t>
      </w:r>
    </w:p>
    <w:p w:rsidR="00A304DD" w:rsidRPr="00A304DD" w:rsidRDefault="00A304DD" w:rsidP="00492F67">
      <w:pPr>
        <w:contextualSpacing/>
      </w:pPr>
      <w:r w:rsidRPr="00A304DD">
        <w:t>• Доля домохозяйств с улучшенным водоснабжением</w:t>
      </w:r>
      <w:r w:rsidR="00C3485D">
        <w:t>;</w:t>
      </w:r>
      <w:r w:rsidRPr="00A304DD">
        <w:t xml:space="preserve"> </w:t>
      </w:r>
    </w:p>
    <w:p w:rsidR="00A304DD" w:rsidRPr="00A304DD" w:rsidRDefault="00A304DD" w:rsidP="00492F67">
      <w:pPr>
        <w:contextualSpacing/>
      </w:pPr>
      <w:r w:rsidRPr="00A304DD">
        <w:t>• Доля домохозяйств с улучшенными санитарными условиями</w:t>
      </w:r>
      <w:r w:rsidR="00C3485D">
        <w:t>;</w:t>
      </w:r>
      <w:r w:rsidRPr="00A304DD">
        <w:t xml:space="preserve"> </w:t>
      </w:r>
    </w:p>
    <w:p w:rsidR="00A304DD" w:rsidRPr="00A304DD" w:rsidRDefault="00A304DD" w:rsidP="00492F67">
      <w:pPr>
        <w:contextualSpacing/>
      </w:pPr>
      <w:r w:rsidRPr="00A304DD">
        <w:t>• Доля домохозяйств с достаточной жилой площадью</w:t>
      </w:r>
      <w:r w:rsidR="00C3485D">
        <w:t>;</w:t>
      </w:r>
      <w:r w:rsidRPr="00A304DD">
        <w:t xml:space="preserve"> </w:t>
      </w:r>
    </w:p>
    <w:p w:rsidR="00A304DD" w:rsidRPr="00A304DD" w:rsidRDefault="00A304DD" w:rsidP="00492F67">
      <w:pPr>
        <w:contextualSpacing/>
      </w:pPr>
      <w:r w:rsidRPr="00A304DD">
        <w:t>• Доля домохозяйств, имеющих гарантии владения жильем</w:t>
      </w:r>
      <w:r w:rsidR="00C3485D">
        <w:t>;</w:t>
      </w:r>
      <w:r w:rsidRPr="00A304DD">
        <w:t xml:space="preserve"> </w:t>
      </w:r>
    </w:p>
    <w:p w:rsidR="00A304DD" w:rsidRPr="00A304DD" w:rsidRDefault="00A304DD" w:rsidP="00492F67">
      <w:pPr>
        <w:contextualSpacing/>
      </w:pPr>
      <w:r w:rsidRPr="00A304DD">
        <w:t>• Доля домохозяйств</w:t>
      </w:r>
      <w:r>
        <w:t xml:space="preserve"> с одним (1) «жилищным лишением»</w:t>
      </w:r>
      <w:r w:rsidR="00C3485D">
        <w:t>;</w:t>
      </w:r>
      <w:r w:rsidRPr="00A304DD">
        <w:t xml:space="preserve"> </w:t>
      </w:r>
    </w:p>
    <w:p w:rsidR="00A304DD" w:rsidRPr="00A304DD" w:rsidRDefault="00A304DD" w:rsidP="00492F67">
      <w:pPr>
        <w:contextualSpacing/>
      </w:pPr>
      <w:r w:rsidRPr="00A304DD">
        <w:t xml:space="preserve">• Доля домохозяйств с множественными (2 или более) </w:t>
      </w:r>
      <w:r>
        <w:t>«</w:t>
      </w:r>
      <w:r w:rsidRPr="00A304DD">
        <w:t>жилищными лишениями</w:t>
      </w:r>
      <w:r>
        <w:t>»</w:t>
      </w:r>
      <w:r w:rsidR="00C3485D">
        <w:t>;</w:t>
      </w:r>
      <w:r w:rsidRPr="00A304DD">
        <w:t xml:space="preserve"> </w:t>
      </w:r>
    </w:p>
    <w:p w:rsidR="00A304DD" w:rsidRPr="00A304DD" w:rsidRDefault="00A304DD" w:rsidP="00492F67">
      <w:pPr>
        <w:contextualSpacing/>
      </w:pPr>
      <w:r w:rsidRPr="00A304DD">
        <w:t>• Доля домохозяйств с утвержденным муниципальным разрешением</w:t>
      </w:r>
      <w:r w:rsidR="00C3485D">
        <w:t>;</w:t>
      </w:r>
      <w:r w:rsidRPr="00A304DD">
        <w:t xml:space="preserve"> </w:t>
      </w:r>
    </w:p>
    <w:p w:rsidR="00A304DD" w:rsidRDefault="00A304DD" w:rsidP="00492F67">
      <w:pPr>
        <w:contextualSpacing/>
      </w:pPr>
      <w:r w:rsidRPr="00A304DD">
        <w:t>• Доля домохозяйств, имеющих (</w:t>
      </w:r>
      <w:r w:rsidR="00492F67">
        <w:t>находящихся в</w:t>
      </w:r>
      <w:r w:rsidRPr="00A304DD">
        <w:t xml:space="preserve">) </w:t>
      </w:r>
      <w:r w:rsidR="00C3485D">
        <w:t>удовлетворительное</w:t>
      </w:r>
      <w:r w:rsidRPr="00A304DD">
        <w:t xml:space="preserve"> жилье (</w:t>
      </w:r>
      <w:r w:rsidR="00C3485D">
        <w:t>ценовая доступность</w:t>
      </w:r>
      <w:r w:rsidRPr="00A304DD">
        <w:t>)</w:t>
      </w:r>
      <w:r w:rsidR="00C3485D">
        <w:t>.</w:t>
      </w:r>
    </w:p>
    <w:p w:rsidR="00C3485D" w:rsidRDefault="00C3485D" w:rsidP="00A304DD"/>
    <w:p w:rsidR="002E15F9" w:rsidRPr="00976B1D" w:rsidRDefault="002E15F9" w:rsidP="00A304DD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976B1D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</w:t>
      </w:r>
      <w:r w:rsidR="0075371E" w:rsidRPr="00976B1D">
        <w:rPr>
          <w:b/>
          <w:color w:val="auto"/>
          <w:sz w:val="24"/>
          <w:szCs w:val="24"/>
          <w:lang w:val="ru-RU"/>
        </w:rPr>
        <w:t xml:space="preserve"> / </w:t>
      </w:r>
      <w:r w:rsidR="0075371E" w:rsidRPr="00BD29EC">
        <w:rPr>
          <w:b/>
          <w:color w:val="auto"/>
          <w:sz w:val="24"/>
          <w:szCs w:val="24"/>
          <w:lang w:val="ru-RU"/>
        </w:rPr>
        <w:t>отклонение</w:t>
      </w:r>
      <w:r w:rsidR="0075371E" w:rsidRPr="00976B1D">
        <w:rPr>
          <w:b/>
          <w:color w:val="auto"/>
          <w:sz w:val="24"/>
          <w:szCs w:val="24"/>
          <w:lang w:val="ru-RU"/>
        </w:rPr>
        <w:t xml:space="preserve"> </w:t>
      </w:r>
      <w:r w:rsidR="0075371E" w:rsidRPr="00BD29EC">
        <w:rPr>
          <w:b/>
          <w:color w:val="auto"/>
          <w:sz w:val="24"/>
          <w:szCs w:val="24"/>
          <w:lang w:val="ru-RU"/>
        </w:rPr>
        <w:t>от</w:t>
      </w:r>
      <w:r w:rsidR="0075371E" w:rsidRPr="00976B1D">
        <w:rPr>
          <w:b/>
          <w:color w:val="auto"/>
          <w:sz w:val="24"/>
          <w:szCs w:val="24"/>
          <w:lang w:val="ru-RU"/>
        </w:rPr>
        <w:t xml:space="preserve"> </w:t>
      </w:r>
      <w:r w:rsidR="0075371E" w:rsidRPr="00BD29EC">
        <w:rPr>
          <w:b/>
          <w:color w:val="auto"/>
          <w:sz w:val="24"/>
          <w:szCs w:val="24"/>
          <w:lang w:val="ru-RU"/>
        </w:rPr>
        <w:t>международных</w:t>
      </w:r>
      <w:r w:rsidR="0075371E" w:rsidRPr="00976B1D">
        <w:rPr>
          <w:b/>
          <w:color w:val="auto"/>
          <w:sz w:val="24"/>
          <w:szCs w:val="24"/>
          <w:lang w:val="ru-RU"/>
        </w:rPr>
        <w:t xml:space="preserve"> </w:t>
      </w:r>
      <w:r w:rsidR="0075371E" w:rsidRPr="00BD29EC">
        <w:rPr>
          <w:b/>
          <w:color w:val="auto"/>
          <w:sz w:val="24"/>
          <w:szCs w:val="24"/>
          <w:lang w:val="ru-RU"/>
        </w:rPr>
        <w:t>стандартов</w:t>
      </w:r>
    </w:p>
    <w:p w:rsidR="00C3485D" w:rsidRDefault="00C3485D" w:rsidP="00C3485D">
      <w:r w:rsidRPr="00C3485D">
        <w:t xml:space="preserve">Поскольку за сбор данных несут ответственность национальные агентства, не ожидается, что возникнут какие-либо различия между данными, полученными в стране, </w:t>
      </w:r>
      <w:r w:rsidR="00492F67">
        <w:br/>
      </w:r>
      <w:r w:rsidRPr="00C3485D">
        <w:t xml:space="preserve">и международными оценочными данными по показателю, если на всех этапах процесса отчетности будут соблюдаться стандартные методологии и процедуры. Там, где такие расхождения существуют, они будут устранены посредством запланированных технических совещаний и семинаров по развитию потенциала. Отсутствующие данные </w:t>
      </w:r>
      <w:r w:rsidR="00492F67">
        <w:br/>
      </w:r>
      <w:r w:rsidRPr="00C3485D">
        <w:t xml:space="preserve">и другие местные переменные, а также частота сбора данных обычно влияют на цифры, представляемые на глобальном и национальном уровнях. Для этого показателя будут использоваться национальные данные для получения глобальных показателей. </w:t>
      </w:r>
      <w:r w:rsidR="00492F67">
        <w:br/>
      </w:r>
      <w:r w:rsidRPr="00C3485D">
        <w:t xml:space="preserve">В тех случаях, когда глобальные значения отличаются от национальных показателей, будут предприняты усилия для </w:t>
      </w:r>
      <w:r>
        <w:t xml:space="preserve">их </w:t>
      </w:r>
      <w:r w:rsidRPr="00C3485D">
        <w:t xml:space="preserve">согласования. Во многих случаях отсутствие новых данных будет заменено смоделированными данными для глобальных показателей. </w:t>
      </w:r>
      <w:r w:rsidR="000F5A9E">
        <w:br/>
      </w:r>
      <w:r w:rsidRPr="00C3485D">
        <w:t xml:space="preserve">Эти цифры будут приемлемы для отчетности на национальном и глобальном уровнях </w:t>
      </w:r>
      <w:r w:rsidR="00492F67">
        <w:br/>
      </w:r>
      <w:r w:rsidRPr="00C3485D">
        <w:t xml:space="preserve">с соответствующими примечаниями к таким цифрам. Это, вероятно, имеет место </w:t>
      </w:r>
      <w:r w:rsidR="00492F67">
        <w:br/>
      </w:r>
      <w:r w:rsidRPr="00C3485D">
        <w:t xml:space="preserve">для стран, в которых у них есть длительные интервалы сбора новых данных, </w:t>
      </w:r>
      <w:r w:rsidR="00492F67">
        <w:br/>
      </w:r>
      <w:r w:rsidRPr="00C3485D">
        <w:t>или где страны сталкиваются с нестабильными ситуациями, такими как стихийны</w:t>
      </w:r>
      <w:r>
        <w:t>е</w:t>
      </w:r>
      <w:r w:rsidRPr="00C3485D">
        <w:t xml:space="preserve"> бедстви</w:t>
      </w:r>
      <w:r>
        <w:t>я</w:t>
      </w:r>
      <w:r w:rsidRPr="00C3485D">
        <w:t xml:space="preserve"> или послевоенные годы.</w:t>
      </w:r>
    </w:p>
    <w:p w:rsidR="00040034" w:rsidRPr="00C3485D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C3485D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C3485D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C3485D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F72575" w:rsidRPr="005E2CC2" w:rsidRDefault="005E2CC2" w:rsidP="00492F67">
      <w:pPr>
        <w:contextualSpacing/>
      </w:pPr>
      <w:r w:rsidRPr="005E2CC2">
        <w:rPr>
          <w:rStyle w:val="normaltextrun"/>
          <w:rFonts w:cs="Times New Roman"/>
          <w:b/>
          <w:bCs/>
          <w:szCs w:val="24"/>
          <w:shd w:val="clear" w:color="auto" w:fill="FFFFFF"/>
        </w:rPr>
        <w:t>Библиографические ссылки</w:t>
      </w:r>
      <w:r w:rsidR="00F72575" w:rsidRPr="005E2CC2">
        <w:rPr>
          <w:rStyle w:val="normaltextrun"/>
          <w:rFonts w:cs="Times New Roman"/>
          <w:b/>
          <w:bCs/>
          <w:szCs w:val="24"/>
          <w:shd w:val="clear" w:color="auto" w:fill="FFFFFF"/>
        </w:rPr>
        <w:t>:</w:t>
      </w:r>
      <w:r w:rsidR="00F72575" w:rsidRPr="005E2CC2">
        <w:rPr>
          <w:rStyle w:val="eop"/>
          <w:rFonts w:cs="Times New Roman"/>
          <w:szCs w:val="24"/>
        </w:rPr>
        <w:t> 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Организация Объединенных Наций (2007 г.). Показатели устойчивого развития: руководящие принципы и методологии. Третье издание, Организация Объединенных Наций, Нью-Йорк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A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/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HRC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/25/54 (2013 г.), Доклад Специального докладчика по вопросу о достаточном жилище как компоненте права на достаточный жизненный уровень и о праве на </w:t>
      </w:r>
      <w:proofErr w:type="spellStart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недискриминацию</w:t>
      </w:r>
      <w:proofErr w:type="spellEnd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 в этом контексте.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ООН-</w:t>
      </w:r>
      <w:proofErr w:type="spellStart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Хабитат</w:t>
      </w:r>
      <w:proofErr w:type="spellEnd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 (2002 г.) Руководство по городским показателям. Найроби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ООН-</w:t>
      </w:r>
      <w:proofErr w:type="spellStart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Хабитат</w:t>
      </w:r>
      <w:proofErr w:type="spellEnd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, База данных глобальных городских показателей, 2012 г. 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a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. Найроби</w:t>
      </w:r>
    </w:p>
    <w:p w:rsidR="005E2CC2" w:rsidRPr="005E2CC2" w:rsidRDefault="005E2CC2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 w:rsidRPr="005E2CC2">
        <w:rPr>
          <w:rStyle w:val="normaltextrun"/>
          <w:rFonts w:cs="Times New Roman"/>
          <w:szCs w:val="24"/>
          <w:shd w:val="clear" w:color="auto" w:fill="FFFFFF"/>
        </w:rPr>
        <w:t>•</w:t>
      </w:r>
      <w:r w:rsidR="00E30823">
        <w:rPr>
          <w:rStyle w:val="normaltextrun"/>
          <w:rFonts w:cs="Times New Roman"/>
          <w:szCs w:val="24"/>
          <w:shd w:val="clear" w:color="auto" w:fill="FFFFFF"/>
        </w:rPr>
        <w:t> </w:t>
      </w:r>
      <w:r w:rsidRPr="005E2CC2">
        <w:rPr>
          <w:rStyle w:val="normaltextrun"/>
          <w:rFonts w:cs="Times New Roman"/>
          <w:szCs w:val="24"/>
          <w:shd w:val="clear" w:color="auto" w:fill="FFFFFF"/>
        </w:rPr>
        <w:t>ООН-</w:t>
      </w:r>
      <w:proofErr w:type="spellStart"/>
      <w:r w:rsidRPr="005E2CC2">
        <w:rPr>
          <w:rStyle w:val="normaltextrun"/>
          <w:rFonts w:cs="Times New Roman"/>
          <w:szCs w:val="24"/>
          <w:shd w:val="clear" w:color="auto" w:fill="FFFFFF"/>
        </w:rPr>
        <w:t>Хабитат</w:t>
      </w:r>
      <w:proofErr w:type="spellEnd"/>
      <w:r w:rsidRPr="005E2CC2">
        <w:rPr>
          <w:rStyle w:val="normaltextrun"/>
          <w:rFonts w:cs="Times New Roman"/>
          <w:szCs w:val="24"/>
          <w:shd w:val="clear" w:color="auto" w:fill="FFFFFF"/>
        </w:rPr>
        <w:t xml:space="preserve"> (2002 г.), совещание группы экспертов по городским показателям, Найроби, Кения, ноябрь 2002 г.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ООН-</w:t>
      </w:r>
      <w:proofErr w:type="spellStart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Хабитат</w:t>
      </w:r>
      <w:proofErr w:type="spellEnd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 (2003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a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), Трущобы мира: лицо городской бедности в новом тысячелетии.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ООН-</w:t>
      </w:r>
      <w:proofErr w:type="spellStart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Хабитат</w:t>
      </w:r>
      <w:proofErr w:type="spellEnd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 (2003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b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), Улучшение жизни 100 миллионов жителей трущоб – Руководство по мониторингу задачи 11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ООН-</w:t>
      </w:r>
      <w:proofErr w:type="spellStart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Хабитат</w:t>
      </w:r>
      <w:proofErr w:type="spellEnd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 (1998), </w:t>
      </w:r>
      <w:r w:rsidR="005E2CC2">
        <w:rPr>
          <w:rStyle w:val="normaltextrun"/>
          <w:rFonts w:cs="Times New Roman"/>
          <w:szCs w:val="24"/>
          <w:shd w:val="clear" w:color="auto" w:fill="FFFFFF"/>
        </w:rPr>
        <w:t>Перенаселенность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 и здоровье в поселениях с низким доходом в Гвинее-Бисау, 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SIEP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 Периодическая серия № 1.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Глобальный отчет о населенных пунктах в трущобах (2002 г.)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proofErr w:type="spellStart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Туркстра</w:t>
      </w:r>
      <w:proofErr w:type="spellEnd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, Дж. и </w:t>
      </w:r>
      <w:proofErr w:type="spellStart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Райтельхубер</w:t>
      </w:r>
      <w:proofErr w:type="spellEnd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, М. (2004). Мониторинг городских трущоб. Документ конференции пользователей 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ESRI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 1667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Программа городских показателей, Всемирный банк и ООН-</w:t>
      </w:r>
      <w:proofErr w:type="spellStart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Хабитат</w:t>
      </w:r>
      <w:proofErr w:type="spellEnd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, Руководящие принципы.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Среда обитания человечества, глобальные жилищные показатели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Среда обитания для человечества, Показатели жилищного строительства для Целей устойчивого развития, 2015 г.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Глобальный институт 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McKinsey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 (2014 г.), План решения глобальной проблемы доступного жилья.</w:t>
      </w:r>
    </w:p>
    <w:p w:rsidR="005E2CC2" w:rsidRPr="005E2CC2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Организация Объединенных Наций (2015 г.), Конференция по жилью и устойчивому городскому развитию – </w:t>
      </w:r>
      <w:proofErr w:type="spellStart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Хабитат</w:t>
      </w:r>
      <w:proofErr w:type="spellEnd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 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III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, Тематический документ № 22 о неформальных поселениях.</w:t>
      </w:r>
    </w:p>
    <w:p w:rsidR="005E2CC2" w:rsidRPr="00976B1D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ООН-</w:t>
      </w:r>
      <w:proofErr w:type="spellStart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Хабитат</w:t>
      </w:r>
      <w:proofErr w:type="spellEnd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, ЮН-ЭЙДС (2015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a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) Прекращение эпидемии СПИДа в городах. </w:t>
      </w:r>
      <w:r w:rsidR="005E2CC2" w:rsidRPr="00976B1D">
        <w:rPr>
          <w:rStyle w:val="normaltextrun"/>
          <w:rFonts w:cs="Times New Roman"/>
          <w:szCs w:val="24"/>
          <w:shd w:val="clear" w:color="auto" w:fill="FFFFFF"/>
        </w:rPr>
        <w:t>Найроби</w:t>
      </w:r>
    </w:p>
    <w:p w:rsidR="005E2CC2" w:rsidRPr="00976B1D" w:rsidRDefault="00E30823" w:rsidP="00492F67">
      <w:pPr>
        <w:contextualSpacing/>
        <w:rPr>
          <w:rStyle w:val="normaltextrun"/>
          <w:rFonts w:cs="Times New Roman"/>
          <w:szCs w:val="24"/>
          <w:shd w:val="clear" w:color="auto" w:fill="FFFFFF"/>
        </w:rPr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976B1D">
        <w:rPr>
          <w:rStyle w:val="normaltextrun"/>
          <w:rFonts w:cs="Times New Roman"/>
          <w:szCs w:val="24"/>
          <w:shd w:val="clear" w:color="auto" w:fill="FFFFFF"/>
        </w:rPr>
        <w:t>ООН-</w:t>
      </w:r>
      <w:proofErr w:type="spellStart"/>
      <w:r w:rsidR="005E2CC2" w:rsidRPr="00976B1D">
        <w:rPr>
          <w:rStyle w:val="normaltextrun"/>
          <w:rFonts w:cs="Times New Roman"/>
          <w:szCs w:val="24"/>
          <w:shd w:val="clear" w:color="auto" w:fill="FFFFFF"/>
        </w:rPr>
        <w:t>Хабитат</w:t>
      </w:r>
      <w:proofErr w:type="spellEnd"/>
      <w:r w:rsidR="005E2CC2" w:rsidRPr="00976B1D">
        <w:rPr>
          <w:rStyle w:val="normaltextrun"/>
          <w:rFonts w:cs="Times New Roman"/>
          <w:szCs w:val="24"/>
          <w:shd w:val="clear" w:color="auto" w:fill="FFFFFF"/>
        </w:rPr>
        <w:t xml:space="preserve"> (2015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b</w:t>
      </w:r>
      <w:r w:rsidR="005E2CC2" w:rsidRPr="00976B1D">
        <w:rPr>
          <w:rStyle w:val="normaltextrun"/>
          <w:rFonts w:cs="Times New Roman"/>
          <w:szCs w:val="24"/>
          <w:shd w:val="clear" w:color="auto" w:fill="FFFFFF"/>
        </w:rPr>
        <w:t>). Альманах трущоб 2015-2016</w:t>
      </w:r>
    </w:p>
    <w:p w:rsidR="00F72575" w:rsidRPr="005E2CC2" w:rsidRDefault="00E30823" w:rsidP="00492F67">
      <w:pPr>
        <w:contextualSpacing/>
      </w:pPr>
      <w:r>
        <w:rPr>
          <w:rStyle w:val="normaltextrun"/>
          <w:rFonts w:cs="Times New Roman"/>
          <w:szCs w:val="24"/>
          <w:shd w:val="clear" w:color="auto" w:fill="FFFFFF"/>
        </w:rPr>
        <w:t>• </w:t>
      </w:r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ООН-</w:t>
      </w:r>
      <w:proofErr w:type="spellStart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>Хабитат</w:t>
      </w:r>
      <w:proofErr w:type="spellEnd"/>
      <w:r w:rsidR="005E2CC2" w:rsidRPr="005E2CC2">
        <w:rPr>
          <w:rStyle w:val="normaltextrun"/>
          <w:rFonts w:cs="Times New Roman"/>
          <w:szCs w:val="24"/>
          <w:shd w:val="clear" w:color="auto" w:fill="FFFFFF"/>
        </w:rPr>
        <w:t xml:space="preserve"> (2016 г.). Доклад о городах мира, 2016 г.</w:t>
      </w:r>
      <w:r w:rsidR="00F72575" w:rsidRPr="005E2CC2">
        <w:rPr>
          <w:rStyle w:val="eop"/>
          <w:rFonts w:cs="Times New Roman"/>
          <w:szCs w:val="24"/>
        </w:rPr>
        <w:t> </w:t>
      </w:r>
    </w:p>
    <w:p w:rsidR="00F72575" w:rsidRPr="00976B1D" w:rsidRDefault="00F72575" w:rsidP="00492F67">
      <w:pPr>
        <w:contextualSpacing/>
        <w:rPr>
          <w:lang w:val="en-US"/>
        </w:rPr>
      </w:pPr>
      <w:r w:rsidRPr="005E2CC2">
        <w:rPr>
          <w:rStyle w:val="normaltextrun"/>
          <w:rFonts w:cs="Times New Roman"/>
          <w:b/>
          <w:bCs/>
          <w:szCs w:val="24"/>
          <w:shd w:val="clear" w:color="auto" w:fill="FFFFFF"/>
          <w:lang w:val="en-GB"/>
        </w:rPr>
        <w:t>URL:</w:t>
      </w:r>
      <w:r w:rsidRPr="00976B1D">
        <w:rPr>
          <w:rStyle w:val="eop"/>
          <w:rFonts w:cs="Times New Roman"/>
          <w:szCs w:val="24"/>
          <w:lang w:val="en-US"/>
        </w:rPr>
        <w:t> </w:t>
      </w:r>
    </w:p>
    <w:p w:rsidR="00F72575" w:rsidRPr="00976B1D" w:rsidRDefault="00F72575" w:rsidP="00492F67">
      <w:pPr>
        <w:contextualSpacing/>
        <w:rPr>
          <w:lang w:val="en-US"/>
        </w:rPr>
      </w:pPr>
      <w:r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[1]: http://www.un.org/esa/sustdev/natlinfo/indicators/methodology_sheets.pdf,</w:t>
      </w:r>
      <w:r w:rsidRPr="00976B1D">
        <w:rPr>
          <w:rStyle w:val="eop"/>
          <w:rFonts w:cs="Times New Roman"/>
          <w:szCs w:val="24"/>
          <w:lang w:val="en-US"/>
        </w:rPr>
        <w:t> </w:t>
      </w:r>
    </w:p>
    <w:p w:rsidR="00F72575" w:rsidRPr="00976B1D" w:rsidRDefault="00F72575" w:rsidP="00492F67">
      <w:pPr>
        <w:contextualSpacing/>
        <w:rPr>
          <w:lang w:val="en-US"/>
        </w:rPr>
      </w:pPr>
      <w:r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[2]: http://unhabitat.org/urban-indicators-guidelines/</w:t>
      </w:r>
      <w:r w:rsidRPr="00976B1D">
        <w:rPr>
          <w:rStyle w:val="eop"/>
          <w:rFonts w:cs="Times New Roman"/>
          <w:szCs w:val="24"/>
          <w:lang w:val="en-US"/>
        </w:rPr>
        <w:t> </w:t>
      </w:r>
    </w:p>
    <w:p w:rsidR="00F72575" w:rsidRPr="00976B1D" w:rsidRDefault="00F72575" w:rsidP="00492F67">
      <w:pPr>
        <w:contextualSpacing/>
        <w:rPr>
          <w:lang w:val="en-US"/>
        </w:rPr>
      </w:pPr>
      <w:r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[3]: http://mdgs.un.org/unsd/mdg/Metadata.aspx?IndicatorId=0&amp;SeriesId=710,</w:t>
      </w:r>
      <w:r w:rsidRPr="00976B1D">
        <w:rPr>
          <w:rStyle w:val="eop"/>
          <w:rFonts w:cs="Times New Roman"/>
          <w:szCs w:val="24"/>
          <w:lang w:val="en-US"/>
        </w:rPr>
        <w:t> </w:t>
      </w:r>
    </w:p>
    <w:p w:rsidR="00F72575" w:rsidRPr="00976B1D" w:rsidRDefault="00F72575" w:rsidP="00492F67">
      <w:pPr>
        <w:contextualSpacing/>
        <w:rPr>
          <w:lang w:val="en-US"/>
        </w:rPr>
      </w:pPr>
      <w:r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[4]: http://unhabitat.org/urban-initiatives/initiatives-programmes/participatory-slum-upgrading/</w:t>
      </w:r>
      <w:r w:rsidRPr="00976B1D">
        <w:rPr>
          <w:rStyle w:val="eop"/>
          <w:rFonts w:cs="Times New Roman"/>
          <w:szCs w:val="24"/>
          <w:lang w:val="en-US"/>
        </w:rPr>
        <w:t> </w:t>
      </w:r>
    </w:p>
    <w:p w:rsidR="00F72575" w:rsidRPr="00976B1D" w:rsidRDefault="00F72575" w:rsidP="00492F67">
      <w:pPr>
        <w:contextualSpacing/>
        <w:rPr>
          <w:lang w:val="en-US"/>
        </w:rPr>
      </w:pPr>
      <w:r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[5]: http://unhabitat.org/slum-almanac-2015-2016/</w:t>
      </w:r>
      <w:r w:rsidRPr="00976B1D">
        <w:rPr>
          <w:rStyle w:val="eop"/>
          <w:rFonts w:cs="Times New Roman"/>
          <w:szCs w:val="24"/>
          <w:lang w:val="en-US"/>
        </w:rPr>
        <w:t> </w:t>
      </w:r>
    </w:p>
    <w:p w:rsidR="00F72575" w:rsidRPr="00976B1D" w:rsidRDefault="00F72575" w:rsidP="00492F67">
      <w:pPr>
        <w:contextualSpacing/>
        <w:rPr>
          <w:lang w:val="en-US"/>
        </w:rPr>
      </w:pPr>
      <w:r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[6]: http://wcr.unhabitat.org/</w:t>
      </w:r>
      <w:r w:rsidRPr="00976B1D">
        <w:rPr>
          <w:rStyle w:val="eop"/>
          <w:rFonts w:cs="Times New Roman"/>
          <w:szCs w:val="24"/>
          <w:lang w:val="en-US"/>
        </w:rPr>
        <w:t> </w:t>
      </w:r>
    </w:p>
    <w:p w:rsidR="00F72575" w:rsidRPr="005E2CC2" w:rsidRDefault="00F72575" w:rsidP="00492F67">
      <w:pPr>
        <w:contextualSpacing/>
        <w:rPr>
          <w:rFonts w:eastAsia="Times New Roman"/>
          <w:lang w:val="en-US"/>
        </w:rPr>
      </w:pPr>
      <w:r w:rsidRPr="005E2CC2">
        <w:rPr>
          <w:rStyle w:val="normaltextrun"/>
          <w:rFonts w:cs="Times New Roman"/>
          <w:szCs w:val="24"/>
          <w:shd w:val="clear" w:color="auto" w:fill="FFFFFF"/>
          <w:lang w:val="en-GB"/>
        </w:rPr>
        <w:t>[7]: http://www.unhabitat.org/programmes/guo/documents/EGM final report 4 Dec 02.pdf</w:t>
      </w:r>
      <w:r w:rsidRPr="00976B1D">
        <w:rPr>
          <w:rStyle w:val="eop"/>
          <w:rFonts w:cs="Times New Roman"/>
          <w:szCs w:val="24"/>
          <w:lang w:val="en-US"/>
        </w:rPr>
        <w:t> </w:t>
      </w:r>
    </w:p>
    <w:sectPr w:rsidR="00F72575" w:rsidRPr="005E2CC2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9E" w:rsidRDefault="0080059E" w:rsidP="00F73DBC">
      <w:pPr>
        <w:spacing w:after="0" w:line="240" w:lineRule="auto"/>
      </w:pPr>
      <w:r>
        <w:separator/>
      </w:r>
    </w:p>
  </w:endnote>
  <w:endnote w:type="continuationSeparator" w:id="0">
    <w:p w:rsidR="0080059E" w:rsidRDefault="0080059E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9E" w:rsidRPr="00E30823" w:rsidRDefault="0080059E">
    <w:pPr>
      <w:pStyle w:val="af0"/>
      <w:rPr>
        <w:sz w:val="14"/>
      </w:rPr>
    </w:pPr>
    <w:r w:rsidRPr="00E30823">
      <w:rPr>
        <w:sz w:val="14"/>
      </w:rPr>
      <w:t>20.12.2021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9E" w:rsidRDefault="0080059E" w:rsidP="00F73DBC">
      <w:pPr>
        <w:spacing w:after="0" w:line="240" w:lineRule="auto"/>
      </w:pPr>
      <w:r>
        <w:separator/>
      </w:r>
    </w:p>
  </w:footnote>
  <w:footnote w:type="continuationSeparator" w:id="0">
    <w:p w:rsidR="0080059E" w:rsidRDefault="0080059E" w:rsidP="00F73DBC">
      <w:pPr>
        <w:spacing w:after="0" w:line="240" w:lineRule="auto"/>
      </w:pPr>
      <w:r>
        <w:continuationSeparator/>
      </w:r>
    </w:p>
  </w:footnote>
  <w:footnote w:id="1">
    <w:p w:rsidR="0080059E" w:rsidRDefault="0080059E">
      <w:pPr>
        <w:pStyle w:val="a4"/>
      </w:pPr>
      <w:r>
        <w:rPr>
          <w:rStyle w:val="a6"/>
        </w:rPr>
        <w:footnoteRef/>
      </w:r>
      <w:r>
        <w:t xml:space="preserve"> </w:t>
      </w:r>
      <w:r w:rsidRPr="003924F9">
        <w:t>ООН-</w:t>
      </w:r>
      <w:proofErr w:type="spellStart"/>
      <w:r w:rsidRPr="003924F9">
        <w:t>Хабитат</w:t>
      </w:r>
      <w:proofErr w:type="spellEnd"/>
      <w:r w:rsidRPr="003924F9">
        <w:t xml:space="preserve"> (2016). Основы урбанизации. Доказательная база для разработки политики. Найроби: ООН-</w:t>
      </w:r>
      <w:proofErr w:type="spellStart"/>
      <w:r w:rsidRPr="003924F9">
        <w:t>Хабитат</w:t>
      </w:r>
      <w:proofErr w:type="spellEnd"/>
      <w:r>
        <w:t>.</w:t>
      </w:r>
    </w:p>
  </w:footnote>
  <w:footnote w:id="2">
    <w:p w:rsidR="0080059E" w:rsidRDefault="0080059E">
      <w:pPr>
        <w:pStyle w:val="a4"/>
      </w:pPr>
      <w:r>
        <w:rPr>
          <w:rStyle w:val="a6"/>
        </w:rPr>
        <w:footnoteRef/>
      </w:r>
      <w:r>
        <w:t xml:space="preserve"> Там же.</w:t>
      </w:r>
    </w:p>
  </w:footnote>
  <w:footnote w:id="3">
    <w:p w:rsidR="0080059E" w:rsidRDefault="0080059E">
      <w:pPr>
        <w:pStyle w:val="a4"/>
      </w:pPr>
      <w:r>
        <w:rPr>
          <w:rStyle w:val="a6"/>
        </w:rPr>
        <w:footnoteRef/>
      </w:r>
      <w:r>
        <w:t xml:space="preserve"> </w:t>
      </w:r>
      <w:r w:rsidRPr="003924F9">
        <w:t>Всемирный банк, 2017 г. Города Африки: открывая двери в мир.</w:t>
      </w:r>
    </w:p>
  </w:footnote>
  <w:footnote w:id="4">
    <w:p w:rsidR="0080059E" w:rsidRDefault="0080059E">
      <w:pPr>
        <w:pStyle w:val="a4"/>
      </w:pPr>
      <w:r>
        <w:rPr>
          <w:rStyle w:val="a6"/>
        </w:rPr>
        <w:footnoteRef/>
      </w:r>
      <w:r>
        <w:t xml:space="preserve"> </w:t>
      </w:r>
      <w:r w:rsidRPr="00253D1F">
        <w:t>ООН-</w:t>
      </w:r>
      <w:proofErr w:type="spellStart"/>
      <w:r w:rsidRPr="00253D1F">
        <w:t>Хабитат</w:t>
      </w:r>
      <w:proofErr w:type="spellEnd"/>
      <w:r w:rsidRPr="00253D1F">
        <w:t xml:space="preserve"> (2016). Отчет о городах мира. ООН-</w:t>
      </w:r>
      <w:proofErr w:type="spellStart"/>
      <w:r w:rsidRPr="00253D1F">
        <w:t>Хабитат</w:t>
      </w:r>
      <w:proofErr w:type="spellEnd"/>
      <w:r w:rsidRPr="00253D1F">
        <w:t xml:space="preserve"> (2005 г.). Финансирование приюта.</w:t>
      </w:r>
    </w:p>
  </w:footnote>
  <w:footnote w:id="5">
    <w:p w:rsidR="0080059E" w:rsidRDefault="0080059E">
      <w:pPr>
        <w:pStyle w:val="a4"/>
      </w:pPr>
      <w:r>
        <w:rPr>
          <w:rStyle w:val="a6"/>
        </w:rPr>
        <w:footnoteRef/>
      </w:r>
      <w:r>
        <w:t xml:space="preserve"> </w:t>
      </w:r>
      <w:r w:rsidRPr="00253D1F">
        <w:t>ООН-ХАБИТАТ (2005 г.). Финансирование городского жилья: Глобальный доклад о населенных пунктах, 2005 г. Найроби: ООН-</w:t>
      </w:r>
      <w:proofErr w:type="spellStart"/>
      <w:r w:rsidRPr="00253D1F">
        <w:t>Хабитат</w:t>
      </w:r>
      <w:proofErr w:type="spellEnd"/>
      <w:r w:rsidRPr="00253D1F">
        <w:t>.</w:t>
      </w:r>
    </w:p>
  </w:footnote>
  <w:footnote w:id="6">
    <w:p w:rsidR="0080059E" w:rsidRPr="00E37282" w:rsidRDefault="0080059E">
      <w:pPr>
        <w:pStyle w:val="a4"/>
      </w:pPr>
      <w:r>
        <w:rPr>
          <w:rStyle w:val="a6"/>
        </w:rPr>
        <w:footnoteRef/>
      </w:r>
      <w:r w:rsidRPr="00E37282">
        <w:t xml:space="preserve"> ООН-</w:t>
      </w:r>
      <w:proofErr w:type="spellStart"/>
      <w:r w:rsidRPr="00E37282">
        <w:t>Хабитат</w:t>
      </w:r>
      <w:proofErr w:type="spellEnd"/>
      <w:r w:rsidRPr="00E37282">
        <w:t xml:space="preserve"> (2003 г.), Трущобы мира: лицо городск</w:t>
      </w:r>
      <w:r>
        <w:t>ой бедности в новом тысячелетии</w:t>
      </w:r>
      <w:r w:rsidRPr="00E37282">
        <w:t>;</w:t>
      </w:r>
    </w:p>
  </w:footnote>
  <w:footnote w:id="7">
    <w:p w:rsidR="0080059E" w:rsidRDefault="0080059E" w:rsidP="00E37282">
      <w:pPr>
        <w:pStyle w:val="a4"/>
      </w:pPr>
      <w:r>
        <w:rPr>
          <w:rStyle w:val="a6"/>
        </w:rPr>
        <w:footnoteRef/>
      </w:r>
      <w:r>
        <w:t xml:space="preserve"> Организация Объединенных Наций (2007 г.), Показатели устойчивого развития: руководящие принципы и методологии. Третье издание, Организация Объединенных Наций, Нью-Йорк; &lt;https://sustainabledevelopment.un.org/index.php?page=view&amp;type=400&amp;nr=107&amp;&gt;; ООН-</w:t>
      </w:r>
      <w:proofErr w:type="spellStart"/>
      <w:r>
        <w:t>Хабитат</w:t>
      </w:r>
      <w:proofErr w:type="spellEnd"/>
      <w:r>
        <w:t xml:space="preserve"> (2003), Трущобы мира: лицо городской бедности в новом тысячелетии.</w:t>
      </w:r>
    </w:p>
  </w:footnote>
  <w:footnote w:id="8">
    <w:p w:rsidR="0080059E" w:rsidRDefault="0080059E">
      <w:pPr>
        <w:pStyle w:val="a4"/>
      </w:pPr>
      <w:r>
        <w:rPr>
          <w:rStyle w:val="a6"/>
        </w:rPr>
        <w:footnoteRef/>
      </w:r>
      <w:r>
        <w:t xml:space="preserve"> </w:t>
      </w:r>
      <w:r w:rsidRPr="004759D9">
        <w:t xml:space="preserve">Первоначальный совет EGM учитывал диапазон менее трех-четырех человек на жилую комнату. Когда этот показатель был введен в действие во время отслеживания задачи 7.D ЦРТ 7, перенаселенность была зафиксирована на уровне не более трех человек на жилую комнату («минимум четыре квадратных метра», </w:t>
      </w:r>
      <w:hyperlink r:id="rId1" w:history="1">
        <w:r w:rsidRPr="004759D9">
          <w:rPr>
            <w:rStyle w:val="ac"/>
          </w:rPr>
          <w:t>https://mdgs.un.org/unsd/mdg/Metadata.aspx</w:t>
        </w:r>
      </w:hyperlink>
      <w:r>
        <w:t>)</w:t>
      </w:r>
    </w:p>
  </w:footnote>
  <w:footnote w:id="9">
    <w:p w:rsidR="0080059E" w:rsidRDefault="0080059E">
      <w:pPr>
        <w:pStyle w:val="a4"/>
      </w:pPr>
      <w:r>
        <w:rPr>
          <w:rStyle w:val="a6"/>
        </w:rPr>
        <w:footnoteRef/>
      </w:r>
      <w:r>
        <w:t xml:space="preserve"> ООН-</w:t>
      </w:r>
      <w:proofErr w:type="spellStart"/>
      <w:r>
        <w:t>Хабитат</w:t>
      </w:r>
      <w:proofErr w:type="spellEnd"/>
      <w:r>
        <w:t xml:space="preserve"> (1998), Перенаселенность</w:t>
      </w:r>
      <w:r w:rsidRPr="00F72575">
        <w:t xml:space="preserve"> и здоровье в поселениях с низким доходом в Гвинее-Бисау, Периодическая серия SIEP № 1.</w:t>
      </w:r>
    </w:p>
  </w:footnote>
  <w:footnote w:id="10">
    <w:p w:rsidR="0080059E" w:rsidRDefault="0080059E">
      <w:pPr>
        <w:pStyle w:val="a4"/>
      </w:pPr>
      <w:r>
        <w:rPr>
          <w:rStyle w:val="a6"/>
        </w:rPr>
        <w:footnoteRef/>
      </w:r>
      <w:r>
        <w:t xml:space="preserve"> </w:t>
      </w:r>
      <w:r w:rsidRPr="00D9348D">
        <w:t xml:space="preserve">Организация Объединенных Наций (2015 г.), Конференция по жилью и устойчивому городскому развитию – </w:t>
      </w:r>
      <w:proofErr w:type="spellStart"/>
      <w:r w:rsidRPr="00D9348D">
        <w:t>Хабитат</w:t>
      </w:r>
      <w:proofErr w:type="spellEnd"/>
      <w:r w:rsidRPr="00D9348D">
        <w:t xml:space="preserve"> III, Тематический документ № 22 о неформальных поселениях; ООН-</w:t>
      </w:r>
      <w:proofErr w:type="spellStart"/>
      <w:r w:rsidRPr="00D9348D">
        <w:t>Хабитат</w:t>
      </w:r>
      <w:proofErr w:type="spellEnd"/>
      <w:r w:rsidRPr="00D9348D">
        <w:t xml:space="preserve"> (2015 г.), Альманах трущоб, 2015–2016 гг.</w:t>
      </w:r>
    </w:p>
  </w:footnote>
  <w:footnote w:id="11">
    <w:p w:rsidR="0080059E" w:rsidRPr="00D9348D" w:rsidRDefault="0080059E">
      <w:pPr>
        <w:pStyle w:val="a4"/>
      </w:pPr>
      <w:r>
        <w:rPr>
          <w:rStyle w:val="a6"/>
        </w:rPr>
        <w:footnoteRef/>
      </w:r>
      <w:r w:rsidRPr="00D9348D">
        <w:t xml:space="preserve"> </w:t>
      </w:r>
      <w:proofErr w:type="gramStart"/>
      <w:r w:rsidRPr="00D9348D">
        <w:t>Статья 25 (1) «Каждый имеет право на жизненный уровень, достаточный для здоровья и благополучия его самого и его семьи, включая питание, одежду, жилище, медицинское обслуживание и необходимые социальные услуги, а также право на безопасность в случае безработицы, болезни, инвалидности, вдовства, старости или иного отсутствия средств к существованию по не зависящим от него обстоятельствам».</w:t>
      </w:r>
      <w:proofErr w:type="gramEnd"/>
    </w:p>
  </w:footnote>
  <w:footnote w:id="12">
    <w:p w:rsidR="0080059E" w:rsidRPr="008B553A" w:rsidRDefault="0080059E" w:rsidP="00F72575">
      <w:pPr>
        <w:pStyle w:val="a4"/>
        <w:rPr>
          <w:rStyle w:val="a6"/>
          <w:rFonts w:cs="Arial"/>
          <w:sz w:val="24"/>
          <w:szCs w:val="24"/>
        </w:rPr>
      </w:pPr>
      <w:r>
        <w:rPr>
          <w:rStyle w:val="a6"/>
          <w:color w:val="000000"/>
        </w:rPr>
        <w:footnoteRef/>
      </w:r>
      <w:r w:rsidRPr="008B553A">
        <w:rPr>
          <w:rStyle w:val="a6"/>
          <w:color w:val="000000"/>
        </w:rPr>
        <w:t xml:space="preserve"> </w:t>
      </w:r>
      <w:r w:rsidRPr="008B553A">
        <w:t xml:space="preserve">Измерения, основанные на измерениях, приведенных в докладе ООН </w:t>
      </w:r>
      <w:proofErr w:type="spellStart"/>
      <w:r w:rsidRPr="008B553A">
        <w:t>Хабитат</w:t>
      </w:r>
      <w:proofErr w:type="spellEnd"/>
      <w:r w:rsidRPr="008B553A">
        <w:t xml:space="preserve"> "Проблема трущоб" </w:t>
      </w:r>
      <w:r>
        <w:t>(</w:t>
      </w:r>
      <w:r w:rsidRPr="0048570B">
        <w:t>UN-</w:t>
      </w:r>
      <w:proofErr w:type="spellStart"/>
      <w:r w:rsidRPr="0048570B">
        <w:t>Habitat</w:t>
      </w:r>
      <w:proofErr w:type="spellEnd"/>
      <w:r w:rsidRPr="0048570B">
        <w:t xml:space="preserve"> </w:t>
      </w:r>
      <w:proofErr w:type="spellStart"/>
      <w:r w:rsidRPr="0048570B">
        <w:t>Challenge</w:t>
      </w:r>
      <w:proofErr w:type="spellEnd"/>
      <w:r w:rsidRPr="0048570B">
        <w:t xml:space="preserve"> </w:t>
      </w:r>
      <w:proofErr w:type="spellStart"/>
      <w:r w:rsidRPr="0048570B">
        <w:t>of</w:t>
      </w:r>
      <w:proofErr w:type="spellEnd"/>
      <w:r w:rsidRPr="0048570B">
        <w:t xml:space="preserve"> </w:t>
      </w:r>
      <w:proofErr w:type="spellStart"/>
      <w:r w:rsidRPr="0048570B">
        <w:t>Slums</w:t>
      </w:r>
      <w:proofErr w:type="spellEnd"/>
      <w:r>
        <w:t>)</w:t>
      </w:r>
      <w:r w:rsidRPr="008B553A">
        <w:t xml:space="preserve"> </w:t>
      </w:r>
      <w:r>
        <w:t xml:space="preserve"> </w:t>
      </w:r>
      <w:r w:rsidRPr="008B553A">
        <w:t>(2003), стр.12.</w:t>
      </w:r>
      <w:r>
        <w:t xml:space="preserve"> </w:t>
      </w:r>
    </w:p>
  </w:footnote>
  <w:footnote w:id="13">
    <w:p w:rsidR="0080059E" w:rsidRPr="00756567" w:rsidRDefault="0080059E" w:rsidP="00F72575">
      <w:pPr>
        <w:pStyle w:val="a4"/>
        <w:rPr>
          <w:rFonts w:cs="Times New Roman"/>
          <w:sz w:val="18"/>
          <w:szCs w:val="18"/>
          <w:lang w:eastAsia="it-IT"/>
        </w:rPr>
      </w:pPr>
      <w:r>
        <w:rPr>
          <w:rStyle w:val="a6"/>
          <w:rFonts w:cs="Times New Roman"/>
          <w:sz w:val="16"/>
          <w:szCs w:val="18"/>
        </w:rPr>
        <w:footnoteRef/>
      </w:r>
      <w:r w:rsidRPr="00756567">
        <w:rPr>
          <w:rFonts w:cs="Times New Roman"/>
          <w:sz w:val="16"/>
          <w:szCs w:val="18"/>
        </w:rPr>
        <w:t xml:space="preserve"> </w:t>
      </w:r>
      <w:r w:rsidRPr="00756567">
        <w:rPr>
          <w:rFonts w:cs="Calibri"/>
          <w:color w:val="231F20"/>
          <w:sz w:val="16"/>
          <w:szCs w:val="18"/>
        </w:rPr>
        <w:t>Следует отметить, что доступность жилья также можно измерить с помощью отношения цены дома к доходу (</w:t>
      </w:r>
      <w:r w:rsidRPr="00756567">
        <w:rPr>
          <w:rFonts w:cs="Calibri"/>
          <w:color w:val="231F20"/>
          <w:sz w:val="16"/>
          <w:szCs w:val="18"/>
          <w:lang w:val="en-US"/>
        </w:rPr>
        <w:t>HPIR</w:t>
      </w:r>
      <w:r w:rsidRPr="00756567">
        <w:rPr>
          <w:rFonts w:cs="Calibri"/>
          <w:color w:val="231F20"/>
          <w:sz w:val="16"/>
          <w:szCs w:val="18"/>
        </w:rPr>
        <w:t>) и отношения арендной платы к доходу (</w:t>
      </w:r>
      <w:r w:rsidRPr="00756567">
        <w:rPr>
          <w:rFonts w:cs="Calibri"/>
          <w:color w:val="231F20"/>
          <w:sz w:val="16"/>
          <w:szCs w:val="18"/>
          <w:lang w:val="en-US"/>
        </w:rPr>
        <w:t>HRIR</w:t>
      </w:r>
      <w:r w:rsidRPr="00756567">
        <w:rPr>
          <w:rFonts w:cs="Calibri"/>
          <w:color w:val="231F20"/>
          <w:sz w:val="16"/>
          <w:szCs w:val="18"/>
        </w:rPr>
        <w:t>). Жилье считается доступным, если отношение цены дома к годовому доходу домохозяйства (</w:t>
      </w:r>
      <w:r w:rsidRPr="00756567">
        <w:rPr>
          <w:rFonts w:cs="Calibri"/>
          <w:color w:val="231F20"/>
          <w:sz w:val="16"/>
          <w:szCs w:val="18"/>
          <w:lang w:val="en-US"/>
        </w:rPr>
        <w:t>HPIR</w:t>
      </w:r>
      <w:r w:rsidRPr="00756567">
        <w:rPr>
          <w:rFonts w:cs="Calibri"/>
          <w:color w:val="231F20"/>
          <w:sz w:val="16"/>
          <w:szCs w:val="18"/>
        </w:rPr>
        <w:t>) составляет 3,0 или менее, а отношение арендной платы к ежемесячному доходу домохозяйства (</w:t>
      </w:r>
      <w:r w:rsidRPr="00756567">
        <w:rPr>
          <w:rFonts w:cs="Calibri"/>
          <w:color w:val="231F20"/>
          <w:sz w:val="16"/>
          <w:szCs w:val="18"/>
          <w:lang w:val="en-US"/>
        </w:rPr>
        <w:t>RIR</w:t>
      </w:r>
      <w:r w:rsidRPr="00756567">
        <w:rPr>
          <w:rFonts w:cs="Calibri"/>
          <w:color w:val="231F20"/>
          <w:sz w:val="16"/>
          <w:szCs w:val="18"/>
        </w:rPr>
        <w:t>) составляет 25% или менее.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9E" w:rsidRPr="00087B96" w:rsidRDefault="0080059E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80059E" w:rsidRPr="00087B96" w:rsidRDefault="0080059E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>
      <w:rPr>
        <w:rFonts w:cs="Times New Roman"/>
      </w:rPr>
      <w:t>декабрь 2024</w:t>
    </w:r>
  </w:p>
  <w:p w:rsidR="0080059E" w:rsidRDefault="0080059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0D7"/>
    <w:multiLevelType w:val="hybridMultilevel"/>
    <w:tmpl w:val="67B2B56C"/>
    <w:lvl w:ilvl="0" w:tplc="F952459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F05BE"/>
    <w:multiLevelType w:val="hybridMultilevel"/>
    <w:tmpl w:val="1A5230D4"/>
    <w:lvl w:ilvl="0" w:tplc="F952459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273E7"/>
    <w:multiLevelType w:val="hybridMultilevel"/>
    <w:tmpl w:val="6DBA088E"/>
    <w:lvl w:ilvl="0" w:tplc="5CE64586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D017A"/>
    <w:multiLevelType w:val="hybridMultilevel"/>
    <w:tmpl w:val="36E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081BE">
      <w:start w:val="4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67AAC"/>
    <w:multiLevelType w:val="hybridMultilevel"/>
    <w:tmpl w:val="59DA5F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40034"/>
    <w:rsid w:val="000476F9"/>
    <w:rsid w:val="00053D20"/>
    <w:rsid w:val="00087B96"/>
    <w:rsid w:val="000A210D"/>
    <w:rsid w:val="000A229E"/>
    <w:rsid w:val="000A6993"/>
    <w:rsid w:val="000C5EF5"/>
    <w:rsid w:val="000F5A9E"/>
    <w:rsid w:val="00116248"/>
    <w:rsid w:val="00125FCE"/>
    <w:rsid w:val="001470A2"/>
    <w:rsid w:val="001540E3"/>
    <w:rsid w:val="001612F6"/>
    <w:rsid w:val="00165896"/>
    <w:rsid w:val="001762D0"/>
    <w:rsid w:val="001823D9"/>
    <w:rsid w:val="001A163A"/>
    <w:rsid w:val="001D735B"/>
    <w:rsid w:val="001E2FC9"/>
    <w:rsid w:val="002064C4"/>
    <w:rsid w:val="0022498F"/>
    <w:rsid w:val="002306F8"/>
    <w:rsid w:val="00253D1F"/>
    <w:rsid w:val="00272987"/>
    <w:rsid w:val="00291FA0"/>
    <w:rsid w:val="002C7BF9"/>
    <w:rsid w:val="002E122C"/>
    <w:rsid w:val="002E15F9"/>
    <w:rsid w:val="002F1713"/>
    <w:rsid w:val="002F63E5"/>
    <w:rsid w:val="00303D71"/>
    <w:rsid w:val="003143BC"/>
    <w:rsid w:val="003746BC"/>
    <w:rsid w:val="003859BD"/>
    <w:rsid w:val="003924F9"/>
    <w:rsid w:val="003A325C"/>
    <w:rsid w:val="003A62B3"/>
    <w:rsid w:val="003D58DC"/>
    <w:rsid w:val="003F126F"/>
    <w:rsid w:val="00407AF0"/>
    <w:rsid w:val="00407E4E"/>
    <w:rsid w:val="004143B4"/>
    <w:rsid w:val="00421928"/>
    <w:rsid w:val="004344AC"/>
    <w:rsid w:val="00453629"/>
    <w:rsid w:val="00456E71"/>
    <w:rsid w:val="004759D9"/>
    <w:rsid w:val="0048422C"/>
    <w:rsid w:val="0048570B"/>
    <w:rsid w:val="00492F67"/>
    <w:rsid w:val="004A2AC7"/>
    <w:rsid w:val="004D2413"/>
    <w:rsid w:val="004E087E"/>
    <w:rsid w:val="00503B4A"/>
    <w:rsid w:val="00536771"/>
    <w:rsid w:val="00567F83"/>
    <w:rsid w:val="00587D0B"/>
    <w:rsid w:val="005A0D15"/>
    <w:rsid w:val="005A3645"/>
    <w:rsid w:val="005E2CC2"/>
    <w:rsid w:val="005E47BD"/>
    <w:rsid w:val="005F2C0B"/>
    <w:rsid w:val="005F4F87"/>
    <w:rsid w:val="00643E1E"/>
    <w:rsid w:val="006704C2"/>
    <w:rsid w:val="006733C4"/>
    <w:rsid w:val="00682107"/>
    <w:rsid w:val="00694160"/>
    <w:rsid w:val="006A3D62"/>
    <w:rsid w:val="006B260E"/>
    <w:rsid w:val="006B3939"/>
    <w:rsid w:val="006C43F8"/>
    <w:rsid w:val="006C5E4E"/>
    <w:rsid w:val="006D7049"/>
    <w:rsid w:val="006F5D23"/>
    <w:rsid w:val="00702333"/>
    <w:rsid w:val="00705161"/>
    <w:rsid w:val="00741A39"/>
    <w:rsid w:val="0075371E"/>
    <w:rsid w:val="00753F18"/>
    <w:rsid w:val="00756567"/>
    <w:rsid w:val="00780F08"/>
    <w:rsid w:val="00781DE7"/>
    <w:rsid w:val="007954E0"/>
    <w:rsid w:val="007B07B2"/>
    <w:rsid w:val="007B0CFD"/>
    <w:rsid w:val="007B32CE"/>
    <w:rsid w:val="007B3EA7"/>
    <w:rsid w:val="007C27E0"/>
    <w:rsid w:val="007D1185"/>
    <w:rsid w:val="007F06DF"/>
    <w:rsid w:val="0080059E"/>
    <w:rsid w:val="00836F3E"/>
    <w:rsid w:val="00853C09"/>
    <w:rsid w:val="008B553A"/>
    <w:rsid w:val="009508D1"/>
    <w:rsid w:val="00957A62"/>
    <w:rsid w:val="009655B4"/>
    <w:rsid w:val="009737AE"/>
    <w:rsid w:val="00976B1D"/>
    <w:rsid w:val="00980F79"/>
    <w:rsid w:val="00982FE8"/>
    <w:rsid w:val="009C064B"/>
    <w:rsid w:val="009D2C0B"/>
    <w:rsid w:val="009D45AB"/>
    <w:rsid w:val="00A110F9"/>
    <w:rsid w:val="00A16A75"/>
    <w:rsid w:val="00A304DD"/>
    <w:rsid w:val="00A53D4B"/>
    <w:rsid w:val="00A618FC"/>
    <w:rsid w:val="00A71EC6"/>
    <w:rsid w:val="00A82CD3"/>
    <w:rsid w:val="00A848DD"/>
    <w:rsid w:val="00A85E93"/>
    <w:rsid w:val="00A87467"/>
    <w:rsid w:val="00A91FDE"/>
    <w:rsid w:val="00AC1A97"/>
    <w:rsid w:val="00AE1814"/>
    <w:rsid w:val="00AE4CF6"/>
    <w:rsid w:val="00B0378B"/>
    <w:rsid w:val="00B72F77"/>
    <w:rsid w:val="00B86652"/>
    <w:rsid w:val="00BB650A"/>
    <w:rsid w:val="00BD02B4"/>
    <w:rsid w:val="00BD29EC"/>
    <w:rsid w:val="00BE2C5D"/>
    <w:rsid w:val="00BE415C"/>
    <w:rsid w:val="00C3485D"/>
    <w:rsid w:val="00C47A4A"/>
    <w:rsid w:val="00C515AF"/>
    <w:rsid w:val="00C559ED"/>
    <w:rsid w:val="00C6561E"/>
    <w:rsid w:val="00C7061E"/>
    <w:rsid w:val="00C8596F"/>
    <w:rsid w:val="00C90708"/>
    <w:rsid w:val="00C954B1"/>
    <w:rsid w:val="00C95AB2"/>
    <w:rsid w:val="00C96E43"/>
    <w:rsid w:val="00CA1CB1"/>
    <w:rsid w:val="00CA2473"/>
    <w:rsid w:val="00CE2E12"/>
    <w:rsid w:val="00D05466"/>
    <w:rsid w:val="00D2619D"/>
    <w:rsid w:val="00D35F0C"/>
    <w:rsid w:val="00D366AE"/>
    <w:rsid w:val="00D5011E"/>
    <w:rsid w:val="00D70542"/>
    <w:rsid w:val="00D72A9A"/>
    <w:rsid w:val="00D9348D"/>
    <w:rsid w:val="00DA19D7"/>
    <w:rsid w:val="00DC18AA"/>
    <w:rsid w:val="00E123F7"/>
    <w:rsid w:val="00E21B43"/>
    <w:rsid w:val="00E27922"/>
    <w:rsid w:val="00E30823"/>
    <w:rsid w:val="00E33CA8"/>
    <w:rsid w:val="00E37282"/>
    <w:rsid w:val="00E559F9"/>
    <w:rsid w:val="00E812F4"/>
    <w:rsid w:val="00E87005"/>
    <w:rsid w:val="00E90BD4"/>
    <w:rsid w:val="00EB362A"/>
    <w:rsid w:val="00EB389E"/>
    <w:rsid w:val="00EE0900"/>
    <w:rsid w:val="00F0418C"/>
    <w:rsid w:val="00F33D07"/>
    <w:rsid w:val="00F374BA"/>
    <w:rsid w:val="00F5412C"/>
    <w:rsid w:val="00F6371F"/>
    <w:rsid w:val="00F72575"/>
    <w:rsid w:val="00F73DBC"/>
    <w:rsid w:val="00F84FF1"/>
    <w:rsid w:val="00F92D6F"/>
    <w:rsid w:val="00FA79F8"/>
    <w:rsid w:val="00FB66D9"/>
    <w:rsid w:val="00FC492D"/>
    <w:rsid w:val="00FD27E3"/>
    <w:rsid w:val="00FE35CF"/>
    <w:rsid w:val="00FF38FB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aliases w:val="Footnotes refss,ftref"/>
    <w:basedOn w:val="a0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a1"/>
    <w:next w:val="aa"/>
    <w:uiPriority w:val="59"/>
    <w:rsid w:val="00F72575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F72575"/>
  </w:style>
  <w:style w:type="character" w:customStyle="1" w:styleId="eop">
    <w:name w:val="eop"/>
    <w:basedOn w:val="a0"/>
    <w:rsid w:val="00F72575"/>
  </w:style>
  <w:style w:type="paragraph" w:customStyle="1" w:styleId="paragraph">
    <w:name w:val="paragraph"/>
    <w:basedOn w:val="a"/>
    <w:rsid w:val="00F7257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af4">
    <w:name w:val="No Spacing"/>
    <w:uiPriority w:val="1"/>
    <w:qFormat/>
    <w:rsid w:val="00C3485D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aliases w:val="Footnotes refss,ftref"/>
    <w:basedOn w:val="a0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a1"/>
    <w:next w:val="aa"/>
    <w:uiPriority w:val="59"/>
    <w:rsid w:val="00F72575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F72575"/>
  </w:style>
  <w:style w:type="character" w:customStyle="1" w:styleId="eop">
    <w:name w:val="eop"/>
    <w:basedOn w:val="a0"/>
    <w:rsid w:val="00F72575"/>
  </w:style>
  <w:style w:type="paragraph" w:customStyle="1" w:styleId="paragraph">
    <w:name w:val="paragraph"/>
    <w:basedOn w:val="a"/>
    <w:rsid w:val="00F7257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af4">
    <w:name w:val="No Spacing"/>
    <w:uiPriority w:val="1"/>
    <w:qFormat/>
    <w:rsid w:val="00C3485D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ata.unhabitat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rbanagendaplatform.org/learn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habitat.org/knowledge/data-and-analytic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unhabitat.org/sites/default/files/2020/06/indicator_11.1.1_training_module_adequate_housing_%20and_slum_upgrading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dgs.un.org/unsd/mdg/Metadata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CB59-FE72-4E0B-8439-E86347CF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6628</Words>
  <Characters>37780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 Альберт Ильгамович</dc:creator>
  <cp:lastModifiedBy>Ахмедов Альберт Ильгамович</cp:lastModifiedBy>
  <cp:revision>3</cp:revision>
  <dcterms:created xsi:type="dcterms:W3CDTF">2024-12-16T07:45:00Z</dcterms:created>
  <dcterms:modified xsi:type="dcterms:W3CDTF">2024-12-16T07:46:00Z</dcterms:modified>
</cp:coreProperties>
</file>