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 метаданных - версия формата 1.</w:t>
      </w:r>
      <w:r w:rsidR="00175D13">
        <w:rPr>
          <w:rFonts w:eastAsia="Arial Unicode MS" w:cs="Times New Roman"/>
          <w:b/>
          <w:szCs w:val="24"/>
          <w:bdr w:val="nil"/>
          <w:lang w:eastAsia="ru-RU"/>
        </w:rPr>
        <w:t>1</w:t>
      </w:r>
      <w:r w:rsidRPr="00BD29EC">
        <w:rPr>
          <w:rFonts w:eastAsia="Arial Unicode MS" w:cs="Times New Roman"/>
          <w:b/>
          <w:szCs w:val="24"/>
          <w:bdr w:val="nil"/>
          <w:lang w:eastAsia="ru-RU"/>
        </w:rPr>
        <w:t>)</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BD29EC">
        <w:rPr>
          <w:rFonts w:eastAsia="Arial Unicode MS" w:cs="Times New Roman"/>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780F08" w:rsidRPr="00BD29EC" w:rsidRDefault="003859BD" w:rsidP="00853C09">
      <w:pPr>
        <w:pBdr>
          <w:top w:val="nil"/>
          <w:left w:val="nil"/>
          <w:bottom w:val="nil"/>
          <w:right w:val="nil"/>
          <w:between w:val="nil"/>
          <w:bar w:val="nil"/>
        </w:pBdr>
        <w:spacing w:after="0"/>
        <w:rPr>
          <w:rFonts w:eastAsia="Arial Unicode MS" w:cs="Times New Roman"/>
          <w:szCs w:val="24"/>
          <w:bdr w:val="nil"/>
          <w:lang w:eastAsia="ru-RU"/>
        </w:rPr>
      </w:pPr>
      <w:r>
        <w:rPr>
          <w:rFonts w:eastAsia="Arial Unicode MS" w:cs="Times New Roman"/>
          <w:szCs w:val="24"/>
          <w:bdr w:val="nil"/>
          <w:lang w:eastAsia="ru-RU"/>
        </w:rPr>
        <w:t xml:space="preserve">Цель </w:t>
      </w:r>
      <w:r w:rsidR="00AC1624">
        <w:rPr>
          <w:rFonts w:eastAsia="Arial Unicode MS" w:cs="Times New Roman"/>
          <w:szCs w:val="24"/>
          <w:bdr w:val="nil"/>
          <w:lang w:eastAsia="ru-RU"/>
        </w:rPr>
        <w:t>4</w:t>
      </w:r>
      <w:r w:rsidR="00780F08" w:rsidRPr="00BD29EC">
        <w:rPr>
          <w:rFonts w:eastAsia="Arial Unicode MS" w:cs="Times New Roman"/>
          <w:szCs w:val="24"/>
          <w:bdr w:val="nil"/>
          <w:lang w:eastAsia="ru-RU"/>
        </w:rPr>
        <w:t xml:space="preserve">: </w:t>
      </w:r>
      <w:r w:rsidR="00AC1624" w:rsidRPr="00AC1624">
        <w:rPr>
          <w:rFonts w:eastAsia="Arial Unicode MS" w:cs="Times New Roman"/>
          <w:szCs w:val="24"/>
          <w:bdr w:val="nil"/>
          <w:lang w:eastAsia="ru-RU"/>
        </w:rPr>
        <w:t>Обеспечение всеохватного и справедливого качественного образования и поощрение возможности обучения на протяжении всей жизни для всех</w:t>
      </w:r>
      <w:r w:rsidR="00AC1624">
        <w:rPr>
          <w:rFonts w:eastAsia="Arial Unicode MS" w:cs="Times New Roman"/>
          <w:szCs w:val="24"/>
          <w:bdr w:val="nil"/>
          <w:lang w:eastAsia="ru-RU"/>
        </w:rPr>
        <w:t>.</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781DE7" w:rsidRDefault="00AC1624" w:rsidP="00781DE7">
      <w:pPr>
        <w:pBdr>
          <w:top w:val="nil"/>
          <w:left w:val="nil"/>
          <w:bottom w:val="nil"/>
          <w:right w:val="nil"/>
          <w:between w:val="nil"/>
          <w:bar w:val="nil"/>
        </w:pBdr>
        <w:spacing w:after="0"/>
        <w:rPr>
          <w:rFonts w:cs="Times New Roman"/>
          <w:szCs w:val="24"/>
        </w:rPr>
      </w:pPr>
      <w:r>
        <w:rPr>
          <w:rFonts w:cs="Times New Roman"/>
          <w:szCs w:val="24"/>
        </w:rPr>
        <w:t>4</w:t>
      </w:r>
      <w:r w:rsidR="00780F08" w:rsidRPr="00BD29EC">
        <w:rPr>
          <w:rFonts w:cs="Times New Roman"/>
          <w:szCs w:val="24"/>
        </w:rPr>
        <w:t>.</w:t>
      </w:r>
      <w:r>
        <w:rPr>
          <w:rFonts w:cs="Times New Roman"/>
          <w:szCs w:val="24"/>
        </w:rPr>
        <w:t>3</w:t>
      </w:r>
      <w:r w:rsidR="00780F08" w:rsidRPr="00BD29EC">
        <w:rPr>
          <w:rFonts w:cs="Times New Roman"/>
          <w:szCs w:val="24"/>
        </w:rPr>
        <w:t xml:space="preserve">.  </w:t>
      </w:r>
      <w:r w:rsidRPr="00AC1624">
        <w:rPr>
          <w:rFonts w:cs="Times New Roman"/>
          <w:szCs w:val="24"/>
        </w:rPr>
        <w:t>К 2030 году обеспечить для всех женщин и мужчин равный доступ к недорогому и качественному профессионально-техническому и высшему образованию, в том числе университетскому образованию</w:t>
      </w:r>
      <w:r>
        <w:rPr>
          <w:rFonts w:cs="Times New Roman"/>
          <w:szCs w:val="24"/>
        </w:rPr>
        <w:t>.</w:t>
      </w:r>
    </w:p>
    <w:p w:rsidR="003143BC" w:rsidRPr="00BD29EC" w:rsidRDefault="003143BC" w:rsidP="00781DE7">
      <w:pPr>
        <w:pBdr>
          <w:top w:val="nil"/>
          <w:left w:val="nil"/>
          <w:bottom w:val="nil"/>
          <w:right w:val="nil"/>
          <w:between w:val="nil"/>
          <w:bar w:val="nil"/>
        </w:pBdr>
        <w:spacing w:after="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780F08" w:rsidRPr="00BD29EC" w:rsidRDefault="003143BC" w:rsidP="00853C09">
      <w:pPr>
        <w:pBdr>
          <w:top w:val="nil"/>
          <w:left w:val="nil"/>
          <w:bottom w:val="nil"/>
          <w:right w:val="nil"/>
          <w:between w:val="nil"/>
          <w:bar w:val="nil"/>
        </w:pBdr>
        <w:spacing w:after="0"/>
        <w:rPr>
          <w:rFonts w:cs="Times New Roman"/>
          <w:szCs w:val="24"/>
        </w:rPr>
      </w:pPr>
      <w:proofErr w:type="gramStart"/>
      <w:r w:rsidRPr="00BD29EC">
        <w:rPr>
          <w:rFonts w:cs="Times New Roman"/>
          <w:szCs w:val="24"/>
        </w:rPr>
        <w:t xml:space="preserve">Показатель </w:t>
      </w:r>
      <w:r w:rsidR="00AC1624">
        <w:rPr>
          <w:rFonts w:cs="Times New Roman"/>
          <w:szCs w:val="24"/>
        </w:rPr>
        <w:t>4</w:t>
      </w:r>
      <w:r w:rsidR="00780F08" w:rsidRPr="00BD29EC">
        <w:rPr>
          <w:rFonts w:cs="Times New Roman"/>
          <w:szCs w:val="24"/>
        </w:rPr>
        <w:t>.</w:t>
      </w:r>
      <w:r w:rsidR="00AC1624">
        <w:rPr>
          <w:rFonts w:cs="Times New Roman"/>
          <w:szCs w:val="24"/>
        </w:rPr>
        <w:t>3</w:t>
      </w:r>
      <w:r w:rsidR="002064C4">
        <w:rPr>
          <w:rFonts w:cs="Times New Roman"/>
          <w:szCs w:val="24"/>
        </w:rPr>
        <w:t>.</w:t>
      </w:r>
      <w:r w:rsidR="00AC1624">
        <w:rPr>
          <w:rFonts w:cs="Times New Roman"/>
          <w:szCs w:val="24"/>
        </w:rPr>
        <w:t>1</w:t>
      </w:r>
      <w:r w:rsidR="00780F08" w:rsidRPr="00BD29EC">
        <w:rPr>
          <w:rFonts w:cs="Times New Roman"/>
          <w:szCs w:val="24"/>
        </w:rPr>
        <w:t xml:space="preserve"> </w:t>
      </w:r>
      <w:r w:rsidR="00AC1624" w:rsidRPr="00AC1624">
        <w:rPr>
          <w:rFonts w:cs="Times New Roman"/>
          <w:szCs w:val="24"/>
        </w:rPr>
        <w:t>Уровень участия молодых и взрослых людей в формальных и неформальных видах обучения и профессиональной подготовки в последние 12 месяцев в разбивке по полу</w:t>
      </w:r>
      <w:r w:rsidR="00AC1624">
        <w:rPr>
          <w:rFonts w:cs="Times New Roman"/>
          <w:szCs w:val="24"/>
        </w:rPr>
        <w:t>.</w:t>
      </w:r>
      <w:proofErr w:type="gramEnd"/>
    </w:p>
    <w:p w:rsidR="003143B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sidR="00291FA0">
        <w:rPr>
          <w:rFonts w:eastAsia="Arial Unicode MS" w:cs="Times New Roman"/>
          <w:b/>
          <w:szCs w:val="24"/>
          <w:bdr w:val="nil"/>
          <w:lang w:eastAsia="ru-RU"/>
        </w:rPr>
        <w:t>Ряд</w:t>
      </w:r>
    </w:p>
    <w:p w:rsidR="00141954" w:rsidRPr="00A61389" w:rsidRDefault="00A61389" w:rsidP="00A61389">
      <w:pPr>
        <w:spacing w:after="120"/>
        <w:rPr>
          <w:bdr w:val="nil"/>
          <w:lang w:eastAsia="ru-RU"/>
        </w:rPr>
      </w:pPr>
      <w:r w:rsidRPr="00A61389">
        <w:rPr>
          <w:bdr w:val="nil"/>
          <w:lang w:eastAsia="ru-RU"/>
        </w:rPr>
        <w:t>Уровень участия молодых и взрослых людей в формальных и неформальных видах обучения и профессиональной подготовки</w:t>
      </w:r>
      <w:r>
        <w:rPr>
          <w:bdr w:val="nil"/>
          <w:lang w:eastAsia="ru-RU"/>
        </w:rPr>
        <w:t xml:space="preserve"> </w:t>
      </w:r>
      <w:r w:rsidRPr="00A61389">
        <w:rPr>
          <w:bdr w:val="nil"/>
          <w:lang w:eastAsia="ru-RU"/>
        </w:rPr>
        <w:t>[</w:t>
      </w:r>
      <w:r>
        <w:rPr>
          <w:rFonts w:cs="Times New Roman"/>
          <w:szCs w:val="24"/>
        </w:rPr>
        <w:t>4</w:t>
      </w:r>
      <w:r w:rsidRPr="00BD29EC">
        <w:rPr>
          <w:rFonts w:cs="Times New Roman"/>
          <w:szCs w:val="24"/>
        </w:rPr>
        <w:t>.</w:t>
      </w:r>
      <w:r>
        <w:rPr>
          <w:rFonts w:cs="Times New Roman"/>
          <w:szCs w:val="24"/>
        </w:rPr>
        <w:t>3.1</w:t>
      </w:r>
      <w:r w:rsidRPr="00A61389">
        <w:rPr>
          <w:rFonts w:cs="Times New Roman"/>
          <w:szCs w:val="24"/>
        </w:rPr>
        <w:t>]</w:t>
      </w:r>
    </w:p>
    <w:p w:rsidR="00141954" w:rsidRDefault="00C8596F"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e</w:t>
      </w:r>
      <w:r w:rsidRPr="00BD29EC">
        <w:rPr>
          <w:rFonts w:eastAsia="Arial Unicode MS" w:cs="Times New Roman"/>
          <w:b/>
          <w:szCs w:val="24"/>
          <w:bdr w:val="nil"/>
          <w:lang w:eastAsia="ru-RU"/>
        </w:rPr>
        <w:t>. Обновление данных</w:t>
      </w:r>
    </w:p>
    <w:p w:rsidR="00C8596F" w:rsidRPr="00A61389" w:rsidRDefault="00A61389" w:rsidP="00853C09">
      <w:pPr>
        <w:pBdr>
          <w:top w:val="nil"/>
          <w:left w:val="nil"/>
          <w:bottom w:val="nil"/>
          <w:right w:val="nil"/>
          <w:between w:val="nil"/>
          <w:bar w:val="nil"/>
        </w:pBdr>
        <w:tabs>
          <w:tab w:val="left" w:pos="284"/>
        </w:tabs>
        <w:spacing w:after="0"/>
        <w:rPr>
          <w:rFonts w:eastAsia="Arial Unicode MS" w:cs="Times New Roman"/>
          <w:szCs w:val="24"/>
          <w:bdr w:val="nil"/>
          <w:lang w:val="en-US" w:eastAsia="ru-RU"/>
        </w:rPr>
      </w:pPr>
      <w:r>
        <w:rPr>
          <w:rFonts w:eastAsia="Arial Unicode MS" w:cs="Times New Roman"/>
          <w:szCs w:val="24"/>
          <w:bdr w:val="nil"/>
          <w:lang w:val="en-US" w:eastAsia="ru-RU"/>
        </w:rPr>
        <w:t>29.07.2024</w:t>
      </w:r>
      <w:bookmarkStart w:id="0" w:name="_GoBack"/>
      <w:bookmarkEnd w:id="0"/>
    </w:p>
    <w:p w:rsidR="00C8596F" w:rsidRDefault="00C8596F"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DA19D7">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DA19D7">
        <w:rPr>
          <w:rFonts w:eastAsia="Arial Unicode MS" w:cs="Times New Roman"/>
          <w:b/>
          <w:szCs w:val="24"/>
          <w:bdr w:val="nil"/>
          <w:lang w:eastAsia="ru-RU"/>
        </w:rPr>
        <w:t xml:space="preserve"> </w:t>
      </w:r>
    </w:p>
    <w:p w:rsidR="00141954" w:rsidRPr="00141954" w:rsidRDefault="00141954" w:rsidP="00853C09">
      <w:pPr>
        <w:pBdr>
          <w:top w:val="nil"/>
          <w:left w:val="nil"/>
          <w:bottom w:val="nil"/>
          <w:right w:val="nil"/>
          <w:between w:val="nil"/>
          <w:bar w:val="nil"/>
        </w:pBdr>
        <w:tabs>
          <w:tab w:val="left" w:pos="284"/>
        </w:tabs>
        <w:spacing w:after="0"/>
        <w:rPr>
          <w:rFonts w:eastAsia="Arial Unicode MS" w:cs="Times New Roman"/>
          <w:szCs w:val="24"/>
          <w:bdr w:val="nil"/>
          <w:lang w:eastAsia="ru-RU"/>
        </w:rPr>
      </w:pPr>
      <w:r w:rsidRPr="00141954">
        <w:rPr>
          <w:rFonts w:eastAsia="Arial Unicode MS" w:cs="Times New Roman"/>
          <w:szCs w:val="24"/>
          <w:bdr w:val="nil"/>
          <w:lang w:eastAsia="ru-RU"/>
        </w:rPr>
        <w:t>1.4, 4.4, 4.5, 5.b, 8.5, 9.2</w:t>
      </w:r>
    </w:p>
    <w:p w:rsidR="00A91FDE" w:rsidRPr="00BD29EC" w:rsidRDefault="00E33CA8" w:rsidP="0075371E">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957A62" w:rsidRPr="00BD29EC" w:rsidRDefault="00141954" w:rsidP="0075371E">
      <w:pPr>
        <w:pBdr>
          <w:top w:val="nil"/>
          <w:left w:val="nil"/>
          <w:bottom w:val="nil"/>
          <w:right w:val="nil"/>
          <w:between w:val="nil"/>
          <w:bar w:val="nil"/>
        </w:pBdr>
        <w:spacing w:after="0"/>
        <w:rPr>
          <w:rFonts w:cs="Times New Roman"/>
          <w:szCs w:val="24"/>
        </w:rPr>
      </w:pPr>
      <w:r w:rsidRPr="00141954">
        <w:rPr>
          <w:rFonts w:cs="Times New Roman"/>
          <w:szCs w:val="24"/>
        </w:rPr>
        <w:t>Статистический институт ЮНЕСКО (</w:t>
      </w:r>
      <w:proofErr w:type="gramStart"/>
      <w:r w:rsidRPr="00141954">
        <w:rPr>
          <w:rFonts w:cs="Times New Roman"/>
          <w:szCs w:val="24"/>
        </w:rPr>
        <w:t>ЮНЕСКО-СИЮ</w:t>
      </w:r>
      <w:proofErr w:type="gramEnd"/>
      <w:r w:rsidRPr="00141954">
        <w:rPr>
          <w:rFonts w:cs="Times New Roman"/>
          <w:szCs w:val="24"/>
        </w:rPr>
        <w:t>)</w:t>
      </w:r>
    </w:p>
    <w:p w:rsidR="00D97F82" w:rsidRDefault="00D97F82" w:rsidP="0075371E">
      <w:pPr>
        <w:pStyle w:val="MHeader"/>
        <w:rPr>
          <w:b/>
          <w:color w:val="auto"/>
          <w:sz w:val="24"/>
          <w:szCs w:val="24"/>
          <w:lang w:val="ru-RU"/>
        </w:rPr>
      </w:pPr>
      <w:bookmarkStart w:id="1" w:name="_Toc37932744"/>
      <w:bookmarkStart w:id="2" w:name="_Toc36813072"/>
      <w:bookmarkStart w:id="3" w:name="_Toc36812685"/>
      <w:bookmarkStart w:id="4" w:name="_Toc36812572"/>
      <w:bookmarkStart w:id="5" w:name="_Toc36655609"/>
    </w:p>
    <w:p w:rsidR="00957A62" w:rsidRPr="00BD29EC" w:rsidRDefault="00957A62" w:rsidP="0075371E">
      <w:pPr>
        <w:pStyle w:val="MHeader"/>
        <w:rPr>
          <w:b/>
          <w:color w:val="auto"/>
          <w:sz w:val="24"/>
          <w:szCs w:val="24"/>
          <w:lang w:val="ru-RU"/>
        </w:rPr>
      </w:pPr>
      <w:r w:rsidRPr="00BD29EC">
        <w:rPr>
          <w:b/>
          <w:color w:val="auto"/>
          <w:sz w:val="24"/>
          <w:szCs w:val="24"/>
          <w:lang w:val="ru-RU"/>
        </w:rPr>
        <w:t xml:space="preserve">1. </w:t>
      </w:r>
      <w:bookmarkEnd w:id="1"/>
      <w:bookmarkEnd w:id="2"/>
      <w:bookmarkEnd w:id="3"/>
      <w:bookmarkEnd w:id="4"/>
      <w:bookmarkEnd w:id="5"/>
      <w:r w:rsidR="00853C09" w:rsidRPr="00BD29EC">
        <w:rPr>
          <w:b/>
          <w:color w:val="auto"/>
          <w:sz w:val="24"/>
          <w:szCs w:val="24"/>
          <w:lang w:val="ru-RU"/>
        </w:rPr>
        <w:t xml:space="preserve">Данные представлены </w:t>
      </w:r>
    </w:p>
    <w:p w:rsidR="00957A62" w:rsidRPr="00BD29EC"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957A62" w:rsidRPr="00141954" w:rsidRDefault="00141954" w:rsidP="00141954">
      <w:r w:rsidRPr="00141954">
        <w:t>Статистический институт ЮНЕСКО (</w:t>
      </w:r>
      <w:proofErr w:type="gramStart"/>
      <w:r w:rsidRPr="00141954">
        <w:t>ЮНЕСКО-СИЮ</w:t>
      </w:r>
      <w:proofErr w:type="gramEnd"/>
      <w:r w:rsidRPr="00141954">
        <w:t>)</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Pr="00525EA7" w:rsidRDefault="00DA19D7" w:rsidP="00141954">
      <w:pPr>
        <w:rPr>
          <w:b/>
        </w:rPr>
      </w:pPr>
      <w:r w:rsidRPr="00525EA7">
        <w:rPr>
          <w:b/>
        </w:rPr>
        <w:t>Определение:</w:t>
      </w:r>
    </w:p>
    <w:p w:rsidR="00141954" w:rsidRPr="00141954" w:rsidRDefault="00141954" w:rsidP="00141954">
      <w:pPr>
        <w:rPr>
          <w:rFonts w:eastAsia="Times New Roman" w:cs="Times New Roman"/>
          <w:lang w:eastAsia="en-GB"/>
        </w:rPr>
      </w:pPr>
      <w:r w:rsidRPr="00141954">
        <w:rPr>
          <w:rFonts w:eastAsia="Times New Roman" w:cs="Times New Roman"/>
          <w:lang w:eastAsia="en-GB"/>
        </w:rPr>
        <w:t>Процентная доля молодых и взрослых людей в определенном возрастном диапазоне (например, 15-24 года, 25-64 года и т. д.), участвующих в формальных или неформальных видах обучения и профессиональной подготовки</w:t>
      </w:r>
      <w:r w:rsidRPr="00141954">
        <w:rPr>
          <w:rFonts w:eastAsia="Times New Roman" w:cs="Times New Roman"/>
          <w:b/>
          <w:lang w:eastAsia="en-GB"/>
        </w:rPr>
        <w:t xml:space="preserve"> </w:t>
      </w:r>
      <w:r w:rsidRPr="00141954">
        <w:rPr>
          <w:rFonts w:eastAsia="Times New Roman" w:cs="Times New Roman"/>
          <w:lang w:eastAsia="en-GB"/>
        </w:rPr>
        <w:t xml:space="preserve">в определенный период времени (например, </w:t>
      </w:r>
      <w:proofErr w:type="gramStart"/>
      <w:r w:rsidRPr="00141954">
        <w:rPr>
          <w:rFonts w:eastAsia="Times New Roman" w:cs="Times New Roman"/>
          <w:lang w:eastAsia="en-GB"/>
        </w:rPr>
        <w:t>в</w:t>
      </w:r>
      <w:proofErr w:type="gramEnd"/>
      <w:r w:rsidRPr="00141954">
        <w:rPr>
          <w:rFonts w:eastAsia="Times New Roman" w:cs="Times New Roman"/>
          <w:lang w:eastAsia="en-GB"/>
        </w:rPr>
        <w:t xml:space="preserve"> последние 12 месяцев).</w:t>
      </w:r>
    </w:p>
    <w:p w:rsidR="00DA19D7" w:rsidRPr="00525EA7" w:rsidRDefault="003859BD" w:rsidP="00141954">
      <w:pPr>
        <w:rPr>
          <w:b/>
        </w:rPr>
      </w:pPr>
      <w:r w:rsidRPr="00525EA7">
        <w:rPr>
          <w:b/>
        </w:rPr>
        <w:t>Основные понятия</w:t>
      </w:r>
      <w:r w:rsidR="00525EA7" w:rsidRPr="00525EA7">
        <w:rPr>
          <w:b/>
        </w:rPr>
        <w:t>:</w:t>
      </w:r>
    </w:p>
    <w:p w:rsidR="00141954" w:rsidRPr="00141954" w:rsidRDefault="00141954" w:rsidP="00141954">
      <w:pPr>
        <w:rPr>
          <w:rFonts w:eastAsia="Times New Roman" w:cs="Times New Roman"/>
          <w:lang w:eastAsia="en-GB"/>
        </w:rPr>
      </w:pPr>
      <w:r w:rsidRPr="00141954">
        <w:rPr>
          <w:rFonts w:eastAsia="Times New Roman" w:cs="Times New Roman"/>
          <w:lang w:eastAsia="en-GB"/>
        </w:rPr>
        <w:t xml:space="preserve">Формальное обучение и профессиональная подготовка определяется как образование, предоставляемое системой школ, колледжей, университетов и других формальных учебных заведений, которая, как правило, представляет собой непрерывную «лестницу» очного обучения для детей и молодых людей, обычно, начинающуюся в возрасте от 5 до 7 </w:t>
      </w:r>
      <w:r w:rsidRPr="00141954">
        <w:rPr>
          <w:rFonts w:eastAsia="Times New Roman" w:cs="Times New Roman"/>
          <w:lang w:eastAsia="en-GB"/>
        </w:rPr>
        <w:lastRenderedPageBreak/>
        <w:t>лет и продолжающуюся до 20 или 25 лет. В некоторых странах верхними ступенями этой «лестницы» являются организованные программы совместной неполной занятости и неполного рабочего дня в обычной системе школьного и университетского образования.</w:t>
      </w:r>
    </w:p>
    <w:p w:rsidR="00141954" w:rsidRPr="00141954" w:rsidRDefault="00141954" w:rsidP="00141954">
      <w:pPr>
        <w:rPr>
          <w:rFonts w:eastAsia="Times New Roman" w:cs="Times New Roman"/>
          <w:lang w:eastAsia="en-GB"/>
        </w:rPr>
      </w:pPr>
      <w:r w:rsidRPr="00141954">
        <w:rPr>
          <w:rFonts w:eastAsia="Times New Roman" w:cs="Times New Roman"/>
          <w:lang w:eastAsia="en-GB"/>
        </w:rPr>
        <w:t xml:space="preserve">Неформальное обучение и профессиональная подготовка определяется как любая организованная и устойчивая учебная деятельность, которая не всегда соответствует приведенному выше определению формального обучения. Поэтому неформальное образование может осуществляться как в учебных заведениях, так и за их пределами, и ориентировано на людей всех возрастов. В зависимости от национальных условий оно может включать в себя образовательные программы по ликвидации неграмотности среди взрослого населения, приобретению жизненных и профессиональных навыков, привитию общей культуры. </w:t>
      </w: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407E4E" w:rsidRDefault="00525EA7" w:rsidP="0075371E">
      <w:pPr>
        <w:pBdr>
          <w:top w:val="nil"/>
          <w:left w:val="nil"/>
          <w:bottom w:val="nil"/>
          <w:right w:val="nil"/>
          <w:between w:val="nil"/>
          <w:bar w:val="nil"/>
        </w:pBdr>
        <w:spacing w:after="0"/>
        <w:rPr>
          <w:rFonts w:cs="Times New Roman"/>
          <w:szCs w:val="24"/>
        </w:rPr>
      </w:pPr>
      <w:r>
        <w:rPr>
          <w:rFonts w:cs="Times New Roman"/>
          <w:szCs w:val="24"/>
        </w:rPr>
        <w:t>Процент</w:t>
      </w:r>
      <w:proofErr w:type="gramStart"/>
      <w:r>
        <w:rPr>
          <w:rFonts w:cs="Times New Roman"/>
          <w:szCs w:val="24"/>
        </w:rPr>
        <w:t xml:space="preserve"> (%)</w:t>
      </w:r>
      <w:proofErr w:type="gramEnd"/>
    </w:p>
    <w:p w:rsidR="00525EA7" w:rsidRPr="00BD29EC" w:rsidRDefault="00525EA7" w:rsidP="0075371E">
      <w:pPr>
        <w:pBdr>
          <w:top w:val="nil"/>
          <w:left w:val="nil"/>
          <w:bottom w:val="nil"/>
          <w:right w:val="nil"/>
          <w:between w:val="nil"/>
          <w:bar w:val="nil"/>
        </w:pBdr>
        <w:spacing w:after="0"/>
        <w:rPr>
          <w:rFonts w:cs="Times New Roman"/>
          <w:szCs w:val="24"/>
        </w:rPr>
      </w:pP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Default="00525EA7" w:rsidP="0075371E">
      <w:pPr>
        <w:pStyle w:val="MText"/>
        <w:rPr>
          <w:color w:val="auto"/>
          <w:sz w:val="24"/>
          <w:szCs w:val="24"/>
          <w:lang w:val="ru-RU"/>
        </w:rPr>
      </w:pPr>
      <w:r>
        <w:rPr>
          <w:color w:val="auto"/>
          <w:sz w:val="24"/>
          <w:szCs w:val="24"/>
          <w:lang w:val="ru-RU"/>
        </w:rPr>
        <w:t>Не применимо.</w:t>
      </w:r>
    </w:p>
    <w:p w:rsidR="00525EA7" w:rsidRPr="00BD29EC" w:rsidRDefault="00525EA7" w:rsidP="0075371E">
      <w:pPr>
        <w:pStyle w:val="MText"/>
        <w:rPr>
          <w:color w:val="auto"/>
          <w:sz w:val="24"/>
          <w:szCs w:val="24"/>
          <w:lang w:val="ru-RU"/>
        </w:rPr>
      </w:pP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6E69ED" w:rsidRDefault="006E69ED" w:rsidP="0075371E">
      <w:pPr>
        <w:pStyle w:val="MHeader2"/>
        <w:rPr>
          <w:rFonts w:eastAsiaTheme="minorHAnsi" w:cstheme="minorBidi"/>
          <w:color w:val="auto"/>
          <w:sz w:val="24"/>
          <w:szCs w:val="22"/>
          <w:lang w:val="ru-RU" w:eastAsia="en-US"/>
        </w:rPr>
      </w:pPr>
      <w:r w:rsidRPr="006E69ED">
        <w:rPr>
          <w:rFonts w:eastAsiaTheme="minorHAnsi" w:cstheme="minorBidi"/>
          <w:color w:val="auto"/>
          <w:sz w:val="24"/>
          <w:szCs w:val="22"/>
          <w:lang w:val="ru-RU" w:eastAsia="en-US"/>
        </w:rPr>
        <w:t>Показатель ЦУР 4.3.1 рассчитывается ИСЮ на основе данных обследований домохозяйств, собранных Департаментом статистики Международной организации труда (МОТ), который ведет глобальную базу данных национальных обследований рабочей силы или других соответствующих обследований домохозяйств, которые охватить рынок труда.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141954" w:rsidRPr="00BD29EC" w:rsidRDefault="00141954" w:rsidP="00141954">
      <w:r w:rsidRPr="00141954">
        <w:t>Данные собираются от соответствующих организаций, ответственных за каждое обследование.</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141954" w:rsidRPr="00BD29EC" w:rsidRDefault="00141954" w:rsidP="00141954">
      <w:r w:rsidRPr="00141954">
        <w:t>Различные в зависимости от опроса и страны.</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141954" w:rsidRPr="00141954" w:rsidRDefault="00141954" w:rsidP="00141954">
      <w:r w:rsidRPr="00141954">
        <w:t>Различные в зависимости от опроса и страны.</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141954" w:rsidRPr="00A71EC6" w:rsidRDefault="00141954" w:rsidP="00141954">
      <w:r w:rsidRPr="00141954">
        <w:t>Министерства образования и/или национальные статистические управления</w:t>
      </w:r>
      <w:r w:rsidR="006E69ED">
        <w:t xml:space="preserve"> (НСО)</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141954" w:rsidRPr="00BD29EC" w:rsidRDefault="00141954" w:rsidP="00141954">
      <w:r w:rsidRPr="00141954">
        <w:t>Статистический институт ЮНЕСКО</w:t>
      </w:r>
    </w:p>
    <w:p w:rsidR="00141954" w:rsidRDefault="00141954" w:rsidP="00141954"/>
    <w:p w:rsidR="000A229E" w:rsidRDefault="000A229E" w:rsidP="0075371E">
      <w:pPr>
        <w:pStyle w:val="MHeader2"/>
        <w:rPr>
          <w:b/>
          <w:color w:val="auto"/>
          <w:sz w:val="24"/>
          <w:szCs w:val="24"/>
          <w:lang w:val="ru-RU"/>
        </w:rPr>
      </w:pPr>
      <w:r w:rsidRPr="00BD29EC">
        <w:rPr>
          <w:color w:val="auto"/>
          <w:sz w:val="24"/>
          <w:szCs w:val="24"/>
          <w:lang w:val="ru-RU"/>
        </w:rPr>
        <w:lastRenderedPageBreak/>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141954" w:rsidRPr="00D861A1" w:rsidRDefault="00141954" w:rsidP="00141954">
      <w:pPr>
        <w:pBdr>
          <w:top w:val="nil"/>
          <w:left w:val="nil"/>
          <w:bottom w:val="nil"/>
          <w:right w:val="nil"/>
          <w:between w:val="nil"/>
          <w:bar w:val="nil"/>
        </w:pBdr>
        <w:spacing w:after="0"/>
        <w:rPr>
          <w:rFonts w:cs="Times New Roman"/>
          <w:szCs w:val="24"/>
        </w:rPr>
      </w:pPr>
      <w:r w:rsidRPr="00D861A1">
        <w:rPr>
          <w:rFonts w:cs="Times New Roman"/>
          <w:szCs w:val="24"/>
        </w:rPr>
        <w:t>Статистический институт ЮНЕСКО (СИЮ) является статистическим подразделением Организации Объединенных Наций по вопросам образования, науки и культуры (ЮНЕСКО). Институт производит сопоставимые на международном уровне данные и методологии в области образования, науки, культуры и коммуникации для стран, находящихся на всех этапах развития.</w:t>
      </w:r>
    </w:p>
    <w:p w:rsidR="00141954" w:rsidRPr="00D861A1" w:rsidRDefault="00141954" w:rsidP="00141954">
      <w:pPr>
        <w:pBdr>
          <w:top w:val="nil"/>
          <w:left w:val="nil"/>
          <w:bottom w:val="nil"/>
          <w:right w:val="nil"/>
          <w:between w:val="nil"/>
          <w:bar w:val="nil"/>
        </w:pBdr>
        <w:spacing w:after="0"/>
        <w:rPr>
          <w:rFonts w:cs="Times New Roman"/>
          <w:szCs w:val="24"/>
        </w:rPr>
      </w:pPr>
    </w:p>
    <w:p w:rsidR="00141954" w:rsidRPr="00141954" w:rsidRDefault="00A61389" w:rsidP="00141954">
      <w:pPr>
        <w:pBdr>
          <w:top w:val="nil"/>
          <w:left w:val="nil"/>
          <w:bottom w:val="nil"/>
          <w:right w:val="nil"/>
          <w:between w:val="nil"/>
          <w:bar w:val="nil"/>
        </w:pBdr>
        <w:spacing w:after="0"/>
        <w:rPr>
          <w:rFonts w:cs="Times New Roman"/>
          <w:i/>
          <w:szCs w:val="24"/>
        </w:rPr>
      </w:pPr>
      <w:hyperlink r:id="rId9" w:history="1">
        <w:r w:rsidR="00141954" w:rsidRPr="00D861A1">
          <w:rPr>
            <w:rStyle w:val="ac"/>
            <w:rFonts w:cs="Times New Roman"/>
            <w:szCs w:val="24"/>
          </w:rPr>
          <w:t>В Рамочной программе действий «Образование-2030»</w:t>
        </w:r>
        <w:r w:rsidR="00141954" w:rsidRPr="00D861A1">
          <w:rPr>
            <w:rStyle w:val="ac"/>
            <w:rFonts w:cs="Times New Roman"/>
            <w:i/>
            <w:szCs w:val="24"/>
          </w:rPr>
          <w:t xml:space="preserve"> </w:t>
        </w:r>
        <w:r w:rsidR="00141954" w:rsidRPr="00D861A1">
          <w:rPr>
            <w:rStyle w:val="ac"/>
            <w:rFonts w:cs="Times New Roman"/>
            <w:szCs w:val="24"/>
          </w:rPr>
          <w:t>100</w:t>
        </w:r>
      </w:hyperlink>
      <w:r w:rsidR="00141954" w:rsidRPr="00D861A1">
        <w:rPr>
          <w:rFonts w:cs="Times New Roman"/>
          <w:i/>
          <w:szCs w:val="24"/>
        </w:rPr>
        <w:t xml:space="preserve"> четко указано, что: «Признавая важность гармонизации мониторинга и отчетности, СИЮ останется официальным источником данных об образовании, сопоставимых на международном уровне. Он будет продолжать разрабатывать показатели международного мониторинга на основе своего ежегодного обследования образования и других источников данных, которые гарантируют международную сопоставимость </w:t>
      </w:r>
      <w:proofErr w:type="gramStart"/>
      <w:r w:rsidR="00141954" w:rsidRPr="00D861A1">
        <w:rPr>
          <w:rFonts w:cs="Times New Roman"/>
          <w:i/>
          <w:szCs w:val="24"/>
        </w:rPr>
        <w:t>для</w:t>
      </w:r>
      <w:proofErr w:type="gramEnd"/>
      <w:r w:rsidR="00141954" w:rsidRPr="00D861A1">
        <w:rPr>
          <w:rFonts w:cs="Times New Roman"/>
          <w:i/>
          <w:szCs w:val="24"/>
        </w:rPr>
        <w:t xml:space="preserve"> более </w:t>
      </w:r>
      <w:proofErr w:type="gramStart"/>
      <w:r w:rsidR="00141954" w:rsidRPr="00D861A1">
        <w:rPr>
          <w:rFonts w:cs="Times New Roman"/>
          <w:i/>
          <w:szCs w:val="24"/>
        </w:rPr>
        <w:t>чем</w:t>
      </w:r>
      <w:proofErr w:type="gramEnd"/>
      <w:r w:rsidR="00141954" w:rsidRPr="00D861A1">
        <w:rPr>
          <w:rFonts w:cs="Times New Roman"/>
          <w:i/>
          <w:szCs w:val="24"/>
        </w:rPr>
        <w:t xml:space="preserve"> 200 стран и территорий. Помимо сбора данных, СИЮ будет работать с партнерами над разработкой новых показателей, статистических подходов и инструментов мониторинга для более эффективной оценки прогресса в выполнении задач, связанных с мандатом ЮНЕСКО, работая в координации с SC SDG-</w:t>
      </w:r>
      <w:proofErr w:type="spellStart"/>
      <w:r w:rsidR="00141954" w:rsidRPr="00D861A1">
        <w:rPr>
          <w:rFonts w:cs="Times New Roman"/>
          <w:i/>
          <w:szCs w:val="24"/>
        </w:rPr>
        <w:t>Education</w:t>
      </w:r>
      <w:proofErr w:type="spellEnd"/>
      <w:r w:rsidR="00141954" w:rsidRPr="00D861A1">
        <w:rPr>
          <w:rFonts w:cs="Times New Roman"/>
          <w:i/>
          <w:szCs w:val="24"/>
        </w:rPr>
        <w:t xml:space="preserve"> 2030».</w:t>
      </w:r>
    </w:p>
    <w:p w:rsidR="00980F79" w:rsidRPr="00BD29EC" w:rsidRDefault="00980F79" w:rsidP="0075371E">
      <w:pPr>
        <w:pBdr>
          <w:top w:val="nil"/>
          <w:left w:val="nil"/>
          <w:bottom w:val="nil"/>
          <w:right w:val="nil"/>
          <w:between w:val="nil"/>
          <w:bar w:val="nil"/>
        </w:pBdr>
        <w:spacing w:after="0"/>
        <w:rPr>
          <w:rFonts w:cs="Times New Roman"/>
          <w:b/>
          <w:szCs w:val="24"/>
        </w:rPr>
      </w:pP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2E15F9" w:rsidRPr="00141954" w:rsidRDefault="00141954" w:rsidP="00141954">
      <w:pPr>
        <w:pStyle w:val="Default"/>
        <w:spacing w:after="240"/>
        <w:jc w:val="both"/>
        <w:rPr>
          <w:rFonts w:ascii="Times New Roman" w:hAnsi="Times New Roman" w:cs="Times New Roman"/>
        </w:rPr>
      </w:pPr>
      <w:r w:rsidRPr="005F1AF7">
        <w:rPr>
          <w:rFonts w:ascii="Times New Roman" w:hAnsi="Times New Roman" w:cs="Times New Roman"/>
        </w:rPr>
        <w:t>П</w:t>
      </w:r>
      <w:r>
        <w:rPr>
          <w:rFonts w:ascii="Times New Roman" w:hAnsi="Times New Roman" w:cs="Times New Roman"/>
        </w:rPr>
        <w:t>оказать уровня участия молодых</w:t>
      </w:r>
      <w:r w:rsidRPr="005F1AF7">
        <w:rPr>
          <w:rFonts w:ascii="Times New Roman" w:hAnsi="Times New Roman" w:cs="Times New Roman"/>
        </w:rPr>
        <w:t xml:space="preserve"> и взрослых </w:t>
      </w:r>
      <w:r>
        <w:rPr>
          <w:rFonts w:ascii="Times New Roman" w:hAnsi="Times New Roman" w:cs="Times New Roman"/>
        </w:rPr>
        <w:t xml:space="preserve">людей </w:t>
      </w:r>
      <w:r w:rsidRPr="005F1AF7">
        <w:rPr>
          <w:rFonts w:ascii="Times New Roman" w:hAnsi="Times New Roman" w:cs="Times New Roman"/>
        </w:rPr>
        <w:t>в</w:t>
      </w:r>
      <w:r>
        <w:rPr>
          <w:rFonts w:ascii="Times New Roman" w:hAnsi="Times New Roman" w:cs="Times New Roman"/>
        </w:rPr>
        <w:t>о</w:t>
      </w:r>
      <w:r w:rsidRPr="005F1AF7">
        <w:rPr>
          <w:rFonts w:ascii="Times New Roman" w:hAnsi="Times New Roman" w:cs="Times New Roman"/>
        </w:rPr>
        <w:t xml:space="preserve"> </w:t>
      </w:r>
      <w:r>
        <w:rPr>
          <w:rFonts w:ascii="Times New Roman" w:hAnsi="Times New Roman" w:cs="Times New Roman"/>
        </w:rPr>
        <w:t xml:space="preserve">всех видах </w:t>
      </w:r>
      <w:r w:rsidRPr="005F1AF7">
        <w:rPr>
          <w:rFonts w:ascii="Times New Roman" w:hAnsi="Times New Roman" w:cs="Times New Roman"/>
        </w:rPr>
        <w:t xml:space="preserve">обучения и профессиональной подготовки. Высокое значение </w:t>
      </w:r>
      <w:r>
        <w:rPr>
          <w:rFonts w:ascii="Times New Roman" w:hAnsi="Times New Roman" w:cs="Times New Roman"/>
        </w:rPr>
        <w:t xml:space="preserve">показателя </w:t>
      </w:r>
      <w:r w:rsidRPr="005F1AF7">
        <w:rPr>
          <w:rFonts w:ascii="Times New Roman" w:hAnsi="Times New Roman" w:cs="Times New Roman"/>
        </w:rPr>
        <w:t>указывает на то, что значительная доля населения соответствующ</w:t>
      </w:r>
      <w:r>
        <w:rPr>
          <w:rFonts w:ascii="Times New Roman" w:hAnsi="Times New Roman" w:cs="Times New Roman"/>
        </w:rPr>
        <w:t>ей возрастной группы участвует в формальных или неформальных</w:t>
      </w:r>
      <w:r w:rsidRPr="006807A8">
        <w:rPr>
          <w:rFonts w:ascii="Times New Roman" w:hAnsi="Times New Roman" w:cs="Times New Roman"/>
        </w:rPr>
        <w:t xml:space="preserve"> </w:t>
      </w:r>
      <w:r>
        <w:rPr>
          <w:rFonts w:ascii="Times New Roman" w:hAnsi="Times New Roman" w:cs="Times New Roman"/>
        </w:rPr>
        <w:t xml:space="preserve">видах </w:t>
      </w:r>
      <w:r w:rsidRPr="005F1AF7">
        <w:rPr>
          <w:rFonts w:ascii="Times New Roman" w:hAnsi="Times New Roman" w:cs="Times New Roman"/>
        </w:rPr>
        <w:t>обучения и профессиональной подготовки.</w:t>
      </w:r>
      <w:r>
        <w:rPr>
          <w:rFonts w:ascii="Times New Roman" w:hAnsi="Times New Roman" w:cs="Times New Roman"/>
        </w:rPr>
        <w:t xml:space="preserve"> </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141954" w:rsidRPr="00141954" w:rsidRDefault="00141954" w:rsidP="00141954">
      <w:pPr>
        <w:pStyle w:val="Default"/>
        <w:spacing w:after="240"/>
        <w:jc w:val="both"/>
        <w:rPr>
          <w:rFonts w:ascii="Times New Roman" w:hAnsi="Times New Roman" w:cs="Times New Roman"/>
        </w:rPr>
      </w:pPr>
      <w:r w:rsidRPr="00FA5ACE">
        <w:rPr>
          <w:rFonts w:ascii="Times New Roman" w:hAnsi="Times New Roman" w:cs="Times New Roman"/>
        </w:rPr>
        <w:t xml:space="preserve">Формальное и неформальное </w:t>
      </w:r>
      <w:r>
        <w:rPr>
          <w:rFonts w:ascii="Times New Roman" w:hAnsi="Times New Roman" w:cs="Times New Roman"/>
        </w:rPr>
        <w:t>обучение и профессиональная подготовка</w:t>
      </w:r>
      <w:r w:rsidRPr="00E44C4C">
        <w:rPr>
          <w:rFonts w:ascii="Times New Roman" w:hAnsi="Times New Roman" w:cs="Times New Roman"/>
        </w:rPr>
        <w:t xml:space="preserve"> </w:t>
      </w:r>
      <w:r w:rsidRPr="00FA5ACE">
        <w:rPr>
          <w:rFonts w:ascii="Times New Roman" w:hAnsi="Times New Roman" w:cs="Times New Roman"/>
        </w:rPr>
        <w:t xml:space="preserve">могут предлагаться в различных условиях, включая школы и университеты, на рабочих </w:t>
      </w:r>
      <w:r>
        <w:rPr>
          <w:rFonts w:ascii="Times New Roman" w:hAnsi="Times New Roman" w:cs="Times New Roman"/>
        </w:rPr>
        <w:t>местах, и др.,</w:t>
      </w:r>
      <w:r w:rsidRPr="00FA5ACE">
        <w:rPr>
          <w:rFonts w:ascii="Times New Roman" w:hAnsi="Times New Roman" w:cs="Times New Roman"/>
        </w:rPr>
        <w:t xml:space="preserve"> и могут иметь различную продолжительность. Административные данные часто охватывают только предоставление </w:t>
      </w:r>
      <w:r>
        <w:rPr>
          <w:rFonts w:ascii="Times New Roman" w:hAnsi="Times New Roman" w:cs="Times New Roman"/>
        </w:rPr>
        <w:t xml:space="preserve">обучения </w:t>
      </w:r>
      <w:r w:rsidRPr="00FA5ACE">
        <w:rPr>
          <w:rFonts w:ascii="Times New Roman" w:hAnsi="Times New Roman" w:cs="Times New Roman"/>
        </w:rPr>
        <w:t>в формальных условиях, таких как школы и университеты. П</w:t>
      </w:r>
      <w:r>
        <w:rPr>
          <w:rFonts w:ascii="Times New Roman" w:hAnsi="Times New Roman" w:cs="Times New Roman"/>
        </w:rPr>
        <w:t>оказатели участия не отражают интенсивность и качество</w:t>
      </w:r>
      <w:r w:rsidRPr="00FA5ACE">
        <w:rPr>
          <w:rFonts w:ascii="Times New Roman" w:hAnsi="Times New Roman" w:cs="Times New Roman"/>
        </w:rPr>
        <w:t xml:space="preserve"> предоста</w:t>
      </w:r>
      <w:r>
        <w:rPr>
          <w:rFonts w:ascii="Times New Roman" w:hAnsi="Times New Roman" w:cs="Times New Roman"/>
        </w:rPr>
        <w:t>вляемых услуг, ровно, как и результаты</w:t>
      </w:r>
      <w:r w:rsidRPr="00FA5ACE">
        <w:rPr>
          <w:rFonts w:ascii="Times New Roman" w:hAnsi="Times New Roman" w:cs="Times New Roman"/>
        </w:rPr>
        <w:t xml:space="preserve"> предлагаемого </w:t>
      </w:r>
      <w:r>
        <w:rPr>
          <w:rFonts w:ascii="Times New Roman" w:hAnsi="Times New Roman" w:cs="Times New Roman"/>
        </w:rPr>
        <w:t>обучения и профессиональной подготовки</w:t>
      </w:r>
      <w:r w:rsidRPr="00FA5ACE">
        <w:rPr>
          <w:rFonts w:ascii="Times New Roman" w:hAnsi="Times New Roman" w:cs="Times New Roman"/>
        </w:rPr>
        <w:t>.</w:t>
      </w:r>
      <w:r>
        <w:rPr>
          <w:rFonts w:ascii="Times New Roman" w:hAnsi="Times New Roman" w:cs="Times New Roman"/>
        </w:rPr>
        <w:t xml:space="preserve"> </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r w:rsidR="00CA1CB1" w:rsidRPr="00BD29EC">
        <w:rPr>
          <w:color w:val="auto"/>
          <w:sz w:val="24"/>
          <w:szCs w:val="24"/>
          <w:lang w:val="ru-RU"/>
        </w:rPr>
        <w:t xml:space="preserve"> </w:t>
      </w:r>
    </w:p>
    <w:p w:rsidR="00141954" w:rsidRPr="00B85EA5" w:rsidRDefault="00141954" w:rsidP="00141954">
      <w:pPr>
        <w:pStyle w:val="Default"/>
        <w:spacing w:after="240"/>
        <w:jc w:val="both"/>
        <w:rPr>
          <w:rFonts w:ascii="Times New Roman" w:hAnsi="Times New Roman" w:cs="Times New Roman"/>
        </w:rPr>
      </w:pPr>
      <w:r>
        <w:rPr>
          <w:rFonts w:ascii="Times New Roman" w:hAnsi="Times New Roman" w:cs="Times New Roman"/>
        </w:rPr>
        <w:t>Количество</w:t>
      </w:r>
      <w:r w:rsidRPr="0094692E">
        <w:rPr>
          <w:rFonts w:ascii="Times New Roman" w:hAnsi="Times New Roman" w:cs="Times New Roman"/>
        </w:rPr>
        <w:t xml:space="preserve"> людей в отдельных возрастных группах, </w:t>
      </w:r>
      <w:r>
        <w:rPr>
          <w:rFonts w:ascii="Times New Roman" w:hAnsi="Times New Roman" w:cs="Times New Roman"/>
        </w:rPr>
        <w:t>участвующих в формальных или неформальных</w:t>
      </w:r>
      <w:r w:rsidRPr="006807A8">
        <w:rPr>
          <w:rFonts w:ascii="Times New Roman" w:hAnsi="Times New Roman" w:cs="Times New Roman"/>
        </w:rPr>
        <w:t xml:space="preserve"> </w:t>
      </w:r>
      <w:r>
        <w:rPr>
          <w:rFonts w:ascii="Times New Roman" w:hAnsi="Times New Roman" w:cs="Times New Roman"/>
        </w:rPr>
        <w:t xml:space="preserve">видах </w:t>
      </w:r>
      <w:r w:rsidRPr="005F1AF7">
        <w:rPr>
          <w:rFonts w:ascii="Times New Roman" w:hAnsi="Times New Roman" w:cs="Times New Roman"/>
        </w:rPr>
        <w:t>обучения и профессиональной подготовки</w:t>
      </w:r>
      <w:r w:rsidRPr="0094692E">
        <w:rPr>
          <w:rFonts w:ascii="Times New Roman" w:hAnsi="Times New Roman" w:cs="Times New Roman"/>
        </w:rPr>
        <w:t xml:space="preserve">, выражается в процентах </w:t>
      </w:r>
      <w:r>
        <w:rPr>
          <w:rFonts w:ascii="Times New Roman" w:hAnsi="Times New Roman" w:cs="Times New Roman"/>
        </w:rPr>
        <w:t xml:space="preserve">от </w:t>
      </w:r>
      <w:r w:rsidRPr="00B85EA5">
        <w:rPr>
          <w:rFonts w:ascii="Times New Roman" w:hAnsi="Times New Roman" w:cs="Times New Roman"/>
        </w:rPr>
        <w:t>общей численности населения в том же возрастном диапазоне</w:t>
      </w:r>
      <w:r w:rsidRPr="0094692E">
        <w:rPr>
          <w:rFonts w:ascii="Times New Roman" w:hAnsi="Times New Roman" w:cs="Times New Roman"/>
        </w:rPr>
        <w:t>.</w:t>
      </w:r>
    </w:p>
    <w:p w:rsidR="00141954" w:rsidRPr="006E69ED" w:rsidRDefault="00A61389" w:rsidP="00141954">
      <w:pPr>
        <w:pStyle w:val="Default"/>
        <w:spacing w:after="240"/>
        <w:jc w:val="both"/>
        <w:rPr>
          <w:rFonts w:eastAsia="Times New Roman" w:cs="Times New Roman"/>
          <w:lang w:eastAsia="en-GB"/>
        </w:rPr>
      </w:pPr>
      <m:oMathPara>
        <m:oMath>
          <m:sSub>
            <m:sSubPr>
              <m:ctrlPr>
                <w:rPr>
                  <w:rFonts w:ascii="Cambria Math" w:eastAsia="Times New Roman" w:hAnsi="Cambria Math" w:cs="Times New Roman"/>
                  <w:i/>
                  <w:lang w:val="en-GB" w:eastAsia="en-GB"/>
                </w:rPr>
              </m:ctrlPr>
            </m:sSubPr>
            <m:e>
              <m:r>
                <w:rPr>
                  <w:rFonts w:ascii="Cambria Math" w:eastAsia="Times New Roman" w:hAnsi="Cambria Math" w:cs="Times New Roman"/>
                  <w:lang w:val="en-GB" w:eastAsia="en-GB"/>
                </w:rPr>
                <m:t>PR</m:t>
              </m:r>
            </m:e>
            <m:sub>
              <m:r>
                <w:rPr>
                  <w:rFonts w:ascii="Cambria Math" w:eastAsia="Times New Roman" w:hAnsi="Cambria Math" w:cs="Times New Roman"/>
                  <w:lang w:val="en-GB" w:eastAsia="en-GB"/>
                </w:rPr>
                <m:t>AGi</m:t>
              </m:r>
            </m:sub>
          </m:sSub>
          <m:r>
            <w:rPr>
              <w:rFonts w:ascii="Cambria Math" w:eastAsia="Times New Roman" w:hAnsi="Cambria Math" w:cs="Times New Roman"/>
              <w:lang w:val="en-GB" w:eastAsia="en-GB"/>
            </w:rPr>
            <m:t xml:space="preserve">= </m:t>
          </m:r>
          <m:f>
            <m:fPr>
              <m:ctrlPr>
                <w:rPr>
                  <w:rFonts w:ascii="Cambria Math" w:eastAsia="Times New Roman" w:hAnsi="Cambria Math" w:cs="Times New Roman"/>
                  <w:i/>
                  <w:lang w:val="en-GB" w:eastAsia="en-GB"/>
                </w:rPr>
              </m:ctrlPr>
            </m:fPr>
            <m:num>
              <m:sSub>
                <m:sSubPr>
                  <m:ctrlPr>
                    <w:rPr>
                      <w:rFonts w:ascii="Cambria Math" w:eastAsia="Times New Roman" w:hAnsi="Cambria Math" w:cs="Times New Roman"/>
                      <w:i/>
                      <w:lang w:val="en-GB" w:eastAsia="en-GB"/>
                    </w:rPr>
                  </m:ctrlPr>
                </m:sSubPr>
                <m:e>
                  <m:r>
                    <w:rPr>
                      <w:rFonts w:ascii="Cambria Math" w:eastAsia="Times New Roman" w:hAnsi="Cambria Math" w:cs="Times New Roman"/>
                      <w:lang w:val="en-GB" w:eastAsia="en-GB"/>
                    </w:rPr>
                    <m:t>E</m:t>
                  </m:r>
                </m:e>
                <m:sub>
                  <m:r>
                    <w:rPr>
                      <w:rFonts w:ascii="Cambria Math" w:eastAsia="Times New Roman" w:hAnsi="Cambria Math" w:cs="Times New Roman"/>
                      <w:lang w:val="en-GB" w:eastAsia="en-GB"/>
                    </w:rPr>
                    <m:t>AGi</m:t>
                  </m:r>
                </m:sub>
              </m:sSub>
            </m:num>
            <m:den>
              <m:sSub>
                <m:sSubPr>
                  <m:ctrlPr>
                    <w:rPr>
                      <w:rFonts w:ascii="Cambria Math" w:eastAsia="Times New Roman" w:hAnsi="Cambria Math" w:cs="Times New Roman"/>
                      <w:i/>
                      <w:lang w:val="en-GB" w:eastAsia="en-GB"/>
                    </w:rPr>
                  </m:ctrlPr>
                </m:sSubPr>
                <m:e>
                  <m:r>
                    <w:rPr>
                      <w:rFonts w:ascii="Cambria Math" w:eastAsia="Times New Roman" w:hAnsi="Cambria Math" w:cs="Times New Roman"/>
                      <w:lang w:val="en-GB" w:eastAsia="en-GB"/>
                    </w:rPr>
                    <m:t>P</m:t>
                  </m:r>
                </m:e>
                <m:sub>
                  <m:r>
                    <w:rPr>
                      <w:rFonts w:ascii="Cambria Math" w:eastAsia="Times New Roman" w:hAnsi="Cambria Math" w:cs="Times New Roman"/>
                      <w:lang w:val="en-GB" w:eastAsia="en-GB"/>
                    </w:rPr>
                    <m:t>AGi</m:t>
                  </m:r>
                </m:sub>
              </m:sSub>
            </m:den>
          </m:f>
        </m:oMath>
      </m:oMathPara>
    </w:p>
    <w:p w:rsidR="00141954" w:rsidRPr="009B1591" w:rsidRDefault="006E69ED" w:rsidP="00141954">
      <w:pPr>
        <w:pStyle w:val="Default"/>
        <w:spacing w:after="240"/>
        <w:jc w:val="both"/>
        <w:rPr>
          <w:rFonts w:ascii="Times New Roman" w:hAnsi="Times New Roman" w:cs="Times New Roman"/>
        </w:rPr>
      </w:pPr>
      <w:r>
        <w:rPr>
          <w:rFonts w:ascii="Times New Roman" w:hAnsi="Times New Roman" w:cs="Times New Roman"/>
        </w:rPr>
        <w:t>г</w:t>
      </w:r>
      <w:r w:rsidR="00141954" w:rsidRPr="009B1591">
        <w:rPr>
          <w:rFonts w:ascii="Times New Roman" w:hAnsi="Times New Roman" w:cs="Times New Roman"/>
        </w:rPr>
        <w:t>де:</w:t>
      </w:r>
    </w:p>
    <w:p w:rsidR="00141954" w:rsidRPr="009B1591" w:rsidRDefault="00FE0D9D" w:rsidP="00141954">
      <w:pPr>
        <w:pStyle w:val="Default"/>
        <w:spacing w:after="240"/>
        <w:jc w:val="both"/>
        <w:rPr>
          <w:rFonts w:ascii="Times New Roman" w:hAnsi="Times New Roman" w:cs="Times New Roman"/>
          <w:color w:val="auto"/>
        </w:rPr>
      </w:pPr>
      <w:proofErr w:type="spellStart"/>
      <w:r w:rsidRPr="00FE0D9D">
        <w:rPr>
          <w:rFonts w:ascii="Times New Roman" w:hAnsi="Times New Roman" w:cs="Times New Roman"/>
          <w:i/>
          <w:color w:val="auto"/>
          <w:lang w:val="en-GB"/>
        </w:rPr>
        <w:t>PR</w:t>
      </w:r>
      <w:r w:rsidRPr="00FE0D9D">
        <w:rPr>
          <w:rFonts w:ascii="Times New Roman" w:hAnsi="Times New Roman" w:cs="Times New Roman"/>
          <w:i/>
          <w:color w:val="auto"/>
          <w:vertAlign w:val="subscript"/>
          <w:lang w:val="en-GB"/>
        </w:rPr>
        <w:t>AGi</w:t>
      </w:r>
      <w:proofErr w:type="spellEnd"/>
      <w:r w:rsidR="00141954" w:rsidRPr="009B1591">
        <w:rPr>
          <w:rFonts w:ascii="Times New Roman" w:hAnsi="Times New Roman" w:cs="Times New Roman"/>
          <w:color w:val="auto"/>
        </w:rPr>
        <w:t xml:space="preserve"> = уровень участия населения в возрастной группе </w:t>
      </w:r>
      <w:proofErr w:type="spellStart"/>
      <w:r w:rsidR="00141954" w:rsidRPr="009B1591">
        <w:rPr>
          <w:rFonts w:ascii="Times New Roman" w:hAnsi="Times New Roman" w:cs="Times New Roman"/>
          <w:color w:val="auto"/>
          <w:lang w:val="en-US"/>
        </w:rPr>
        <w:t>i</w:t>
      </w:r>
      <w:proofErr w:type="spellEnd"/>
      <w:r w:rsidR="00141954" w:rsidRPr="009B1591">
        <w:rPr>
          <w:rFonts w:ascii="Times New Roman" w:hAnsi="Times New Roman" w:cs="Times New Roman"/>
          <w:color w:val="auto"/>
        </w:rPr>
        <w:t xml:space="preserve"> в формальных или неформальных видах обучения и профессиональной подготовки;</w:t>
      </w:r>
    </w:p>
    <w:p w:rsidR="00141954" w:rsidRPr="009B1591" w:rsidRDefault="00FE0D9D" w:rsidP="00141954">
      <w:pPr>
        <w:pStyle w:val="Default"/>
        <w:spacing w:after="240"/>
        <w:jc w:val="both"/>
        <w:rPr>
          <w:rFonts w:ascii="Times New Roman" w:hAnsi="Times New Roman" w:cs="Times New Roman"/>
          <w:color w:val="auto"/>
        </w:rPr>
      </w:pPr>
      <w:proofErr w:type="spellStart"/>
      <w:r w:rsidRPr="00FE0D9D">
        <w:rPr>
          <w:rFonts w:ascii="Times New Roman" w:hAnsi="Times New Roman" w:cs="Times New Roman"/>
          <w:i/>
          <w:color w:val="auto"/>
          <w:lang w:val="en-GB"/>
        </w:rPr>
        <w:lastRenderedPageBreak/>
        <w:t>E</w:t>
      </w:r>
      <w:r w:rsidRPr="00FE0D9D">
        <w:rPr>
          <w:rFonts w:ascii="Times New Roman" w:hAnsi="Times New Roman" w:cs="Times New Roman"/>
          <w:i/>
          <w:color w:val="auto"/>
          <w:vertAlign w:val="subscript"/>
          <w:lang w:val="en-GB"/>
        </w:rPr>
        <w:t>AGi</w:t>
      </w:r>
      <w:proofErr w:type="spellEnd"/>
      <w:r w:rsidRPr="00FE0D9D">
        <w:rPr>
          <w:rFonts w:ascii="Times New Roman" w:hAnsi="Times New Roman" w:cs="Times New Roman"/>
          <w:color w:val="auto"/>
        </w:rPr>
        <w:t xml:space="preserve"> </w:t>
      </w:r>
      <w:r w:rsidR="00141954" w:rsidRPr="009B1591">
        <w:rPr>
          <w:rFonts w:ascii="Times New Roman" w:hAnsi="Times New Roman" w:cs="Times New Roman"/>
          <w:color w:val="auto"/>
        </w:rPr>
        <w:t>= вступление населения возрастной группы i в формальные или неформальные виды обучения и профессиональной подготовки;</w:t>
      </w:r>
    </w:p>
    <w:p w:rsidR="00141954" w:rsidRPr="009B1591" w:rsidRDefault="00FE0D9D" w:rsidP="00141954">
      <w:pPr>
        <w:pStyle w:val="Default"/>
        <w:spacing w:after="240"/>
        <w:jc w:val="both"/>
        <w:rPr>
          <w:rFonts w:ascii="Times New Roman" w:hAnsi="Times New Roman" w:cs="Times New Roman"/>
          <w:color w:val="auto"/>
        </w:rPr>
      </w:pPr>
      <w:proofErr w:type="spellStart"/>
      <w:r w:rsidRPr="00FE0D9D">
        <w:rPr>
          <w:rFonts w:ascii="Times New Roman" w:hAnsi="Times New Roman" w:cs="Times New Roman"/>
          <w:i/>
          <w:color w:val="auto"/>
          <w:lang w:val="en-GB"/>
        </w:rPr>
        <w:t>P</w:t>
      </w:r>
      <w:r w:rsidRPr="00FE0D9D">
        <w:rPr>
          <w:rFonts w:ascii="Times New Roman" w:hAnsi="Times New Roman" w:cs="Times New Roman"/>
          <w:i/>
          <w:color w:val="auto"/>
          <w:vertAlign w:val="subscript"/>
          <w:lang w:val="en-GB"/>
        </w:rPr>
        <w:t>AGi</w:t>
      </w:r>
      <w:proofErr w:type="spellEnd"/>
      <w:r w:rsidR="00141954" w:rsidRPr="009B1591">
        <w:rPr>
          <w:rFonts w:ascii="Times New Roman" w:hAnsi="Times New Roman" w:cs="Times New Roman"/>
          <w:color w:val="auto"/>
        </w:rPr>
        <w:t xml:space="preserve"> = население в возрастной группе </w:t>
      </w:r>
      <w:proofErr w:type="spellStart"/>
      <w:r w:rsidR="00141954" w:rsidRPr="009B1591">
        <w:rPr>
          <w:rFonts w:ascii="Times New Roman" w:hAnsi="Times New Roman" w:cs="Times New Roman"/>
          <w:color w:val="auto"/>
          <w:lang w:val="en-US"/>
        </w:rPr>
        <w:t>i</w:t>
      </w:r>
      <w:proofErr w:type="spellEnd"/>
      <w:r w:rsidR="00141954" w:rsidRPr="009B1591">
        <w:rPr>
          <w:rFonts w:ascii="Times New Roman" w:hAnsi="Times New Roman" w:cs="Times New Roman"/>
          <w:color w:val="auto"/>
        </w:rPr>
        <w:t>;</w:t>
      </w:r>
    </w:p>
    <w:p w:rsidR="00141954" w:rsidRDefault="00141954" w:rsidP="00141954">
      <w:pPr>
        <w:pStyle w:val="form-control-static"/>
        <w:shd w:val="clear" w:color="auto" w:fill="FFFFFF"/>
        <w:spacing w:before="0" w:beforeAutospacing="0" w:after="0" w:afterAutospacing="0"/>
        <w:rPr>
          <w:lang w:val="ru-RU"/>
        </w:rPr>
      </w:pPr>
      <w:r w:rsidRPr="00FE0D9D">
        <w:rPr>
          <w:i/>
        </w:rPr>
        <w:t>i</w:t>
      </w:r>
      <w:r w:rsidRPr="009B1591">
        <w:rPr>
          <w:lang w:val="ru-RU"/>
        </w:rPr>
        <w:t xml:space="preserve"> = 15-24, </w:t>
      </w:r>
      <w:r w:rsidR="00E3605B">
        <w:rPr>
          <w:lang w:val="ru-RU"/>
        </w:rPr>
        <w:t>25-54 лет, 55-64 лет, 15-64 лет</w:t>
      </w:r>
    </w:p>
    <w:p w:rsidR="00141954" w:rsidRPr="00141954" w:rsidRDefault="00141954" w:rsidP="00141954">
      <w:pPr>
        <w:pStyle w:val="form-control-static"/>
        <w:shd w:val="clear" w:color="auto" w:fill="FFFFFF"/>
        <w:spacing w:before="0" w:beforeAutospacing="0" w:after="0" w:afterAutospacing="0"/>
        <w:rPr>
          <w:lang w:val="ru-RU"/>
        </w:rPr>
      </w:pPr>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r w:rsidR="00694160" w:rsidRPr="00A71EC6">
        <w:rPr>
          <w:b/>
          <w:color w:val="auto"/>
          <w:sz w:val="24"/>
          <w:szCs w:val="24"/>
          <w:lang w:val="ru-RU"/>
        </w:rPr>
        <w:t>Валидация</w:t>
      </w:r>
    </w:p>
    <w:p w:rsidR="00141954" w:rsidRDefault="00141954" w:rsidP="00141954">
      <w:r w:rsidRPr="00141954">
        <w:t>Статистический институт ЮНЕСКО передает все значения показателей и примечания по методологии национальным статистическим управлениям, министерствам образования или другим соответствующим учреждениям в отдельных странах для их обзора, обратной связи и проверки перед публикацией данных.</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2E15F9" w:rsidRDefault="00F92D6F" w:rsidP="0075371E">
      <w:pPr>
        <w:pStyle w:val="MText"/>
        <w:rPr>
          <w:color w:val="auto"/>
          <w:sz w:val="24"/>
          <w:szCs w:val="24"/>
          <w:lang w:val="ru-RU"/>
        </w:rPr>
      </w:pPr>
      <w:r>
        <w:rPr>
          <w:color w:val="auto"/>
          <w:sz w:val="24"/>
          <w:szCs w:val="24"/>
          <w:lang w:val="ru-RU"/>
        </w:rPr>
        <w:t>Не применимо</w:t>
      </w:r>
      <w:r w:rsidR="00694160" w:rsidRPr="00BD29EC">
        <w:rPr>
          <w:color w:val="auto"/>
          <w:sz w:val="24"/>
          <w:szCs w:val="24"/>
          <w:lang w:val="ru-RU"/>
        </w:rPr>
        <w:t>.</w:t>
      </w:r>
    </w:p>
    <w:p w:rsidR="00965628" w:rsidRPr="00BD29EC" w:rsidRDefault="00965628" w:rsidP="0075371E">
      <w:pPr>
        <w:pStyle w:val="MText"/>
        <w:rPr>
          <w:color w:val="auto"/>
          <w:sz w:val="24"/>
          <w:szCs w:val="24"/>
          <w:lang w:val="ru-RU"/>
        </w:rPr>
      </w:pP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r w:rsidR="00694160" w:rsidRPr="00A71EC6">
        <w:rPr>
          <w:b/>
          <w:color w:val="auto"/>
          <w:sz w:val="24"/>
          <w:szCs w:val="24"/>
        </w:rPr>
        <w:t>i</w:t>
      </w:r>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Pr="00C1428E" w:rsidRDefault="00694160" w:rsidP="00965628">
      <w:pPr>
        <w:pStyle w:val="ab"/>
        <w:numPr>
          <w:ilvl w:val="0"/>
          <w:numId w:val="5"/>
        </w:numPr>
        <w:rPr>
          <w:b/>
        </w:rPr>
      </w:pPr>
      <w:r w:rsidRPr="00C1428E">
        <w:rPr>
          <w:b/>
        </w:rPr>
        <w:t xml:space="preserve">На </w:t>
      </w:r>
      <w:r w:rsidR="00965628" w:rsidRPr="00C1428E">
        <w:rPr>
          <w:b/>
        </w:rPr>
        <w:t>страновом уровне:</w:t>
      </w:r>
    </w:p>
    <w:p w:rsidR="002E15F9" w:rsidRPr="00BD29EC" w:rsidRDefault="00141954" w:rsidP="00141954">
      <w:r>
        <w:t>Не осуще</w:t>
      </w:r>
      <w:r w:rsidR="00965628">
        <w:t>ствляется составителями данных.</w:t>
      </w:r>
    </w:p>
    <w:p w:rsidR="002E15F9" w:rsidRPr="00C1428E" w:rsidRDefault="00694160" w:rsidP="00965628">
      <w:pPr>
        <w:pStyle w:val="ab"/>
        <w:numPr>
          <w:ilvl w:val="0"/>
          <w:numId w:val="9"/>
        </w:numPr>
        <w:rPr>
          <w:b/>
        </w:rPr>
      </w:pPr>
      <w:r w:rsidRPr="00C1428E">
        <w:rPr>
          <w:b/>
        </w:rPr>
        <w:t>На региональном и глобальном уровнях</w:t>
      </w:r>
      <w:r w:rsidR="00965628" w:rsidRPr="00C1428E">
        <w:rPr>
          <w:b/>
        </w:rPr>
        <w:t>:</w:t>
      </w:r>
    </w:p>
    <w:p w:rsidR="00694160" w:rsidRPr="00BD29EC" w:rsidRDefault="00141954" w:rsidP="00141954">
      <w:r>
        <w:t>Не осуществляется составителями данных</w:t>
      </w:r>
      <w:r w:rsidR="00965628">
        <w:t>.</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r w:rsidR="00E27922" w:rsidRPr="00BD29EC">
        <w:rPr>
          <w:color w:val="auto"/>
          <w:sz w:val="24"/>
          <w:szCs w:val="24"/>
          <w:lang w:val="ru-RU"/>
        </w:rPr>
        <w:t xml:space="preserve"> </w:t>
      </w:r>
    </w:p>
    <w:p w:rsidR="002E15F9" w:rsidRPr="00BD29EC" w:rsidRDefault="00141954" w:rsidP="00141954">
      <w:r w:rsidRPr="00141954">
        <w:t>Региональные и глобальные агрегаты в настоящее время недоступны для этого показателя.</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141954" w:rsidRPr="00BD29EC" w:rsidRDefault="00141954" w:rsidP="00141954">
      <w:r w:rsidRPr="00141954">
        <w:t>СИЮ разработал руководство для стран по методологии, которую следует использовать для расчета этого показателя.</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i</w:t>
      </w:r>
      <w:r w:rsidRPr="00BD29EC">
        <w:rPr>
          <w:color w:val="auto"/>
          <w:sz w:val="24"/>
          <w:szCs w:val="24"/>
          <w:lang w:val="ru-RU"/>
        </w:rPr>
        <w:t xml:space="preserve">. </w:t>
      </w:r>
      <w:r w:rsidR="00E27922" w:rsidRPr="00A71EC6">
        <w:rPr>
          <w:b/>
          <w:color w:val="auto"/>
          <w:sz w:val="24"/>
          <w:szCs w:val="24"/>
          <w:lang w:val="ru-RU"/>
        </w:rPr>
        <w:t>Управление качеством</w:t>
      </w:r>
    </w:p>
    <w:p w:rsidR="00141954" w:rsidRDefault="00141954" w:rsidP="00141954">
      <w:r w:rsidRPr="00141954">
        <w:t>СИЮ ведет глобальную базу данных, используемую для расчета этого показателя. В целях прозрачности включение точки данных в базу данных осуществляется в соответствии с протоколом и проверяется техническими координаторами СИЮ для обеспечения согласованности и общего качества данных на основе объективных критериев, чтобы гарантировать, что только самая свежая и надежная информация включен</w:t>
      </w:r>
      <w:r w:rsidR="00CE4111">
        <w:t>а</w:t>
      </w:r>
      <w:r w:rsidRPr="00141954">
        <w:t xml:space="preserve"> в базу данных.</w:t>
      </w:r>
    </w:p>
    <w:p w:rsidR="00CE4111" w:rsidRDefault="00CE4111" w:rsidP="00141954"/>
    <w:p w:rsidR="00BD0111" w:rsidRPr="00BD29EC" w:rsidRDefault="00BD0111" w:rsidP="00141954"/>
    <w:p w:rsidR="002E15F9" w:rsidRDefault="002E15F9" w:rsidP="0075371E">
      <w:pPr>
        <w:pStyle w:val="MHeader2"/>
        <w:rPr>
          <w:b/>
          <w:color w:val="auto"/>
          <w:sz w:val="24"/>
          <w:szCs w:val="24"/>
          <w:lang w:val="ru-RU"/>
        </w:rPr>
      </w:pPr>
      <w:r w:rsidRPr="00040034">
        <w:rPr>
          <w:color w:val="auto"/>
          <w:sz w:val="24"/>
          <w:szCs w:val="24"/>
          <w:lang w:val="ru-RU"/>
        </w:rPr>
        <w:lastRenderedPageBreak/>
        <w:t>4.</w:t>
      </w:r>
      <w:r w:rsidRPr="00BD29EC">
        <w:rPr>
          <w:color w:val="auto"/>
          <w:sz w:val="24"/>
          <w:szCs w:val="24"/>
        </w:rPr>
        <w:t>j</w:t>
      </w:r>
      <w:r w:rsidR="00E27922" w:rsidRPr="00040034">
        <w:rPr>
          <w:color w:val="auto"/>
          <w:sz w:val="24"/>
          <w:szCs w:val="24"/>
          <w:lang w:val="ru-RU"/>
        </w:rPr>
        <w:t>.</w:t>
      </w:r>
      <w:r w:rsidRPr="00040034">
        <w:rPr>
          <w:color w:val="auto"/>
          <w:sz w:val="24"/>
          <w:szCs w:val="24"/>
          <w:lang w:val="ru-RU"/>
        </w:rPr>
        <w:t xml:space="preserve"> </w:t>
      </w:r>
      <w:r w:rsidR="003859BD">
        <w:rPr>
          <w:b/>
          <w:color w:val="auto"/>
          <w:sz w:val="24"/>
          <w:szCs w:val="24"/>
          <w:lang w:val="ru-RU"/>
        </w:rPr>
        <w:t>Гарантия</w:t>
      </w:r>
      <w:r w:rsidR="00E27922" w:rsidRPr="00A71EC6">
        <w:rPr>
          <w:b/>
          <w:color w:val="auto"/>
          <w:sz w:val="24"/>
          <w:szCs w:val="24"/>
          <w:lang w:val="ru-RU"/>
        </w:rPr>
        <w:t xml:space="preserve"> качества</w:t>
      </w:r>
    </w:p>
    <w:p w:rsidR="00CE4111" w:rsidRPr="00C75BFA" w:rsidRDefault="00CE4111" w:rsidP="00CE4111">
      <w:pPr>
        <w:shd w:val="clear" w:color="auto" w:fill="FFFFFF"/>
        <w:tabs>
          <w:tab w:val="left" w:pos="8647"/>
        </w:tabs>
        <w:spacing w:after="0"/>
        <w:ind w:right="-1"/>
        <w:textAlignment w:val="bottom"/>
        <w:rPr>
          <w:rFonts w:eastAsia="Times New Roman" w:cs="Times New Roman"/>
          <w:szCs w:val="24"/>
        </w:rPr>
      </w:pPr>
      <w:r w:rsidRPr="00C75BFA">
        <w:rPr>
          <w:rFonts w:eastAsia="Times New Roman" w:cs="Times New Roman"/>
          <w:szCs w:val="24"/>
        </w:rPr>
        <w:t>Процесс обеспечения качества включает в себя обзор документации обследования, расчет показателей надежности, проверку согласованности значений показателей, полученных из разных источников, и, при необходимости, консультации с поставщиками данных.</w:t>
      </w:r>
    </w:p>
    <w:p w:rsidR="00BD0111" w:rsidRDefault="00BD0111" w:rsidP="00CE4111">
      <w:pPr>
        <w:shd w:val="clear" w:color="auto" w:fill="FFFFFF"/>
        <w:tabs>
          <w:tab w:val="left" w:pos="8647"/>
        </w:tabs>
        <w:spacing w:after="0"/>
        <w:ind w:right="-1"/>
        <w:textAlignment w:val="bottom"/>
        <w:rPr>
          <w:rFonts w:eastAsia="Times New Roman" w:cs="Times New Roman"/>
          <w:szCs w:val="24"/>
        </w:rPr>
      </w:pPr>
    </w:p>
    <w:p w:rsidR="00CE4111" w:rsidRDefault="00CE4111" w:rsidP="00CE4111">
      <w:pPr>
        <w:shd w:val="clear" w:color="auto" w:fill="FFFFFF"/>
        <w:tabs>
          <w:tab w:val="left" w:pos="8647"/>
        </w:tabs>
        <w:spacing w:after="0"/>
        <w:ind w:right="-1"/>
        <w:textAlignment w:val="bottom"/>
        <w:rPr>
          <w:rFonts w:eastAsia="Times New Roman" w:cs="Times New Roman"/>
          <w:szCs w:val="24"/>
        </w:rPr>
      </w:pPr>
      <w:r w:rsidRPr="00C75BFA">
        <w:rPr>
          <w:rFonts w:eastAsia="Times New Roman" w:cs="Times New Roman"/>
          <w:szCs w:val="24"/>
        </w:rPr>
        <w:t>Перед ежегодным выпуском данных и добавлением в глобальную базу данных показателей ЦУР Институт статистики ЮНЕСКО представляет все значения показателей и примечания по методологии в национальные статистические управления, министерства образования или другие соответствующие учреждения в отдельных странах для обзора и обратной связи.</w:t>
      </w:r>
    </w:p>
    <w:p w:rsidR="00BD0111" w:rsidRPr="00814D61" w:rsidRDefault="00BD0111" w:rsidP="00CE4111">
      <w:pPr>
        <w:shd w:val="clear" w:color="auto" w:fill="FFFFFF"/>
        <w:tabs>
          <w:tab w:val="left" w:pos="8647"/>
        </w:tabs>
        <w:spacing w:after="0"/>
        <w:ind w:right="-1"/>
        <w:textAlignment w:val="bottom"/>
        <w:rPr>
          <w:rFonts w:eastAsia="Times New Roman" w:cs="Times New Roman"/>
          <w:szCs w:val="24"/>
        </w:rPr>
      </w:pPr>
    </w:p>
    <w:p w:rsidR="002E15F9"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r w:rsidRPr="00BD29EC">
        <w:rPr>
          <w:color w:val="auto"/>
          <w:sz w:val="24"/>
          <w:szCs w:val="24"/>
          <w:lang w:val="ru-RU"/>
        </w:rPr>
        <w:t xml:space="preserve"> </w:t>
      </w:r>
    </w:p>
    <w:p w:rsidR="00CE4111" w:rsidRPr="00BD29EC" w:rsidRDefault="00CE4111" w:rsidP="00CE4111">
      <w:r w:rsidRPr="00CE4111">
        <w:t xml:space="preserve">Точные данные об участии в формальном и неформальном образовании и </w:t>
      </w:r>
      <w:proofErr w:type="gramStart"/>
      <w:r w:rsidRPr="00CE4111">
        <w:t>обучении по возрасту</w:t>
      </w:r>
      <w:proofErr w:type="gramEnd"/>
      <w:r w:rsidRPr="00CE4111">
        <w:t xml:space="preserve"> или конкретным возрастным группам и по полу, а также соответствующие данные о населении из всех типов учебных заведений (государственных и частных), формальных и неформальных, необходимы для расчета этого показателя. Критерии оценки качества включают: источники данных должны включать надлежащую документацию; значения данных должны быть репрезентативными на уровне населения страны, а в противном случае должны быть указаны в сносках; данные правдоподобны и основаны на тенденциях и согласованности с ранее опубликованными/представленными значениями показателя.</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w:t>
      </w:r>
      <w:r w:rsidR="00BD0111">
        <w:rPr>
          <w:b/>
          <w:color w:val="auto"/>
          <w:sz w:val="24"/>
          <w:szCs w:val="24"/>
          <w:lang w:val="ru-RU"/>
        </w:rPr>
        <w:t>ация</w:t>
      </w:r>
      <w:r w:rsidR="0075371E" w:rsidRPr="00BD29EC">
        <w:rPr>
          <w:b/>
          <w:color w:val="auto"/>
          <w:sz w:val="24"/>
          <w:szCs w:val="24"/>
          <w:lang w:val="ru-RU"/>
        </w:rPr>
        <w:t xml:space="preserve"> данных</w:t>
      </w:r>
    </w:p>
    <w:p w:rsidR="0075371E" w:rsidRPr="00CE4111" w:rsidRDefault="0075371E" w:rsidP="0075371E">
      <w:pPr>
        <w:pStyle w:val="MText"/>
        <w:rPr>
          <w:b/>
          <w:color w:val="auto"/>
          <w:sz w:val="24"/>
          <w:szCs w:val="24"/>
          <w:lang w:val="ru-RU"/>
        </w:rPr>
      </w:pPr>
      <w:r w:rsidRPr="00CE4111">
        <w:rPr>
          <w:b/>
          <w:color w:val="auto"/>
          <w:sz w:val="24"/>
          <w:szCs w:val="24"/>
          <w:lang w:val="ru-RU"/>
        </w:rPr>
        <w:t>Доступность данных:</w:t>
      </w:r>
    </w:p>
    <w:p w:rsidR="00CE4111" w:rsidRDefault="00DA50C7" w:rsidP="0075371E">
      <w:pPr>
        <w:pStyle w:val="MText"/>
        <w:rPr>
          <w:color w:val="auto"/>
          <w:sz w:val="24"/>
          <w:szCs w:val="24"/>
          <w:lang w:val="ru-RU"/>
        </w:rPr>
      </w:pPr>
      <w:r>
        <w:rPr>
          <w:color w:val="auto"/>
          <w:sz w:val="24"/>
          <w:szCs w:val="24"/>
          <w:lang w:val="ru-RU"/>
        </w:rPr>
        <w:t>154</w:t>
      </w:r>
      <w:r w:rsidR="00CE4111" w:rsidRPr="00CE4111">
        <w:rPr>
          <w:color w:val="auto"/>
          <w:sz w:val="24"/>
          <w:szCs w:val="24"/>
          <w:lang w:val="ru-RU"/>
        </w:rPr>
        <w:t xml:space="preserve"> стран</w:t>
      </w:r>
      <w:r>
        <w:rPr>
          <w:color w:val="auto"/>
          <w:sz w:val="24"/>
          <w:szCs w:val="24"/>
          <w:lang w:val="ru-RU"/>
        </w:rPr>
        <w:t>ы</w:t>
      </w:r>
      <w:r w:rsidR="00CE4111" w:rsidRPr="00CE4111">
        <w:rPr>
          <w:color w:val="auto"/>
          <w:sz w:val="24"/>
          <w:szCs w:val="24"/>
          <w:lang w:val="ru-RU"/>
        </w:rPr>
        <w:t xml:space="preserve"> с хотя бы одной точкой данных за период </w:t>
      </w:r>
      <w:r>
        <w:rPr>
          <w:color w:val="auto"/>
          <w:sz w:val="24"/>
          <w:szCs w:val="24"/>
          <w:lang w:val="ru-RU"/>
        </w:rPr>
        <w:t>1976-2022</w:t>
      </w:r>
      <w:r w:rsidR="00CE4111" w:rsidRPr="00CE4111">
        <w:rPr>
          <w:color w:val="auto"/>
          <w:sz w:val="24"/>
          <w:szCs w:val="24"/>
          <w:lang w:val="ru-RU"/>
        </w:rPr>
        <w:t xml:space="preserve"> гг.</w:t>
      </w:r>
    </w:p>
    <w:p w:rsidR="00BD0111" w:rsidRPr="00BD29EC" w:rsidRDefault="00BD0111" w:rsidP="0075371E">
      <w:pPr>
        <w:pStyle w:val="MText"/>
        <w:rPr>
          <w:color w:val="auto"/>
          <w:sz w:val="24"/>
          <w:szCs w:val="24"/>
          <w:lang w:val="ru-RU"/>
        </w:rPr>
      </w:pPr>
    </w:p>
    <w:p w:rsidR="0075371E" w:rsidRPr="00CE4111" w:rsidRDefault="0075371E" w:rsidP="0075371E">
      <w:pPr>
        <w:pStyle w:val="MText"/>
        <w:rPr>
          <w:b/>
          <w:color w:val="auto"/>
          <w:sz w:val="24"/>
          <w:szCs w:val="24"/>
          <w:lang w:val="ru-RU"/>
        </w:rPr>
      </w:pPr>
      <w:r w:rsidRPr="00CE4111">
        <w:rPr>
          <w:b/>
          <w:color w:val="auto"/>
          <w:sz w:val="24"/>
          <w:szCs w:val="24"/>
          <w:lang w:val="ru-RU"/>
        </w:rPr>
        <w:t>Временные ряды:</w:t>
      </w:r>
    </w:p>
    <w:p w:rsidR="00CE4111" w:rsidRDefault="00DA50C7" w:rsidP="0075371E">
      <w:pPr>
        <w:pStyle w:val="MText"/>
        <w:rPr>
          <w:color w:val="auto"/>
          <w:sz w:val="24"/>
          <w:szCs w:val="24"/>
          <w:lang w:val="ru-RU"/>
        </w:rPr>
      </w:pPr>
      <w:r>
        <w:rPr>
          <w:color w:val="auto"/>
          <w:sz w:val="24"/>
          <w:szCs w:val="24"/>
          <w:lang w:val="ru-RU"/>
        </w:rPr>
        <w:t>1976-2022</w:t>
      </w:r>
      <w:r w:rsidR="00CE4111" w:rsidRPr="00CE4111">
        <w:rPr>
          <w:color w:val="auto"/>
          <w:sz w:val="24"/>
          <w:szCs w:val="24"/>
          <w:lang w:val="ru-RU"/>
        </w:rPr>
        <w:t xml:space="preserve"> гг. в базе данных </w:t>
      </w:r>
      <w:proofErr w:type="gramStart"/>
      <w:r w:rsidR="00CE4111" w:rsidRPr="00CE4111">
        <w:rPr>
          <w:color w:val="auto"/>
          <w:sz w:val="24"/>
          <w:szCs w:val="24"/>
          <w:lang w:val="ru-RU"/>
        </w:rPr>
        <w:t>СИЮ</w:t>
      </w:r>
      <w:proofErr w:type="gramEnd"/>
      <w:r w:rsidR="00CE4111" w:rsidRPr="00CE4111">
        <w:rPr>
          <w:color w:val="auto"/>
          <w:sz w:val="24"/>
          <w:szCs w:val="24"/>
          <w:lang w:val="ru-RU"/>
        </w:rPr>
        <w:t>; 2000-20</w:t>
      </w:r>
      <w:r>
        <w:rPr>
          <w:color w:val="auto"/>
          <w:sz w:val="24"/>
          <w:szCs w:val="24"/>
          <w:lang w:val="ru-RU"/>
        </w:rPr>
        <w:t>22</w:t>
      </w:r>
      <w:r w:rsidR="00CE4111" w:rsidRPr="00CE4111">
        <w:rPr>
          <w:color w:val="auto"/>
          <w:sz w:val="24"/>
          <w:szCs w:val="24"/>
          <w:lang w:val="ru-RU"/>
        </w:rPr>
        <w:t xml:space="preserve"> гг. в глобальной базе данных ЦУР.</w:t>
      </w:r>
    </w:p>
    <w:p w:rsidR="00BD0111" w:rsidRPr="00BD29EC" w:rsidRDefault="00BD0111" w:rsidP="0075371E">
      <w:pPr>
        <w:pStyle w:val="MText"/>
        <w:rPr>
          <w:color w:val="auto"/>
          <w:sz w:val="24"/>
          <w:szCs w:val="24"/>
          <w:lang w:val="ru-RU"/>
        </w:rPr>
      </w:pPr>
    </w:p>
    <w:p w:rsidR="0075371E" w:rsidRPr="00CE4111" w:rsidRDefault="00BD0111" w:rsidP="0075371E">
      <w:pPr>
        <w:pStyle w:val="MText"/>
        <w:rPr>
          <w:b/>
          <w:color w:val="auto"/>
          <w:sz w:val="24"/>
          <w:szCs w:val="24"/>
          <w:lang w:val="ru-RU"/>
        </w:rPr>
      </w:pPr>
      <w:r>
        <w:rPr>
          <w:b/>
          <w:color w:val="auto"/>
          <w:sz w:val="24"/>
          <w:szCs w:val="24"/>
          <w:lang w:val="ru-RU"/>
        </w:rPr>
        <w:t>Дезагрегация</w:t>
      </w:r>
      <w:r w:rsidR="0075371E" w:rsidRPr="00CE4111">
        <w:rPr>
          <w:b/>
          <w:color w:val="auto"/>
          <w:sz w:val="24"/>
          <w:szCs w:val="24"/>
          <w:lang w:val="ru-RU"/>
        </w:rPr>
        <w:t>:</w:t>
      </w:r>
    </w:p>
    <w:p w:rsidR="00CE4111" w:rsidRDefault="00CE4111" w:rsidP="0075371E">
      <w:pPr>
        <w:pStyle w:val="MText"/>
        <w:rPr>
          <w:color w:val="auto"/>
          <w:sz w:val="24"/>
          <w:szCs w:val="24"/>
          <w:lang w:val="ru-RU"/>
        </w:rPr>
      </w:pPr>
      <w:r w:rsidRPr="00CE4111">
        <w:rPr>
          <w:color w:val="auto"/>
          <w:sz w:val="24"/>
          <w:szCs w:val="24"/>
          <w:lang w:val="ru-RU"/>
        </w:rPr>
        <w:t>По возрасту и полу.</w:t>
      </w:r>
    </w:p>
    <w:p w:rsidR="00BD0111" w:rsidRPr="00BD29EC" w:rsidRDefault="00BD0111" w:rsidP="0075371E">
      <w:pPr>
        <w:pStyle w:val="MText"/>
        <w:rPr>
          <w:color w:val="auto"/>
          <w:sz w:val="24"/>
          <w:szCs w:val="24"/>
          <w:lang w:val="ru-RU"/>
        </w:rPr>
      </w:pP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2E15F9" w:rsidRPr="005C71E3" w:rsidRDefault="00CE4111" w:rsidP="0075371E">
      <w:pPr>
        <w:pStyle w:val="MText"/>
        <w:rPr>
          <w:b/>
          <w:color w:val="auto"/>
          <w:sz w:val="24"/>
          <w:szCs w:val="24"/>
          <w:lang w:val="ru-RU"/>
        </w:rPr>
      </w:pPr>
      <w:r w:rsidRPr="005C71E3">
        <w:rPr>
          <w:b/>
          <w:color w:val="auto"/>
          <w:sz w:val="24"/>
          <w:szCs w:val="24"/>
          <w:lang w:val="ru-RU"/>
        </w:rPr>
        <w:t>Источники расхождений:</w:t>
      </w:r>
    </w:p>
    <w:p w:rsidR="00CE4111" w:rsidRDefault="005C71E3" w:rsidP="0075371E">
      <w:pPr>
        <w:pStyle w:val="MText"/>
        <w:rPr>
          <w:color w:val="auto"/>
          <w:sz w:val="24"/>
          <w:szCs w:val="24"/>
          <w:lang w:val="ru-RU"/>
        </w:rPr>
      </w:pPr>
      <w:r>
        <w:rPr>
          <w:color w:val="auto"/>
          <w:sz w:val="24"/>
          <w:szCs w:val="24"/>
          <w:lang w:val="ru-RU"/>
        </w:rPr>
        <w:t>Отсутствуют.</w:t>
      </w:r>
    </w:p>
    <w:p w:rsidR="005C71E3" w:rsidRDefault="005C71E3" w:rsidP="0075371E">
      <w:pPr>
        <w:pStyle w:val="MText"/>
        <w:rPr>
          <w:color w:val="auto"/>
          <w:sz w:val="24"/>
          <w:szCs w:val="24"/>
          <w:lang w:val="ru-RU"/>
        </w:rPr>
      </w:pPr>
    </w:p>
    <w:p w:rsidR="00040034" w:rsidRDefault="00040034" w:rsidP="00040034">
      <w:pPr>
        <w:pBdr>
          <w:bottom w:val="single" w:sz="12" w:space="4" w:color="DDDDDD"/>
        </w:pBdr>
        <w:shd w:val="clear" w:color="auto" w:fill="FFFFFF"/>
        <w:spacing w:after="100"/>
        <w:outlineLvl w:val="2"/>
        <w:rPr>
          <w:rFonts w:eastAsia="Times New Roman" w:cs="Times New Roman"/>
          <w:b/>
          <w:szCs w:val="24"/>
          <w:lang w:eastAsia="en-GB"/>
        </w:rPr>
      </w:pPr>
      <w:r w:rsidRPr="00CE4111">
        <w:rPr>
          <w:rFonts w:eastAsia="Times New Roman" w:cs="Times New Roman"/>
          <w:b/>
          <w:szCs w:val="24"/>
          <w:lang w:eastAsia="en-GB"/>
        </w:rPr>
        <w:t xml:space="preserve">7. </w:t>
      </w:r>
      <w:r>
        <w:rPr>
          <w:rFonts w:eastAsia="Times New Roman" w:cs="Times New Roman"/>
          <w:b/>
          <w:szCs w:val="24"/>
          <w:lang w:eastAsia="en-GB"/>
        </w:rPr>
        <w:t>Ссылки</w:t>
      </w:r>
      <w:r w:rsidRPr="00CE4111">
        <w:rPr>
          <w:rFonts w:eastAsia="Times New Roman" w:cs="Times New Roman"/>
          <w:b/>
          <w:szCs w:val="24"/>
          <w:lang w:eastAsia="en-GB"/>
        </w:rPr>
        <w:t xml:space="preserve"> </w:t>
      </w:r>
      <w:r>
        <w:rPr>
          <w:rFonts w:eastAsia="Times New Roman" w:cs="Times New Roman"/>
          <w:b/>
          <w:szCs w:val="24"/>
          <w:lang w:eastAsia="en-GB"/>
        </w:rPr>
        <w:t>и</w:t>
      </w:r>
      <w:r w:rsidRPr="00CE4111">
        <w:rPr>
          <w:rFonts w:eastAsia="Times New Roman" w:cs="Times New Roman"/>
          <w:b/>
          <w:szCs w:val="24"/>
          <w:lang w:eastAsia="en-GB"/>
        </w:rPr>
        <w:t xml:space="preserve"> </w:t>
      </w:r>
      <w:r>
        <w:rPr>
          <w:rFonts w:eastAsia="Times New Roman" w:cs="Times New Roman"/>
          <w:b/>
          <w:szCs w:val="24"/>
          <w:lang w:eastAsia="en-GB"/>
        </w:rPr>
        <w:t>документы</w:t>
      </w:r>
    </w:p>
    <w:p w:rsidR="00DD6190" w:rsidRPr="00DD6190" w:rsidRDefault="00DD6190" w:rsidP="00DD6190">
      <w:pPr>
        <w:rPr>
          <w:b/>
          <w:lang w:eastAsia="en-GB"/>
        </w:rPr>
      </w:pPr>
      <w:r w:rsidRPr="00DD6190">
        <w:rPr>
          <w:b/>
          <w:lang w:val="en-US" w:eastAsia="en-GB"/>
        </w:rPr>
        <w:t>URL</w:t>
      </w:r>
      <w:r w:rsidRPr="00DD6190">
        <w:rPr>
          <w:b/>
          <w:lang w:eastAsia="en-GB"/>
        </w:rPr>
        <w:t>:</w:t>
      </w:r>
    </w:p>
    <w:p w:rsidR="00DD6190" w:rsidRPr="00A61389" w:rsidRDefault="00A61389" w:rsidP="00DD6190">
      <w:pPr>
        <w:rPr>
          <w:lang w:eastAsia="en-GB"/>
        </w:rPr>
      </w:pPr>
      <w:hyperlink r:id="rId10" w:history="1">
        <w:r w:rsidR="005C71E3" w:rsidRPr="00E407BF">
          <w:rPr>
            <w:rStyle w:val="ac"/>
            <w:lang w:val="en-US" w:eastAsia="en-GB"/>
          </w:rPr>
          <w:t>http</w:t>
        </w:r>
        <w:r w:rsidR="005C71E3" w:rsidRPr="00E407BF">
          <w:rPr>
            <w:rStyle w:val="ac"/>
            <w:lang w:eastAsia="en-GB"/>
          </w:rPr>
          <w:t>://</w:t>
        </w:r>
        <w:r w:rsidR="005C71E3" w:rsidRPr="00E407BF">
          <w:rPr>
            <w:rStyle w:val="ac"/>
            <w:lang w:val="en-US" w:eastAsia="en-GB"/>
          </w:rPr>
          <w:t>www</w:t>
        </w:r>
        <w:r w:rsidR="005C71E3" w:rsidRPr="00E407BF">
          <w:rPr>
            <w:rStyle w:val="ac"/>
            <w:lang w:eastAsia="en-GB"/>
          </w:rPr>
          <w:t>.</w:t>
        </w:r>
        <w:proofErr w:type="spellStart"/>
        <w:r w:rsidR="005C71E3" w:rsidRPr="00E407BF">
          <w:rPr>
            <w:rStyle w:val="ac"/>
            <w:lang w:val="en-US" w:eastAsia="en-GB"/>
          </w:rPr>
          <w:t>uis</w:t>
        </w:r>
        <w:proofErr w:type="spellEnd"/>
        <w:r w:rsidR="005C71E3" w:rsidRPr="00E407BF">
          <w:rPr>
            <w:rStyle w:val="ac"/>
            <w:lang w:eastAsia="en-GB"/>
          </w:rPr>
          <w:t>.</w:t>
        </w:r>
        <w:proofErr w:type="spellStart"/>
        <w:r w:rsidR="005C71E3" w:rsidRPr="00E407BF">
          <w:rPr>
            <w:rStyle w:val="ac"/>
            <w:lang w:val="en-US" w:eastAsia="en-GB"/>
          </w:rPr>
          <w:t>unesco</w:t>
        </w:r>
        <w:proofErr w:type="spellEnd"/>
        <w:r w:rsidR="005C71E3" w:rsidRPr="00E407BF">
          <w:rPr>
            <w:rStyle w:val="ac"/>
            <w:lang w:eastAsia="en-GB"/>
          </w:rPr>
          <w:t>.</w:t>
        </w:r>
        <w:r w:rsidR="005C71E3" w:rsidRPr="00E407BF">
          <w:rPr>
            <w:rStyle w:val="ac"/>
            <w:lang w:val="en-US" w:eastAsia="en-GB"/>
          </w:rPr>
          <w:t>org</w:t>
        </w:r>
      </w:hyperlink>
    </w:p>
    <w:p w:rsidR="005C71E3" w:rsidRDefault="005C71E3" w:rsidP="00DD6190">
      <w:pPr>
        <w:rPr>
          <w:b/>
          <w:lang w:eastAsia="en-GB"/>
        </w:rPr>
      </w:pPr>
    </w:p>
    <w:p w:rsidR="00DD6190" w:rsidRPr="00DD6190" w:rsidRDefault="00DD6190" w:rsidP="00DD6190">
      <w:pPr>
        <w:rPr>
          <w:b/>
          <w:lang w:eastAsia="en-GB"/>
        </w:rPr>
      </w:pPr>
      <w:r w:rsidRPr="00DD6190">
        <w:rPr>
          <w:b/>
          <w:lang w:eastAsia="en-GB"/>
        </w:rPr>
        <w:lastRenderedPageBreak/>
        <w:t>Использованные документы:</w:t>
      </w:r>
    </w:p>
    <w:p w:rsidR="005C71E3" w:rsidRDefault="005C71E3" w:rsidP="005C71E3">
      <w:pPr>
        <w:spacing w:after="0"/>
        <w:rPr>
          <w:lang w:eastAsia="en-GB"/>
        </w:rPr>
      </w:pPr>
      <w:r w:rsidRPr="005C71E3">
        <w:rPr>
          <w:lang w:eastAsia="en-GB"/>
        </w:rPr>
        <w:t>Департамент статистики Международной организации труда (МОТ) (глобальная база данных национальных обследований рабочей силы и других соответствующих обследований домохозяйств, охватывающих рынок труда):</w:t>
      </w:r>
    </w:p>
    <w:p w:rsidR="005C71E3" w:rsidRPr="005C71E3" w:rsidRDefault="00A61389" w:rsidP="005C71E3">
      <w:pPr>
        <w:rPr>
          <w:lang w:eastAsia="en-GB"/>
        </w:rPr>
      </w:pPr>
      <w:hyperlink r:id="rId11" w:history="1">
        <w:r w:rsidR="005C71E3" w:rsidRPr="005C71E3">
          <w:rPr>
            <w:rStyle w:val="ac"/>
            <w:lang w:val="en-GB" w:eastAsia="en-GB"/>
          </w:rPr>
          <w:t>https</w:t>
        </w:r>
        <w:r w:rsidR="005C71E3" w:rsidRPr="005C71E3">
          <w:rPr>
            <w:rStyle w:val="ac"/>
            <w:lang w:eastAsia="en-GB"/>
          </w:rPr>
          <w:t>://</w:t>
        </w:r>
        <w:proofErr w:type="spellStart"/>
        <w:r w:rsidR="005C71E3" w:rsidRPr="005C71E3">
          <w:rPr>
            <w:rStyle w:val="ac"/>
            <w:lang w:val="en-GB" w:eastAsia="en-GB"/>
          </w:rPr>
          <w:t>ilostat</w:t>
        </w:r>
        <w:proofErr w:type="spellEnd"/>
        <w:r w:rsidR="005C71E3" w:rsidRPr="005C71E3">
          <w:rPr>
            <w:rStyle w:val="ac"/>
            <w:lang w:eastAsia="en-GB"/>
          </w:rPr>
          <w:t>.</w:t>
        </w:r>
        <w:proofErr w:type="spellStart"/>
        <w:r w:rsidR="005C71E3" w:rsidRPr="005C71E3">
          <w:rPr>
            <w:rStyle w:val="ac"/>
            <w:lang w:val="en-GB" w:eastAsia="en-GB"/>
          </w:rPr>
          <w:t>ilo</w:t>
        </w:r>
        <w:proofErr w:type="spellEnd"/>
        <w:r w:rsidR="005C71E3" w:rsidRPr="005C71E3">
          <w:rPr>
            <w:rStyle w:val="ac"/>
            <w:lang w:eastAsia="en-GB"/>
          </w:rPr>
          <w:t>.</w:t>
        </w:r>
        <w:r w:rsidR="005C71E3" w:rsidRPr="005C71E3">
          <w:rPr>
            <w:rStyle w:val="ac"/>
            <w:lang w:val="en-GB" w:eastAsia="en-GB"/>
          </w:rPr>
          <w:t>org</w:t>
        </w:r>
        <w:r w:rsidR="005C71E3" w:rsidRPr="005C71E3">
          <w:rPr>
            <w:rStyle w:val="ac"/>
            <w:lang w:eastAsia="en-GB"/>
          </w:rPr>
          <w:t>/</w:t>
        </w:r>
      </w:hyperlink>
    </w:p>
    <w:p w:rsidR="00DD6190" w:rsidRDefault="00DD6190" w:rsidP="005C71E3">
      <w:pPr>
        <w:spacing w:after="0"/>
        <w:rPr>
          <w:lang w:eastAsia="en-GB"/>
        </w:rPr>
      </w:pPr>
      <w:r w:rsidRPr="00DD6190">
        <w:rPr>
          <w:lang w:eastAsia="en-GB"/>
        </w:rPr>
        <w:t>Европейское исследование образования взрослых (</w:t>
      </w:r>
      <w:r w:rsidRPr="00DD6190">
        <w:rPr>
          <w:lang w:val="en-US" w:eastAsia="en-GB"/>
        </w:rPr>
        <w:t>AES</w:t>
      </w:r>
      <w:r w:rsidRPr="00DD6190">
        <w:rPr>
          <w:lang w:eastAsia="en-GB"/>
        </w:rPr>
        <w:t>):</w:t>
      </w:r>
    </w:p>
    <w:p w:rsidR="00DD6190" w:rsidRPr="005C71E3" w:rsidRDefault="00A61389" w:rsidP="005C71E3">
      <w:pPr>
        <w:rPr>
          <w:lang w:eastAsia="en-GB"/>
        </w:rPr>
      </w:pPr>
      <w:hyperlink r:id="rId12" w:history="1">
        <w:r w:rsidR="005C71E3" w:rsidRPr="00E407BF">
          <w:rPr>
            <w:rStyle w:val="ac"/>
            <w:lang w:val="en-US" w:eastAsia="en-GB"/>
          </w:rPr>
          <w:t>http</w:t>
        </w:r>
        <w:r w:rsidR="005C71E3" w:rsidRPr="00E407BF">
          <w:rPr>
            <w:rStyle w:val="ac"/>
            <w:lang w:eastAsia="en-GB"/>
          </w:rPr>
          <w:t>://</w:t>
        </w:r>
        <w:r w:rsidR="005C71E3" w:rsidRPr="00E407BF">
          <w:rPr>
            <w:rStyle w:val="ac"/>
            <w:lang w:val="en-US" w:eastAsia="en-GB"/>
          </w:rPr>
          <w:t>www</w:t>
        </w:r>
        <w:r w:rsidR="005C71E3" w:rsidRPr="00E407BF">
          <w:rPr>
            <w:rStyle w:val="ac"/>
            <w:lang w:eastAsia="en-GB"/>
          </w:rPr>
          <w:t>.</w:t>
        </w:r>
        <w:proofErr w:type="spellStart"/>
        <w:r w:rsidR="005C71E3" w:rsidRPr="00E407BF">
          <w:rPr>
            <w:rStyle w:val="ac"/>
            <w:lang w:val="en-US" w:eastAsia="en-GB"/>
          </w:rPr>
          <w:t>eui</w:t>
        </w:r>
        <w:proofErr w:type="spellEnd"/>
        <w:r w:rsidR="005C71E3" w:rsidRPr="00E407BF">
          <w:rPr>
            <w:rStyle w:val="ac"/>
            <w:lang w:eastAsia="en-GB"/>
          </w:rPr>
          <w:t>.</w:t>
        </w:r>
        <w:proofErr w:type="spellStart"/>
        <w:r w:rsidR="005C71E3" w:rsidRPr="00E407BF">
          <w:rPr>
            <w:rStyle w:val="ac"/>
            <w:lang w:val="en-US" w:eastAsia="en-GB"/>
          </w:rPr>
          <w:t>eu</w:t>
        </w:r>
        <w:proofErr w:type="spellEnd"/>
        <w:r w:rsidR="005C71E3" w:rsidRPr="00E407BF">
          <w:rPr>
            <w:rStyle w:val="ac"/>
            <w:lang w:eastAsia="en-GB"/>
          </w:rPr>
          <w:t>/</w:t>
        </w:r>
        <w:r w:rsidR="005C71E3" w:rsidRPr="00E407BF">
          <w:rPr>
            <w:rStyle w:val="ac"/>
            <w:lang w:val="en-US" w:eastAsia="en-GB"/>
          </w:rPr>
          <w:t>Research</w:t>
        </w:r>
        <w:r w:rsidR="005C71E3" w:rsidRPr="00E407BF">
          <w:rPr>
            <w:rStyle w:val="ac"/>
            <w:lang w:eastAsia="en-GB"/>
          </w:rPr>
          <w:t>/</w:t>
        </w:r>
        <w:r w:rsidR="005C71E3" w:rsidRPr="00E407BF">
          <w:rPr>
            <w:rStyle w:val="ac"/>
            <w:lang w:val="en-US" w:eastAsia="en-GB"/>
          </w:rPr>
          <w:t>Library</w:t>
        </w:r>
        <w:r w:rsidR="005C71E3" w:rsidRPr="00E407BF">
          <w:rPr>
            <w:rStyle w:val="ac"/>
            <w:lang w:eastAsia="en-GB"/>
          </w:rPr>
          <w:t>/</w:t>
        </w:r>
        <w:proofErr w:type="spellStart"/>
        <w:r w:rsidR="005C71E3" w:rsidRPr="00E407BF">
          <w:rPr>
            <w:rStyle w:val="ac"/>
            <w:lang w:val="en-US" w:eastAsia="en-GB"/>
          </w:rPr>
          <w:t>ResearchGuides</w:t>
        </w:r>
        <w:proofErr w:type="spellEnd"/>
        <w:r w:rsidR="005C71E3" w:rsidRPr="00E407BF">
          <w:rPr>
            <w:rStyle w:val="ac"/>
            <w:lang w:eastAsia="en-GB"/>
          </w:rPr>
          <w:t>/</w:t>
        </w:r>
        <w:r w:rsidR="005C71E3" w:rsidRPr="00E407BF">
          <w:rPr>
            <w:rStyle w:val="ac"/>
            <w:lang w:val="en-US" w:eastAsia="en-GB"/>
          </w:rPr>
          <w:t>Economics</w:t>
        </w:r>
        <w:r w:rsidR="005C71E3" w:rsidRPr="00E407BF">
          <w:rPr>
            <w:rStyle w:val="ac"/>
            <w:lang w:eastAsia="en-GB"/>
          </w:rPr>
          <w:t>/</w:t>
        </w:r>
        <w:r w:rsidR="005C71E3" w:rsidRPr="00E407BF">
          <w:rPr>
            <w:rStyle w:val="ac"/>
            <w:lang w:val="en-US" w:eastAsia="en-GB"/>
          </w:rPr>
          <w:t>Statistics</w:t>
        </w:r>
        <w:r w:rsidR="005C71E3" w:rsidRPr="00E407BF">
          <w:rPr>
            <w:rStyle w:val="ac"/>
            <w:lang w:eastAsia="en-GB"/>
          </w:rPr>
          <w:t>/</w:t>
        </w:r>
        <w:proofErr w:type="spellStart"/>
        <w:r w:rsidR="005C71E3" w:rsidRPr="00E407BF">
          <w:rPr>
            <w:rStyle w:val="ac"/>
            <w:lang w:val="en-US" w:eastAsia="en-GB"/>
          </w:rPr>
          <w:t>DataPortal</w:t>
        </w:r>
        <w:proofErr w:type="spellEnd"/>
        <w:r w:rsidR="005C71E3" w:rsidRPr="00E407BF">
          <w:rPr>
            <w:rStyle w:val="ac"/>
            <w:lang w:eastAsia="en-GB"/>
          </w:rPr>
          <w:t>/</w:t>
        </w:r>
        <w:r w:rsidR="005C71E3" w:rsidRPr="00E407BF">
          <w:rPr>
            <w:rStyle w:val="ac"/>
            <w:lang w:val="en-US" w:eastAsia="en-GB"/>
          </w:rPr>
          <w:t>AES</w:t>
        </w:r>
        <w:r w:rsidR="005C71E3" w:rsidRPr="00E407BF">
          <w:rPr>
            <w:rStyle w:val="ac"/>
            <w:lang w:eastAsia="en-GB"/>
          </w:rPr>
          <w:t>.</w:t>
        </w:r>
        <w:proofErr w:type="spellStart"/>
        <w:r w:rsidR="005C71E3" w:rsidRPr="00E407BF">
          <w:rPr>
            <w:rStyle w:val="ac"/>
            <w:lang w:val="en-US" w:eastAsia="en-GB"/>
          </w:rPr>
          <w:t>aspx</w:t>
        </w:r>
        <w:proofErr w:type="spellEnd"/>
      </w:hyperlink>
      <w:r w:rsidR="005C71E3">
        <w:rPr>
          <w:lang w:eastAsia="en-GB"/>
        </w:rPr>
        <w:t xml:space="preserve"> </w:t>
      </w:r>
    </w:p>
    <w:p w:rsidR="00DD6190" w:rsidRDefault="00DD6190" w:rsidP="005C71E3">
      <w:pPr>
        <w:spacing w:after="0"/>
        <w:rPr>
          <w:lang w:eastAsia="en-GB"/>
        </w:rPr>
      </w:pPr>
      <w:r w:rsidRPr="00DD6190">
        <w:rPr>
          <w:lang w:eastAsia="en-GB"/>
        </w:rPr>
        <w:t>Европейское обследование непрерывного профессионального обучения:</w:t>
      </w:r>
    </w:p>
    <w:p w:rsidR="00DD6190" w:rsidRPr="005C71E3" w:rsidRDefault="00A61389" w:rsidP="005C71E3">
      <w:pPr>
        <w:rPr>
          <w:lang w:eastAsia="en-GB"/>
        </w:rPr>
      </w:pPr>
      <w:hyperlink r:id="rId13" w:history="1">
        <w:r w:rsidR="005C71E3" w:rsidRPr="00E407BF">
          <w:rPr>
            <w:rStyle w:val="ac"/>
            <w:lang w:val="en-US" w:eastAsia="en-GB"/>
          </w:rPr>
          <w:t>https</w:t>
        </w:r>
        <w:r w:rsidR="005C71E3" w:rsidRPr="00E407BF">
          <w:rPr>
            <w:rStyle w:val="ac"/>
            <w:lang w:eastAsia="en-GB"/>
          </w:rPr>
          <w:t>://</w:t>
        </w:r>
        <w:proofErr w:type="spellStart"/>
        <w:r w:rsidR="005C71E3" w:rsidRPr="00E407BF">
          <w:rPr>
            <w:rStyle w:val="ac"/>
            <w:lang w:val="en-US" w:eastAsia="en-GB"/>
          </w:rPr>
          <w:t>ec</w:t>
        </w:r>
        <w:proofErr w:type="spellEnd"/>
        <w:r w:rsidR="005C71E3" w:rsidRPr="00E407BF">
          <w:rPr>
            <w:rStyle w:val="ac"/>
            <w:lang w:eastAsia="en-GB"/>
          </w:rPr>
          <w:t>.</w:t>
        </w:r>
        <w:proofErr w:type="spellStart"/>
        <w:r w:rsidR="005C71E3" w:rsidRPr="00E407BF">
          <w:rPr>
            <w:rStyle w:val="ac"/>
            <w:lang w:val="en-US" w:eastAsia="en-GB"/>
          </w:rPr>
          <w:t>europa</w:t>
        </w:r>
        <w:proofErr w:type="spellEnd"/>
        <w:r w:rsidR="005C71E3" w:rsidRPr="00E407BF">
          <w:rPr>
            <w:rStyle w:val="ac"/>
            <w:lang w:eastAsia="en-GB"/>
          </w:rPr>
          <w:t>.</w:t>
        </w:r>
        <w:proofErr w:type="spellStart"/>
        <w:r w:rsidR="005C71E3" w:rsidRPr="00E407BF">
          <w:rPr>
            <w:rStyle w:val="ac"/>
            <w:lang w:val="en-US" w:eastAsia="en-GB"/>
          </w:rPr>
          <w:t>eu</w:t>
        </w:r>
        <w:proofErr w:type="spellEnd"/>
        <w:r w:rsidR="005C71E3" w:rsidRPr="00E407BF">
          <w:rPr>
            <w:rStyle w:val="ac"/>
            <w:lang w:eastAsia="en-GB"/>
          </w:rPr>
          <w:t>/</w:t>
        </w:r>
        <w:proofErr w:type="spellStart"/>
        <w:r w:rsidR="005C71E3" w:rsidRPr="00E407BF">
          <w:rPr>
            <w:rStyle w:val="ac"/>
            <w:lang w:val="en-US" w:eastAsia="en-GB"/>
          </w:rPr>
          <w:t>eurostat</w:t>
        </w:r>
        <w:proofErr w:type="spellEnd"/>
        <w:r w:rsidR="005C71E3" w:rsidRPr="00E407BF">
          <w:rPr>
            <w:rStyle w:val="ac"/>
            <w:lang w:eastAsia="en-GB"/>
          </w:rPr>
          <w:t>/</w:t>
        </w:r>
        <w:r w:rsidR="005C71E3" w:rsidRPr="00E407BF">
          <w:rPr>
            <w:rStyle w:val="ac"/>
            <w:lang w:val="en-US" w:eastAsia="en-GB"/>
          </w:rPr>
          <w:t>web</w:t>
        </w:r>
        <w:r w:rsidR="005C71E3" w:rsidRPr="00E407BF">
          <w:rPr>
            <w:rStyle w:val="ac"/>
            <w:lang w:eastAsia="en-GB"/>
          </w:rPr>
          <w:t>/</w:t>
        </w:r>
        <w:r w:rsidR="005C71E3" w:rsidRPr="00E407BF">
          <w:rPr>
            <w:rStyle w:val="ac"/>
            <w:lang w:val="en-US" w:eastAsia="en-GB"/>
          </w:rPr>
          <w:t>microdata</w:t>
        </w:r>
        <w:r w:rsidR="005C71E3" w:rsidRPr="00E407BF">
          <w:rPr>
            <w:rStyle w:val="ac"/>
            <w:lang w:eastAsia="en-GB"/>
          </w:rPr>
          <w:t>/</w:t>
        </w:r>
        <w:r w:rsidR="005C71E3" w:rsidRPr="00E407BF">
          <w:rPr>
            <w:rStyle w:val="ac"/>
            <w:lang w:val="en-US" w:eastAsia="en-GB"/>
          </w:rPr>
          <w:t>continuing</w:t>
        </w:r>
        <w:r w:rsidR="005C71E3" w:rsidRPr="00E407BF">
          <w:rPr>
            <w:rStyle w:val="ac"/>
            <w:lang w:eastAsia="en-GB"/>
          </w:rPr>
          <w:t>-</w:t>
        </w:r>
        <w:r w:rsidR="005C71E3" w:rsidRPr="00E407BF">
          <w:rPr>
            <w:rStyle w:val="ac"/>
            <w:lang w:val="en-US" w:eastAsia="en-GB"/>
          </w:rPr>
          <w:t>vocational</w:t>
        </w:r>
        <w:r w:rsidR="005C71E3" w:rsidRPr="00E407BF">
          <w:rPr>
            <w:rStyle w:val="ac"/>
            <w:lang w:eastAsia="en-GB"/>
          </w:rPr>
          <w:t>-</w:t>
        </w:r>
        <w:r w:rsidR="005C71E3" w:rsidRPr="00E407BF">
          <w:rPr>
            <w:rStyle w:val="ac"/>
            <w:lang w:val="en-US" w:eastAsia="en-GB"/>
          </w:rPr>
          <w:t>training</w:t>
        </w:r>
        <w:r w:rsidR="005C71E3" w:rsidRPr="00E407BF">
          <w:rPr>
            <w:rStyle w:val="ac"/>
            <w:lang w:eastAsia="en-GB"/>
          </w:rPr>
          <w:t>-</w:t>
        </w:r>
        <w:r w:rsidR="005C71E3" w:rsidRPr="00E407BF">
          <w:rPr>
            <w:rStyle w:val="ac"/>
            <w:lang w:val="en-US" w:eastAsia="en-GB"/>
          </w:rPr>
          <w:t>survey</w:t>
        </w:r>
      </w:hyperlink>
    </w:p>
    <w:p w:rsidR="00DD6190" w:rsidRDefault="00DD6190" w:rsidP="005C71E3">
      <w:pPr>
        <w:spacing w:after="0"/>
        <w:rPr>
          <w:lang w:eastAsia="en-GB"/>
        </w:rPr>
      </w:pPr>
      <w:r w:rsidRPr="00175D13">
        <w:rPr>
          <w:lang w:eastAsia="en-GB"/>
        </w:rPr>
        <w:t>Европейское обследование рабочей силы:</w:t>
      </w:r>
    </w:p>
    <w:p w:rsidR="00CE4111" w:rsidRPr="005C71E3" w:rsidRDefault="00A61389" w:rsidP="005C71E3">
      <w:pPr>
        <w:spacing w:after="0"/>
        <w:rPr>
          <w:lang w:eastAsia="en-GB"/>
        </w:rPr>
      </w:pPr>
      <w:hyperlink r:id="rId14" w:history="1">
        <w:r w:rsidR="005C71E3" w:rsidRPr="00E407BF">
          <w:rPr>
            <w:rStyle w:val="ac"/>
            <w:lang w:val="en-US" w:eastAsia="en-GB"/>
          </w:rPr>
          <w:t>http</w:t>
        </w:r>
        <w:r w:rsidR="005C71E3" w:rsidRPr="00E407BF">
          <w:rPr>
            <w:rStyle w:val="ac"/>
            <w:lang w:eastAsia="en-GB"/>
          </w:rPr>
          <w:t>://</w:t>
        </w:r>
        <w:proofErr w:type="spellStart"/>
        <w:r w:rsidR="005C71E3" w:rsidRPr="00E407BF">
          <w:rPr>
            <w:rStyle w:val="ac"/>
            <w:lang w:val="en-US" w:eastAsia="en-GB"/>
          </w:rPr>
          <w:t>ec</w:t>
        </w:r>
        <w:proofErr w:type="spellEnd"/>
        <w:r w:rsidR="005C71E3" w:rsidRPr="00E407BF">
          <w:rPr>
            <w:rStyle w:val="ac"/>
            <w:lang w:eastAsia="en-GB"/>
          </w:rPr>
          <w:t>.</w:t>
        </w:r>
        <w:proofErr w:type="spellStart"/>
        <w:r w:rsidR="005C71E3" w:rsidRPr="00E407BF">
          <w:rPr>
            <w:rStyle w:val="ac"/>
            <w:lang w:val="en-US" w:eastAsia="en-GB"/>
          </w:rPr>
          <w:t>europa</w:t>
        </w:r>
        <w:proofErr w:type="spellEnd"/>
        <w:r w:rsidR="005C71E3" w:rsidRPr="00E407BF">
          <w:rPr>
            <w:rStyle w:val="ac"/>
            <w:lang w:eastAsia="en-GB"/>
          </w:rPr>
          <w:t>.</w:t>
        </w:r>
        <w:proofErr w:type="spellStart"/>
        <w:r w:rsidR="005C71E3" w:rsidRPr="00E407BF">
          <w:rPr>
            <w:rStyle w:val="ac"/>
            <w:lang w:val="en-US" w:eastAsia="en-GB"/>
          </w:rPr>
          <w:t>eu</w:t>
        </w:r>
        <w:proofErr w:type="spellEnd"/>
        <w:r w:rsidR="005C71E3" w:rsidRPr="00E407BF">
          <w:rPr>
            <w:rStyle w:val="ac"/>
            <w:lang w:eastAsia="en-GB"/>
          </w:rPr>
          <w:t>/</w:t>
        </w:r>
        <w:proofErr w:type="spellStart"/>
        <w:r w:rsidR="005C71E3" w:rsidRPr="00E407BF">
          <w:rPr>
            <w:rStyle w:val="ac"/>
            <w:lang w:val="en-US" w:eastAsia="en-GB"/>
          </w:rPr>
          <w:t>eurostat</w:t>
        </w:r>
        <w:proofErr w:type="spellEnd"/>
        <w:r w:rsidR="005C71E3" w:rsidRPr="00E407BF">
          <w:rPr>
            <w:rStyle w:val="ac"/>
            <w:lang w:eastAsia="en-GB"/>
          </w:rPr>
          <w:t>/</w:t>
        </w:r>
        <w:r w:rsidR="005C71E3" w:rsidRPr="00E407BF">
          <w:rPr>
            <w:rStyle w:val="ac"/>
            <w:lang w:val="en-US" w:eastAsia="en-GB"/>
          </w:rPr>
          <w:t>cache</w:t>
        </w:r>
        <w:r w:rsidR="005C71E3" w:rsidRPr="00E407BF">
          <w:rPr>
            <w:rStyle w:val="ac"/>
            <w:lang w:eastAsia="en-GB"/>
          </w:rPr>
          <w:t>/</w:t>
        </w:r>
        <w:r w:rsidR="005C71E3" w:rsidRPr="00E407BF">
          <w:rPr>
            <w:rStyle w:val="ac"/>
            <w:lang w:val="en-US" w:eastAsia="en-GB"/>
          </w:rPr>
          <w:t>metadata</w:t>
        </w:r>
        <w:r w:rsidR="005C71E3" w:rsidRPr="00E407BF">
          <w:rPr>
            <w:rStyle w:val="ac"/>
            <w:lang w:eastAsia="en-GB"/>
          </w:rPr>
          <w:t>/</w:t>
        </w:r>
        <w:proofErr w:type="spellStart"/>
        <w:r w:rsidR="005C71E3" w:rsidRPr="00E407BF">
          <w:rPr>
            <w:rStyle w:val="ac"/>
            <w:lang w:val="en-US" w:eastAsia="en-GB"/>
          </w:rPr>
          <w:t>en</w:t>
        </w:r>
        <w:proofErr w:type="spellEnd"/>
        <w:r w:rsidR="005C71E3" w:rsidRPr="00E407BF">
          <w:rPr>
            <w:rStyle w:val="ac"/>
            <w:lang w:eastAsia="en-GB"/>
          </w:rPr>
          <w:t>/</w:t>
        </w:r>
        <w:proofErr w:type="spellStart"/>
        <w:r w:rsidR="005C71E3" w:rsidRPr="00E407BF">
          <w:rPr>
            <w:rStyle w:val="ac"/>
            <w:lang w:val="en-US" w:eastAsia="en-GB"/>
          </w:rPr>
          <w:t>trng</w:t>
        </w:r>
        <w:proofErr w:type="spellEnd"/>
        <w:r w:rsidR="005C71E3" w:rsidRPr="00E407BF">
          <w:rPr>
            <w:rStyle w:val="ac"/>
            <w:lang w:eastAsia="en-GB"/>
          </w:rPr>
          <w:t>_</w:t>
        </w:r>
        <w:proofErr w:type="spellStart"/>
        <w:r w:rsidR="005C71E3" w:rsidRPr="00E407BF">
          <w:rPr>
            <w:rStyle w:val="ac"/>
            <w:lang w:val="en-US" w:eastAsia="en-GB"/>
          </w:rPr>
          <w:t>lfs</w:t>
        </w:r>
        <w:proofErr w:type="spellEnd"/>
        <w:r w:rsidR="005C71E3" w:rsidRPr="00E407BF">
          <w:rPr>
            <w:rStyle w:val="ac"/>
            <w:lang w:eastAsia="en-GB"/>
          </w:rPr>
          <w:t>_4</w:t>
        </w:r>
        <w:r w:rsidR="005C71E3" w:rsidRPr="00E407BF">
          <w:rPr>
            <w:rStyle w:val="ac"/>
            <w:lang w:val="en-US" w:eastAsia="en-GB"/>
          </w:rPr>
          <w:t>w</w:t>
        </w:r>
        <w:r w:rsidR="005C71E3" w:rsidRPr="00E407BF">
          <w:rPr>
            <w:rStyle w:val="ac"/>
            <w:lang w:eastAsia="en-GB"/>
          </w:rPr>
          <w:t>0_</w:t>
        </w:r>
        <w:proofErr w:type="spellStart"/>
        <w:r w:rsidR="005C71E3" w:rsidRPr="00E407BF">
          <w:rPr>
            <w:rStyle w:val="ac"/>
            <w:lang w:val="en-US" w:eastAsia="en-GB"/>
          </w:rPr>
          <w:t>esms</w:t>
        </w:r>
        <w:proofErr w:type="spellEnd"/>
        <w:r w:rsidR="005C71E3" w:rsidRPr="00E407BF">
          <w:rPr>
            <w:rStyle w:val="ac"/>
            <w:lang w:eastAsia="en-GB"/>
          </w:rPr>
          <w:t>.</w:t>
        </w:r>
        <w:proofErr w:type="spellStart"/>
        <w:r w:rsidR="005C71E3" w:rsidRPr="00E407BF">
          <w:rPr>
            <w:rStyle w:val="ac"/>
            <w:lang w:val="en-US" w:eastAsia="en-GB"/>
          </w:rPr>
          <w:t>htm</w:t>
        </w:r>
        <w:proofErr w:type="spellEnd"/>
      </w:hyperlink>
    </w:p>
    <w:sectPr w:rsidR="00CE4111" w:rsidRPr="005C71E3">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53B" w:rsidRDefault="0035353B" w:rsidP="00F73DBC">
      <w:pPr>
        <w:spacing w:after="0" w:line="240" w:lineRule="auto"/>
      </w:pPr>
      <w:r>
        <w:separator/>
      </w:r>
    </w:p>
  </w:endnote>
  <w:endnote w:type="continuationSeparator" w:id="0">
    <w:p w:rsidR="0035353B" w:rsidRDefault="0035353B"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Segoe Print"/>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BD5" w:rsidRPr="00A61389" w:rsidRDefault="00A61389">
    <w:pPr>
      <w:pStyle w:val="af0"/>
      <w:rPr>
        <w:lang w:val="en-US"/>
      </w:rPr>
    </w:pPr>
    <w:r>
      <w:rPr>
        <w:lang w:val="en-US"/>
      </w:rPr>
      <w:t>29.07.2024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53B" w:rsidRDefault="0035353B" w:rsidP="00F73DBC">
      <w:pPr>
        <w:spacing w:after="0" w:line="240" w:lineRule="auto"/>
      </w:pPr>
      <w:r>
        <w:separator/>
      </w:r>
    </w:p>
  </w:footnote>
  <w:footnote w:type="continuationSeparator" w:id="0">
    <w:p w:rsidR="0035353B" w:rsidRDefault="0035353B" w:rsidP="00F7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1" w:rsidRDefault="009508D1" w:rsidP="009508D1">
    <w:pPr>
      <w:pStyle w:val="ae"/>
      <w:jc w:val="right"/>
      <w:rPr>
        <w:i/>
      </w:rPr>
    </w:pPr>
    <w:r w:rsidRPr="009508D1">
      <w:rPr>
        <w:i/>
      </w:rPr>
      <w:t>Неофициальный перевод</w:t>
    </w:r>
    <w:r>
      <w:rPr>
        <w:i/>
      </w:rPr>
      <w:t xml:space="preserve"> </w:t>
    </w:r>
  </w:p>
  <w:p w:rsidR="009508D1" w:rsidRPr="009508D1" w:rsidRDefault="009508D1" w:rsidP="009508D1">
    <w:pPr>
      <w:pStyle w:val="ae"/>
      <w:jc w:val="right"/>
    </w:pPr>
    <w:r>
      <w:t xml:space="preserve">Последнее обновление: </w:t>
    </w:r>
    <w:r w:rsidR="00A61389">
      <w:t xml:space="preserve">декабрь </w:t>
    </w:r>
    <w:r w:rsidR="00175D13">
      <w:t>202</w:t>
    </w:r>
    <w:r w:rsidR="00A61389">
      <w:t>4</w:t>
    </w:r>
  </w:p>
  <w:p w:rsidR="009508D1" w:rsidRDefault="009508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7320C7"/>
    <w:multiLevelType w:val="hybridMultilevel"/>
    <w:tmpl w:val="CDEA2D46"/>
    <w:lvl w:ilvl="0" w:tplc="33AC9398">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2E0059"/>
    <w:multiLevelType w:val="hybridMultilevel"/>
    <w:tmpl w:val="F12E0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E33372"/>
    <w:multiLevelType w:val="hybridMultilevel"/>
    <w:tmpl w:val="D1B6E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E32F40"/>
    <w:multiLevelType w:val="hybridMultilevel"/>
    <w:tmpl w:val="CB86818E"/>
    <w:lvl w:ilvl="0" w:tplc="33AC9398">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F66A42"/>
    <w:multiLevelType w:val="hybridMultilevel"/>
    <w:tmpl w:val="8B36FAD6"/>
    <w:lvl w:ilvl="0" w:tplc="33AC9398">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7"/>
  </w:num>
  <w:num w:numId="5">
    <w:abstractNumId w:val="2"/>
  </w:num>
  <w:num w:numId="6">
    <w:abstractNumId w:val="1"/>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40034"/>
    <w:rsid w:val="000476F9"/>
    <w:rsid w:val="00053D20"/>
    <w:rsid w:val="000A210D"/>
    <w:rsid w:val="000A229E"/>
    <w:rsid w:val="000C5EF5"/>
    <w:rsid w:val="00116248"/>
    <w:rsid w:val="00141954"/>
    <w:rsid w:val="001470A2"/>
    <w:rsid w:val="00165896"/>
    <w:rsid w:val="00175D13"/>
    <w:rsid w:val="001A163A"/>
    <w:rsid w:val="001E2FC9"/>
    <w:rsid w:val="002064C4"/>
    <w:rsid w:val="00291FA0"/>
    <w:rsid w:val="002E122C"/>
    <w:rsid w:val="002E15F9"/>
    <w:rsid w:val="002F63E5"/>
    <w:rsid w:val="00303D71"/>
    <w:rsid w:val="003143BC"/>
    <w:rsid w:val="0035353B"/>
    <w:rsid w:val="003746BC"/>
    <w:rsid w:val="003859BD"/>
    <w:rsid w:val="003D58DC"/>
    <w:rsid w:val="00407E4E"/>
    <w:rsid w:val="004143B4"/>
    <w:rsid w:val="00421928"/>
    <w:rsid w:val="004E087E"/>
    <w:rsid w:val="00525EA7"/>
    <w:rsid w:val="005C71E3"/>
    <w:rsid w:val="005E47BD"/>
    <w:rsid w:val="005F2C0B"/>
    <w:rsid w:val="00667BD5"/>
    <w:rsid w:val="006704C2"/>
    <w:rsid w:val="00694160"/>
    <w:rsid w:val="006B260E"/>
    <w:rsid w:val="006B3939"/>
    <w:rsid w:val="006D7049"/>
    <w:rsid w:val="006E69ED"/>
    <w:rsid w:val="00702333"/>
    <w:rsid w:val="00705161"/>
    <w:rsid w:val="0075371E"/>
    <w:rsid w:val="00780F08"/>
    <w:rsid w:val="00781DE7"/>
    <w:rsid w:val="007B0CFD"/>
    <w:rsid w:val="007C27E0"/>
    <w:rsid w:val="007D1185"/>
    <w:rsid w:val="007F06DF"/>
    <w:rsid w:val="00836F3E"/>
    <w:rsid w:val="00853C09"/>
    <w:rsid w:val="009508D1"/>
    <w:rsid w:val="00957A62"/>
    <w:rsid w:val="00965628"/>
    <w:rsid w:val="00980F79"/>
    <w:rsid w:val="00982FE8"/>
    <w:rsid w:val="009C064B"/>
    <w:rsid w:val="00A53D4B"/>
    <w:rsid w:val="00A61389"/>
    <w:rsid w:val="00A618FC"/>
    <w:rsid w:val="00A71EC6"/>
    <w:rsid w:val="00A82CD3"/>
    <w:rsid w:val="00A91FDE"/>
    <w:rsid w:val="00AC1624"/>
    <w:rsid w:val="00AC1A97"/>
    <w:rsid w:val="00B0378B"/>
    <w:rsid w:val="00B72F77"/>
    <w:rsid w:val="00BD0111"/>
    <w:rsid w:val="00BD29EC"/>
    <w:rsid w:val="00BE2C5D"/>
    <w:rsid w:val="00BE415C"/>
    <w:rsid w:val="00C1428E"/>
    <w:rsid w:val="00C47A4A"/>
    <w:rsid w:val="00C8596F"/>
    <w:rsid w:val="00CA1CB1"/>
    <w:rsid w:val="00CE4111"/>
    <w:rsid w:val="00D05466"/>
    <w:rsid w:val="00D2619D"/>
    <w:rsid w:val="00D97F82"/>
    <w:rsid w:val="00DA19D7"/>
    <w:rsid w:val="00DA50C7"/>
    <w:rsid w:val="00DC18AA"/>
    <w:rsid w:val="00DD6190"/>
    <w:rsid w:val="00E123F7"/>
    <w:rsid w:val="00E21B43"/>
    <w:rsid w:val="00E27922"/>
    <w:rsid w:val="00E33CA8"/>
    <w:rsid w:val="00E3605B"/>
    <w:rsid w:val="00E53EC5"/>
    <w:rsid w:val="00E90BD4"/>
    <w:rsid w:val="00EB362A"/>
    <w:rsid w:val="00EB389E"/>
    <w:rsid w:val="00EE0900"/>
    <w:rsid w:val="00F6371F"/>
    <w:rsid w:val="00F73DBC"/>
    <w:rsid w:val="00F84FF1"/>
    <w:rsid w:val="00F92D6F"/>
    <w:rsid w:val="00FA3549"/>
    <w:rsid w:val="00FB66D9"/>
    <w:rsid w:val="00FE0D9D"/>
    <w:rsid w:val="00FE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954"/>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141954"/>
    <w:pPr>
      <w:autoSpaceDE w:val="0"/>
      <w:autoSpaceDN w:val="0"/>
      <w:adjustRightInd w:val="0"/>
      <w:spacing w:after="0" w:line="240" w:lineRule="auto"/>
    </w:pPr>
    <w:rPr>
      <w:rFonts w:ascii="Calibri" w:hAnsi="Calibri" w:cs="Calibri"/>
      <w:color w:val="000000"/>
      <w:sz w:val="24"/>
      <w:szCs w:val="24"/>
    </w:rPr>
  </w:style>
  <w:style w:type="paragraph" w:customStyle="1" w:styleId="form-control-static">
    <w:name w:val="form-control-static"/>
    <w:basedOn w:val="a"/>
    <w:rsid w:val="00141954"/>
    <w:pPr>
      <w:spacing w:before="100" w:beforeAutospacing="1" w:after="100" w:afterAutospacing="1" w:line="240" w:lineRule="auto"/>
      <w:jc w:val="left"/>
    </w:pPr>
    <w:rPr>
      <w:rFonts w:eastAsia="Times New Roman" w:cs="Times New Roman"/>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954"/>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141954"/>
    <w:pPr>
      <w:autoSpaceDE w:val="0"/>
      <w:autoSpaceDN w:val="0"/>
      <w:adjustRightInd w:val="0"/>
      <w:spacing w:after="0" w:line="240" w:lineRule="auto"/>
    </w:pPr>
    <w:rPr>
      <w:rFonts w:ascii="Calibri" w:hAnsi="Calibri" w:cs="Calibri"/>
      <w:color w:val="000000"/>
      <w:sz w:val="24"/>
      <w:szCs w:val="24"/>
    </w:rPr>
  </w:style>
  <w:style w:type="paragraph" w:customStyle="1" w:styleId="form-control-static">
    <w:name w:val="form-control-static"/>
    <w:basedOn w:val="a"/>
    <w:rsid w:val="00141954"/>
    <w:pPr>
      <w:spacing w:before="100" w:beforeAutospacing="1" w:after="100" w:afterAutospacing="1" w:line="240" w:lineRule="auto"/>
      <w:jc w:val="left"/>
    </w:pPr>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eurostat/web/microdata/continuing-vocational-training-surve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ui.eu/Research/Library/ResearchGuides/Economics/Statistics/DataPortal/AES.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lostat.ilo.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is.unesco.org" TargetMode="External"/><Relationship Id="rId4" Type="http://schemas.microsoft.com/office/2007/relationships/stylesWithEffects" Target="stylesWithEffects.xml"/><Relationship Id="rId9" Type="http://schemas.openxmlformats.org/officeDocument/2006/relationships/hyperlink" Target="https://www.moe.gov.bn/DocumentDownloads/Education%202030/Education2030.pdf" TargetMode="External"/><Relationship Id="rId14" Type="http://schemas.openxmlformats.org/officeDocument/2006/relationships/hyperlink" Target="http://ec.europa.eu/eurostat/cache/metadata/en/trng_lfs_4w0_esm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8D8F-4E6D-4178-8FA0-F4F6E033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1519</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17</cp:revision>
  <dcterms:created xsi:type="dcterms:W3CDTF">2022-02-25T13:21:00Z</dcterms:created>
  <dcterms:modified xsi:type="dcterms:W3CDTF">2024-12-18T13:49:00Z</dcterms:modified>
</cp:coreProperties>
</file>