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20D" w:rsidRPr="00D51628" w:rsidRDefault="00E3220D" w:rsidP="00E3220D">
      <w:pPr>
        <w:spacing w:before="120" w:after="60"/>
        <w:ind w:left="125" w:hanging="125"/>
        <w:jc w:val="both"/>
        <w:rPr>
          <w:lang w:val="en-US"/>
        </w:rPr>
      </w:pPr>
      <w:r w:rsidRPr="00D51628">
        <w:rPr>
          <w:b/>
          <w:bCs/>
          <w:sz w:val="16"/>
          <w:szCs w:val="16"/>
          <w:lang w:val="en-US"/>
        </w:rPr>
        <w:t xml:space="preserve">27.29. </w:t>
      </w:r>
      <w:r w:rsidRPr="00D51628">
        <w:rPr>
          <w:b/>
          <w:bCs/>
          <w:sz w:val="16"/>
          <w:szCs w:val="16"/>
        </w:rPr>
        <w:t>ИНДЕКСЫ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r w:rsidRPr="00D51628">
        <w:rPr>
          <w:b/>
          <w:bCs/>
          <w:sz w:val="16"/>
          <w:szCs w:val="16"/>
        </w:rPr>
        <w:t>ПРОМЫШЛЕННОГО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r w:rsidRPr="00D51628">
        <w:rPr>
          <w:b/>
          <w:bCs/>
          <w:sz w:val="16"/>
          <w:szCs w:val="16"/>
        </w:rPr>
        <w:t>ПРОИЗВОДСТВА</w:t>
      </w:r>
    </w:p>
    <w:p w:rsidR="00E3220D" w:rsidRPr="00D51628" w:rsidRDefault="00E3220D" w:rsidP="00E3220D">
      <w:pPr>
        <w:spacing w:after="60"/>
        <w:ind w:left="482"/>
        <w:rPr>
          <w:lang w:val="en-US"/>
        </w:rPr>
      </w:pPr>
      <w:r w:rsidRPr="00D51628">
        <w:rPr>
          <w:b/>
          <w:i/>
          <w:sz w:val="16"/>
          <w:lang w:val="en-US"/>
        </w:rPr>
        <w:t>INDUSTRIAL PRODUCTION INDICES</w:t>
      </w:r>
      <w:r w:rsidRPr="00D51628">
        <w:rPr>
          <w:b/>
          <w:sz w:val="16"/>
          <w:vertAlign w:val="superscript"/>
          <w:lang w:val="en-US"/>
        </w:rPr>
        <w:t xml:space="preserve"> </w:t>
      </w:r>
    </w:p>
    <w:p w:rsidR="00E3220D" w:rsidRPr="00D51628" w:rsidRDefault="00E3220D" w:rsidP="00E3220D">
      <w:pPr>
        <w:spacing w:after="60"/>
        <w:jc w:val="right"/>
        <w:rPr>
          <w:lang w:val="en-US"/>
        </w:rPr>
      </w:pPr>
      <w:r w:rsidRPr="00D51628">
        <w:rPr>
          <w:rFonts w:eastAsia="Arial"/>
          <w:lang w:val="en-US"/>
        </w:rPr>
        <w:t xml:space="preserve"> </w:t>
      </w:r>
      <w:r w:rsidRPr="00D51628">
        <w:rPr>
          <w:lang w:val="en-US"/>
        </w:rPr>
        <w:t>(20</w:t>
      </w:r>
      <w:r w:rsidRPr="00D51628">
        <w:t>10</w:t>
      </w:r>
      <w:r w:rsidRPr="00D51628">
        <w:rPr>
          <w:lang w:val="en-US"/>
        </w:rPr>
        <w:t>=100)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3"/>
        <w:gridCol w:w="1293"/>
        <w:gridCol w:w="1293"/>
        <w:gridCol w:w="1291"/>
        <w:gridCol w:w="3021"/>
      </w:tblGrid>
      <w:tr w:rsidR="00E3220D" w:rsidRPr="00D51628" w:rsidTr="00C54F65">
        <w:trPr>
          <w:cantSplit/>
        </w:trPr>
        <w:tc>
          <w:tcPr>
            <w:tcW w:w="30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60" w:after="60"/>
              <w:rPr>
                <w:lang w:val="en-US"/>
              </w:rPr>
            </w:pP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220D" w:rsidRPr="00D51628" w:rsidRDefault="00E3220D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6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220D" w:rsidRPr="00D51628" w:rsidRDefault="00E3220D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7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220D" w:rsidRPr="00D51628" w:rsidRDefault="00E3220D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60" w:after="60"/>
            </w:pPr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rPr>
                <w:vertAlign w:val="superscript"/>
                <w:lang w:val="en-US"/>
              </w:rPr>
            </w:pPr>
            <w:r w:rsidRPr="00D51628">
              <w:rPr>
                <w:b/>
                <w:bCs/>
              </w:rPr>
              <w:t>Россия</w:t>
            </w:r>
            <w:proofErr w:type="gramStart"/>
            <w:r w:rsidRPr="00D51628">
              <w:rPr>
                <w:b/>
                <w:bCs/>
                <w:vertAlign w:val="superscript"/>
              </w:rPr>
              <w:t>1</w:t>
            </w:r>
            <w:proofErr w:type="gramEnd"/>
            <w:r w:rsidRPr="00D51628">
              <w:rPr>
                <w:b/>
                <w:bCs/>
                <w:vertAlign w:val="superscript"/>
              </w:rPr>
              <w:t>)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right="454"/>
              <w:jc w:val="right"/>
              <w:rPr>
                <w:b/>
                <w:lang w:val="en-US"/>
              </w:rPr>
            </w:pPr>
            <w:r w:rsidRPr="00D51628">
              <w:rPr>
                <w:b/>
                <w:lang w:val="en-US"/>
              </w:rPr>
              <w:t>113,3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right="454"/>
              <w:jc w:val="right"/>
              <w:rPr>
                <w:b/>
                <w:lang w:val="en-US"/>
              </w:rPr>
            </w:pPr>
            <w:r w:rsidRPr="00D51628">
              <w:rPr>
                <w:b/>
                <w:lang w:val="en-US"/>
              </w:rPr>
              <w:t>115,7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right="454"/>
              <w:jc w:val="right"/>
              <w:rPr>
                <w:b/>
                <w:lang w:val="en-US"/>
              </w:rPr>
            </w:pPr>
            <w:r w:rsidRPr="00D51628">
              <w:rPr>
                <w:b/>
                <w:lang w:val="en-US"/>
              </w:rPr>
              <w:t>119</w:t>
            </w:r>
            <w:r w:rsidRPr="00D51628">
              <w:rPr>
                <w:b/>
              </w:rPr>
              <w:t>,</w:t>
            </w:r>
            <w:r w:rsidRPr="00D51628">
              <w:rPr>
                <w:b/>
                <w:lang w:val="en-US"/>
              </w:rPr>
              <w:t>0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  <w:rPr>
                <w:vertAlign w:val="superscript"/>
              </w:rPr>
            </w:pPr>
            <w:proofErr w:type="gramStart"/>
            <w:r w:rsidRPr="00D51628">
              <w:rPr>
                <w:b/>
                <w:i/>
              </w:rPr>
              <w:t>Russia</w:t>
            </w:r>
            <w:r w:rsidRPr="00D51628">
              <w:rPr>
                <w:b/>
                <w:i/>
                <w:vertAlign w:val="superscript"/>
              </w:rPr>
              <w:t>1)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</w:pPr>
            <w:r w:rsidRPr="00D51628">
              <w:rPr>
                <w:b/>
                <w:bCs/>
              </w:rPr>
              <w:t>Страны СНГ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rPr>
                <w:b/>
                <w:i/>
              </w:rPr>
              <w:t xml:space="preserve">CIS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340"/>
            </w:pPr>
            <w:r w:rsidRPr="00D51628">
              <w:t>из них: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Азербайджан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96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92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94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Армения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153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</w:pPr>
            <w:r w:rsidRPr="00D51628">
              <w:rPr>
                <w:lang w:val="en-US"/>
              </w:rPr>
              <w:t>17</w:t>
            </w:r>
            <w:r w:rsidRPr="00D51628">
              <w:t>1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179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Беларусь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117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Казахстан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117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Kazakhstan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Киргизия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119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133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140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Kyrgyzstan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Республика Молдова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131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135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140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Moldova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Таджикистан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165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200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223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Узбекистан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138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145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160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Украина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83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83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84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</w:pPr>
            <w:r w:rsidRPr="00D51628">
              <w:rPr>
                <w:b/>
                <w:bCs/>
              </w:rPr>
              <w:t>Страны БРИКС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rPr>
                <w:b/>
                <w:i/>
                <w:lang w:val="en"/>
              </w:rPr>
              <w:t>BRICS countries</w:t>
            </w:r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284"/>
            </w:pPr>
            <w:r w:rsidRPr="00D51628">
              <w:t>из них: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Бразилия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83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85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86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  <w:r w:rsidRPr="00D51628">
              <w:rPr>
                <w:i/>
                <w:lang w:val="en-US"/>
              </w:rPr>
              <w:t xml:space="preserve"> </w:t>
            </w:r>
            <w:r w:rsidRPr="00D51628">
              <w:rPr>
                <w:vertAlign w:val="superscript"/>
              </w:rPr>
              <w:t>2)</w:t>
            </w:r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  <w:rPr>
                <w:vertAlign w:val="superscript"/>
              </w:rPr>
            </w:pPr>
            <w:proofErr w:type="gramStart"/>
            <w:r w:rsidRPr="00D51628">
              <w:t>Индия</w:t>
            </w:r>
            <w:r w:rsidRPr="00D51628">
              <w:rPr>
                <w:vertAlign w:val="superscript"/>
              </w:rPr>
              <w:t>3)</w:t>
            </w:r>
            <w:proofErr w:type="gramEnd"/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120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124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130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  <w:rPr>
                <w:vertAlign w:val="superscript"/>
              </w:rPr>
            </w:pPr>
            <w:proofErr w:type="gramStart"/>
            <w:r w:rsidRPr="00D51628">
              <w:rPr>
                <w:i/>
              </w:rPr>
              <w:t>India</w:t>
            </w:r>
            <w:r w:rsidRPr="00D51628">
              <w:rPr>
                <w:i/>
                <w:vertAlign w:val="superscript"/>
              </w:rPr>
              <w:t>3)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</w:pPr>
            <w:r w:rsidRPr="00D51628">
              <w:rPr>
                <w:b/>
                <w:bCs/>
              </w:rPr>
              <w:t>Страны ЕС</w:t>
            </w:r>
            <w:proofErr w:type="gramStart"/>
            <w:r w:rsidRPr="00D51628">
              <w:rPr>
                <w:b/>
                <w:bCs/>
                <w:vertAlign w:val="superscript"/>
              </w:rPr>
              <w:t>2</w:t>
            </w:r>
            <w:proofErr w:type="gramEnd"/>
            <w:r w:rsidRPr="00D51628">
              <w:rPr>
                <w:b/>
                <w:bCs/>
                <w:vertAlign w:val="superscript"/>
              </w:rPr>
              <w:t>)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proofErr w:type="gramStart"/>
            <w:r w:rsidRPr="00D51628">
              <w:rPr>
                <w:b/>
                <w:i/>
              </w:rPr>
              <w:t>EU countries</w:t>
            </w:r>
            <w:r w:rsidRPr="00D51628">
              <w:rPr>
                <w:b/>
                <w:bCs/>
                <w:vertAlign w:val="superscript"/>
              </w:rPr>
              <w:t>2)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340"/>
            </w:pPr>
            <w:r w:rsidRPr="00D51628">
              <w:t>из них: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Австрия</w:t>
            </w:r>
            <w:r w:rsidRPr="00D51628">
              <w:rPr>
                <w:b/>
                <w:bCs/>
                <w:vertAlign w:val="superscript"/>
              </w:rPr>
              <w:t xml:space="preserve">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119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124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Бельгия</w:t>
            </w:r>
            <w:r w:rsidRPr="00D51628">
              <w:rPr>
                <w:vertAlign w:val="superscript"/>
              </w:rPr>
              <w:t xml:space="preserve">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Болгария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117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119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Венгрия</w:t>
            </w:r>
            <w:r w:rsidRPr="00D51628">
              <w:rPr>
                <w:vertAlign w:val="superscript"/>
              </w:rPr>
              <w:t xml:space="preserve">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122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129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134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Германия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116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117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Дания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106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Италия</w:t>
            </w:r>
            <w:r w:rsidRPr="00D51628">
              <w:rPr>
                <w:vertAlign w:val="superscript"/>
              </w:rPr>
              <w:t xml:space="preserve">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94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Литва</w:t>
            </w:r>
            <w:r w:rsidRPr="00D51628">
              <w:rPr>
                <w:vertAlign w:val="superscript"/>
              </w:rPr>
              <w:t xml:space="preserve">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123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131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138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Нидерланды</w:t>
            </w:r>
            <w:r w:rsidRPr="00D51628">
              <w:rPr>
                <w:vertAlign w:val="superscript"/>
              </w:rPr>
              <w:t xml:space="preserve">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95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96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96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Польша</w:t>
            </w:r>
            <w:r w:rsidRPr="00D51628">
              <w:rPr>
                <w:vertAlign w:val="superscript"/>
              </w:rPr>
              <w:t xml:space="preserve">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123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131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139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proofErr w:type="gramStart"/>
            <w:r w:rsidRPr="00D51628">
              <w:rPr>
                <w:i/>
              </w:rPr>
              <w:t>Poland</w:t>
            </w:r>
            <w:proofErr w:type="spellEnd"/>
            <w:r w:rsidRPr="00D51628">
              <w:rPr>
                <w:i/>
                <w:vertAlign w:val="superscript"/>
              </w:rPr>
              <w:t>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Румыния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133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144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149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 xml:space="preserve">Соединенное Королевство </w:t>
            </w:r>
            <w:r w:rsidRPr="00D51628">
              <w:br/>
              <w:t>(Великобритания)</w:t>
            </w:r>
            <w:r w:rsidRPr="00D51628">
              <w:rPr>
                <w:vertAlign w:val="superscript"/>
              </w:rPr>
              <w:t xml:space="preserve">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</w:pPr>
            <w:r w:rsidRPr="00D51628">
              <w:t>100,2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</w:pPr>
            <w:r w:rsidRPr="00D51628">
              <w:rPr>
                <w:lang w:val="en-US"/>
              </w:rPr>
              <w:t>10</w:t>
            </w:r>
            <w:r w:rsidRPr="00D51628">
              <w:t>2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</w:pPr>
            <w:r w:rsidRPr="00D51628">
              <w:rPr>
                <w:lang w:val="en-US"/>
              </w:rPr>
              <w:t>10</w:t>
            </w:r>
            <w:r w:rsidRPr="00D51628">
              <w:t>3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  <w:szCs w:val="16"/>
              </w:rPr>
              <w:t>United</w:t>
            </w:r>
            <w:proofErr w:type="spellEnd"/>
            <w:r w:rsidRPr="00D51628">
              <w:rPr>
                <w:i/>
                <w:szCs w:val="16"/>
              </w:rPr>
              <w:t xml:space="preserve"> </w:t>
            </w:r>
            <w:proofErr w:type="spellStart"/>
            <w:r w:rsidRPr="00D51628">
              <w:rPr>
                <w:i/>
                <w:szCs w:val="16"/>
              </w:rPr>
              <w:t>Kingdom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Финляндия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Франция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100,5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103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Швеция</w:t>
            </w:r>
            <w:r w:rsidRPr="00D51628">
              <w:rPr>
                <w:vertAlign w:val="superscript"/>
              </w:rPr>
              <w:t xml:space="preserve">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99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106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r w:rsidRPr="00D51628">
              <w:rPr>
                <w:i/>
              </w:rPr>
              <w:t>Sweden</w:t>
            </w:r>
            <w:proofErr w:type="spell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</w:pPr>
            <w:r w:rsidRPr="00D51628">
              <w:rPr>
                <w:b/>
                <w:bCs/>
              </w:rPr>
              <w:t xml:space="preserve">Другие страны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proofErr w:type="spellStart"/>
            <w:r w:rsidRPr="00D51628">
              <w:rPr>
                <w:b/>
                <w:i/>
              </w:rPr>
              <w:t>Other</w:t>
            </w:r>
            <w:proofErr w:type="spellEnd"/>
            <w:r w:rsidRPr="00D51628">
              <w:rPr>
                <w:b/>
                <w:i/>
              </w:rPr>
              <w:t xml:space="preserve">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  <w:r w:rsidRPr="00D51628">
              <w:rPr>
                <w:b/>
                <w:i/>
              </w:rPr>
              <w:t xml:space="preserve"> </w:t>
            </w:r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340"/>
            </w:pPr>
            <w:r w:rsidRPr="00D51628">
              <w:t>из них: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Австралия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 xml:space="preserve">) 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114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116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120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gramStart"/>
            <w:r w:rsidRPr="00D51628">
              <w:rPr>
                <w:i/>
              </w:rPr>
              <w:t>Australia</w:t>
            </w:r>
            <w:r w:rsidRPr="00D51628">
              <w:rPr>
                <w:i/>
                <w:vertAlign w:val="superscript"/>
              </w:rPr>
              <w:t>2)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Канада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117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122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gramStart"/>
            <w:r w:rsidRPr="00D51628">
              <w:rPr>
                <w:i/>
              </w:rPr>
              <w:t>Canada</w:t>
            </w:r>
            <w:r w:rsidRPr="00D51628">
              <w:rPr>
                <w:i/>
                <w:vertAlign w:val="superscript"/>
              </w:rPr>
              <w:t>2)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Мексика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gramStart"/>
            <w:r w:rsidRPr="00D51628">
              <w:rPr>
                <w:i/>
              </w:rPr>
              <w:t>Mexico</w:t>
            </w:r>
            <w:r w:rsidRPr="00D51628">
              <w:rPr>
                <w:i/>
                <w:vertAlign w:val="superscript"/>
              </w:rPr>
              <w:t>2)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Норвегия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96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96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94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gramStart"/>
            <w:r w:rsidRPr="00D51628">
              <w:rPr>
                <w:i/>
              </w:rPr>
              <w:t>Norway</w:t>
            </w:r>
            <w:r w:rsidRPr="00D51628">
              <w:rPr>
                <w:i/>
                <w:vertAlign w:val="superscript"/>
              </w:rPr>
              <w:t>2)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Республика Корея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115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spellStart"/>
            <w:proofErr w:type="gram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Korea</w:t>
            </w:r>
            <w:r w:rsidRPr="00D51628">
              <w:rPr>
                <w:i/>
                <w:vertAlign w:val="superscript"/>
              </w:rPr>
              <w:t>2)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США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115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gramStart"/>
            <w:r w:rsidRPr="00D51628">
              <w:rPr>
                <w:i/>
              </w:rPr>
              <w:t>USA</w:t>
            </w:r>
            <w:r w:rsidRPr="00D51628">
              <w:rPr>
                <w:i/>
                <w:vertAlign w:val="superscript"/>
              </w:rPr>
              <w:t>2)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Турция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149</w:t>
            </w:r>
          </w:p>
        </w:tc>
        <w:tc>
          <w:tcPr>
            <w:tcW w:w="129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163</w:t>
            </w:r>
          </w:p>
        </w:tc>
        <w:tc>
          <w:tcPr>
            <w:tcW w:w="129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164</w:t>
            </w:r>
          </w:p>
        </w:tc>
        <w:tc>
          <w:tcPr>
            <w:tcW w:w="302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gramStart"/>
            <w:r w:rsidRPr="00D51628">
              <w:rPr>
                <w:i/>
              </w:rPr>
              <w:t>Turkey</w:t>
            </w:r>
            <w:r w:rsidRPr="00D51628">
              <w:rPr>
                <w:i/>
                <w:vertAlign w:val="superscript"/>
              </w:rPr>
              <w:t>2)</w:t>
            </w:r>
            <w:proofErr w:type="gramEnd"/>
          </w:p>
        </w:tc>
      </w:tr>
      <w:tr w:rsidR="00E3220D" w:rsidRPr="00D51628" w:rsidTr="00C54F65">
        <w:trPr>
          <w:cantSplit/>
        </w:trPr>
        <w:tc>
          <w:tcPr>
            <w:tcW w:w="3023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57"/>
            </w:pPr>
            <w:r w:rsidRPr="00D51628">
              <w:t>Япония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 xml:space="preserve">) </w:t>
            </w:r>
          </w:p>
        </w:tc>
        <w:tc>
          <w:tcPr>
            <w:tcW w:w="12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12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100,1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napToGrid w:val="0"/>
              <w:spacing w:before="40" w:line="140" w:lineRule="exact"/>
              <w:ind w:right="45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101</w:t>
            </w:r>
          </w:p>
        </w:tc>
        <w:tc>
          <w:tcPr>
            <w:tcW w:w="302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E3220D" w:rsidRPr="00D51628" w:rsidRDefault="00E3220D" w:rsidP="00C54F65">
            <w:pPr>
              <w:spacing w:before="40" w:line="140" w:lineRule="exact"/>
              <w:ind w:left="170"/>
            </w:pPr>
            <w:proofErr w:type="gramStart"/>
            <w:r w:rsidRPr="00D51628">
              <w:rPr>
                <w:i/>
              </w:rPr>
              <w:t>Japan</w:t>
            </w:r>
            <w:r w:rsidRPr="00D51628">
              <w:rPr>
                <w:i/>
                <w:vertAlign w:val="superscript"/>
              </w:rPr>
              <w:t>2)</w:t>
            </w:r>
            <w:proofErr w:type="gramEnd"/>
          </w:p>
        </w:tc>
      </w:tr>
    </w:tbl>
    <w:p w:rsidR="00E3220D" w:rsidRPr="00D51628" w:rsidRDefault="00E3220D" w:rsidP="00E3220D">
      <w:pPr>
        <w:tabs>
          <w:tab w:val="center" w:pos="6634"/>
        </w:tabs>
        <w:spacing w:before="60"/>
        <w:ind w:left="113" w:hanging="113"/>
        <w:jc w:val="both"/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>1)</w:t>
      </w:r>
      <w:r w:rsidRPr="00D51628">
        <w:rPr>
          <w:sz w:val="12"/>
          <w:szCs w:val="12"/>
        </w:rPr>
        <w:t xml:space="preserve"> Агрегированный индекс производства по Российской Федерации 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</w:t>
      </w:r>
      <w:r w:rsidRPr="00D51628">
        <w:rPr>
          <w:sz w:val="12"/>
          <w:szCs w:val="12"/>
        </w:rPr>
        <w:t>ь</w:t>
      </w:r>
      <w:r w:rsidRPr="00D51628">
        <w:rPr>
          <w:sz w:val="12"/>
          <w:szCs w:val="12"/>
        </w:rPr>
        <w:t>ность по ликвидации загрязнений»</w:t>
      </w:r>
      <w:r w:rsidRPr="00D51628">
        <w:rPr>
          <w:i/>
          <w:sz w:val="12"/>
          <w:szCs w:val="12"/>
        </w:rPr>
        <w:t xml:space="preserve"> – </w:t>
      </w:r>
      <w:r w:rsidRPr="00D51628">
        <w:rPr>
          <w:sz w:val="12"/>
          <w:szCs w:val="12"/>
        </w:rPr>
        <w:t>ОКВЭД</w:t>
      </w:r>
      <w:proofErr w:type="gramStart"/>
      <w:r w:rsidRPr="00D51628">
        <w:rPr>
          <w:sz w:val="12"/>
          <w:szCs w:val="12"/>
        </w:rPr>
        <w:t>2</w:t>
      </w:r>
      <w:proofErr w:type="gramEnd"/>
      <w:r w:rsidRPr="00D51628">
        <w:rPr>
          <w:sz w:val="12"/>
          <w:szCs w:val="12"/>
        </w:rPr>
        <w:t>.</w:t>
      </w:r>
    </w:p>
    <w:p w:rsidR="00E3220D" w:rsidRPr="00D51628" w:rsidRDefault="00E3220D" w:rsidP="00E3220D">
      <w:pPr>
        <w:tabs>
          <w:tab w:val="center" w:pos="6634"/>
        </w:tabs>
        <w:ind w:left="113" w:hanging="113"/>
        <w:jc w:val="both"/>
        <w:rPr>
          <w:sz w:val="12"/>
          <w:szCs w:val="12"/>
          <w:vertAlign w:val="superscript"/>
        </w:rPr>
      </w:pPr>
      <w:r w:rsidRPr="00D51628">
        <w:rPr>
          <w:sz w:val="12"/>
          <w:szCs w:val="12"/>
          <w:vertAlign w:val="superscript"/>
        </w:rPr>
        <w:t>2)</w:t>
      </w:r>
      <w:r w:rsidRPr="00D51628">
        <w:rPr>
          <w:sz w:val="12"/>
          <w:szCs w:val="12"/>
        </w:rPr>
        <w:t xml:space="preserve"> Агрегированный индекс производства по видам экономической деятельности (отраслям) «Горнодобывающая промышленность и разработка карьеров»; «Обрабатывающая </w:t>
      </w:r>
      <w:r w:rsidRPr="00D51628">
        <w:rPr>
          <w:sz w:val="12"/>
          <w:szCs w:val="12"/>
        </w:rPr>
        <w:br/>
        <w:t xml:space="preserve">промышленность»; «Снабжение электроэнергией, газом, паром и кондиционированным воздухом»; «Водоснабжение; системы канализации, удаление отходов и меры </w:t>
      </w:r>
      <w:r>
        <w:rPr>
          <w:sz w:val="12"/>
          <w:szCs w:val="12"/>
        </w:rPr>
        <w:br/>
      </w:r>
      <w:r w:rsidRPr="00D51628">
        <w:rPr>
          <w:sz w:val="12"/>
          <w:szCs w:val="12"/>
        </w:rPr>
        <w:t>по восстановлению окружающей среды» в соответствии с МСОК 4.</w:t>
      </w:r>
    </w:p>
    <w:p w:rsidR="00E3220D" w:rsidRPr="00D51628" w:rsidRDefault="00E3220D" w:rsidP="00E3220D">
      <w:pPr>
        <w:tabs>
          <w:tab w:val="center" w:pos="6634"/>
        </w:tabs>
        <w:ind w:left="113" w:hanging="113"/>
        <w:jc w:val="both"/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>3)</w:t>
      </w:r>
      <w:r w:rsidRPr="00D51628">
        <w:rPr>
          <w:sz w:val="12"/>
          <w:szCs w:val="12"/>
        </w:rPr>
        <w:t xml:space="preserve">Агрегированный индекс производства по видам экономической деятельности (отраслям) «Горнодобывающая промышленность и разработка карьеров»; «Обрабатывающая </w:t>
      </w:r>
      <w:r w:rsidRPr="00D51628">
        <w:rPr>
          <w:sz w:val="12"/>
          <w:szCs w:val="12"/>
        </w:rPr>
        <w:br/>
        <w:t>промышленность»; «</w:t>
      </w:r>
      <w:proofErr w:type="spellStart"/>
      <w:r w:rsidRPr="00D51628">
        <w:rPr>
          <w:sz w:val="12"/>
          <w:szCs w:val="12"/>
        </w:rPr>
        <w:t>Поизводство</w:t>
      </w:r>
      <w:proofErr w:type="spellEnd"/>
      <w:r w:rsidRPr="00D51628">
        <w:rPr>
          <w:sz w:val="12"/>
          <w:szCs w:val="12"/>
        </w:rPr>
        <w:t xml:space="preserve"> и распределение электроэнергии, газа и воды» в соответствии с МСОК 3.</w:t>
      </w:r>
    </w:p>
    <w:p w:rsidR="00E3220D" w:rsidRPr="00D51628" w:rsidRDefault="00E3220D" w:rsidP="00E3220D">
      <w:pPr>
        <w:tabs>
          <w:tab w:val="center" w:pos="6634"/>
        </w:tabs>
        <w:spacing w:before="60"/>
        <w:ind w:left="113" w:hanging="113"/>
        <w:jc w:val="both"/>
        <w:rPr>
          <w:i/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1)</w:t>
      </w:r>
      <w:r w:rsidRPr="00D51628">
        <w:rPr>
          <w:i/>
          <w:sz w:val="12"/>
          <w:szCs w:val="12"/>
          <w:lang w:val="en-US"/>
        </w:rPr>
        <w:t xml:space="preserve"> </w:t>
      </w:r>
      <w:r w:rsidRPr="00D51628">
        <w:rPr>
          <w:rStyle w:val="shorttext"/>
          <w:i/>
          <w:sz w:val="12"/>
          <w:szCs w:val="12"/>
          <w:lang w:val="en-US"/>
        </w:rPr>
        <w:t>Aggregated production index for the Russian Federation by economic activities</w:t>
      </w:r>
      <w:r w:rsidRPr="00D51628">
        <w:rPr>
          <w:rStyle w:val="shorttext"/>
          <w:i/>
          <w:lang w:val="en-US"/>
        </w:rPr>
        <w:t xml:space="preserve"> </w:t>
      </w:r>
      <w:r w:rsidRPr="00D51628">
        <w:rPr>
          <w:i/>
          <w:sz w:val="12"/>
          <w:szCs w:val="12"/>
          <w:lang w:val="en-US"/>
        </w:rPr>
        <w:t xml:space="preserve">«Mining and quarrying», «Manufacturing», </w:t>
      </w:r>
      <w:r w:rsidRPr="00D51628">
        <w:rPr>
          <w:i/>
          <w:spacing w:val="-2"/>
          <w:sz w:val="12"/>
          <w:szCs w:val="12"/>
          <w:lang w:val="en-US"/>
        </w:rPr>
        <w:t>«</w:t>
      </w:r>
      <w:r w:rsidRPr="00D51628">
        <w:rPr>
          <w:i/>
          <w:sz w:val="12"/>
          <w:szCs w:val="12"/>
          <w:lang w:val="en-US"/>
        </w:rPr>
        <w:t>Electricity, gas, steam and air conditioning supply</w:t>
      </w:r>
      <w:r w:rsidRPr="00D51628">
        <w:rPr>
          <w:i/>
          <w:spacing w:val="-2"/>
          <w:sz w:val="12"/>
          <w:szCs w:val="12"/>
          <w:lang w:val="en-US"/>
        </w:rPr>
        <w:t>», «</w:t>
      </w:r>
      <w:r w:rsidRPr="00D51628">
        <w:rPr>
          <w:i/>
          <w:sz w:val="12"/>
          <w:szCs w:val="12"/>
          <w:lang w:val="en-US"/>
        </w:rPr>
        <w:t xml:space="preserve"> Water supply; sewerage, waste management and remediation activities</w:t>
      </w:r>
      <w:r w:rsidRPr="00D51628">
        <w:rPr>
          <w:i/>
          <w:spacing w:val="-2"/>
          <w:sz w:val="12"/>
          <w:szCs w:val="12"/>
          <w:lang w:val="en-US"/>
        </w:rPr>
        <w:t>»</w:t>
      </w:r>
      <w:r w:rsidRPr="00D51628">
        <w:rPr>
          <w:i/>
          <w:sz w:val="12"/>
          <w:szCs w:val="12"/>
          <w:lang w:val="en-US"/>
        </w:rPr>
        <w:t xml:space="preserve"> of OKVED2.</w:t>
      </w:r>
    </w:p>
    <w:p w:rsidR="00E3220D" w:rsidRPr="00D51628" w:rsidRDefault="00E3220D" w:rsidP="00E3220D">
      <w:pPr>
        <w:tabs>
          <w:tab w:val="center" w:pos="6634"/>
        </w:tabs>
        <w:ind w:left="113" w:hanging="113"/>
        <w:jc w:val="both"/>
        <w:rPr>
          <w:i/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2)</w:t>
      </w:r>
      <w:r w:rsidRPr="00D51628">
        <w:rPr>
          <w:i/>
          <w:sz w:val="12"/>
          <w:szCs w:val="12"/>
          <w:lang w:val="en-US"/>
        </w:rPr>
        <w:t xml:space="preserve"> </w:t>
      </w:r>
      <w:r w:rsidRPr="00D51628">
        <w:rPr>
          <w:rStyle w:val="shorttext"/>
          <w:i/>
          <w:sz w:val="12"/>
          <w:szCs w:val="12"/>
          <w:lang w:val="en-US"/>
        </w:rPr>
        <w:t xml:space="preserve">Aggregated production index by economic activities </w:t>
      </w:r>
      <w:r w:rsidRPr="00D51628">
        <w:rPr>
          <w:i/>
          <w:sz w:val="12"/>
          <w:lang w:val="en-US"/>
        </w:rPr>
        <w:t>«</w:t>
      </w:r>
      <w:r w:rsidRPr="00D51628">
        <w:rPr>
          <w:i/>
          <w:sz w:val="12"/>
          <w:szCs w:val="12"/>
          <w:lang w:val="en-US"/>
        </w:rPr>
        <w:t>Mining and quarrying</w:t>
      </w:r>
      <w:r w:rsidRPr="00D51628">
        <w:rPr>
          <w:i/>
          <w:sz w:val="12"/>
          <w:lang w:val="en-US"/>
        </w:rPr>
        <w:t>», «</w:t>
      </w:r>
      <w:r w:rsidRPr="00D51628">
        <w:rPr>
          <w:i/>
          <w:sz w:val="12"/>
          <w:szCs w:val="12"/>
          <w:lang w:val="en-US"/>
        </w:rPr>
        <w:t>Manufacturing</w:t>
      </w:r>
      <w:r w:rsidRPr="00D51628">
        <w:rPr>
          <w:i/>
          <w:sz w:val="12"/>
          <w:lang w:val="en-US"/>
        </w:rPr>
        <w:t>», «</w:t>
      </w:r>
      <w:r w:rsidRPr="00D51628">
        <w:rPr>
          <w:i/>
          <w:sz w:val="12"/>
          <w:szCs w:val="12"/>
          <w:lang w:val="en-US"/>
        </w:rPr>
        <w:t>Electricity, gas, steam and air conditioning supply</w:t>
      </w:r>
      <w:r w:rsidRPr="00D51628">
        <w:rPr>
          <w:i/>
          <w:sz w:val="12"/>
          <w:lang w:val="en-US"/>
        </w:rPr>
        <w:t>», «</w:t>
      </w:r>
      <w:r w:rsidRPr="00D51628">
        <w:rPr>
          <w:i/>
          <w:sz w:val="12"/>
          <w:szCs w:val="12"/>
          <w:lang w:val="en-US"/>
        </w:rPr>
        <w:t>Water supply, sewerage, waste management and remediation activities» in accordance with ISIC 4.</w:t>
      </w:r>
    </w:p>
    <w:p w:rsidR="00E3220D" w:rsidRPr="00D51628" w:rsidRDefault="00E3220D" w:rsidP="00E3220D">
      <w:pPr>
        <w:tabs>
          <w:tab w:val="center" w:pos="6634"/>
        </w:tabs>
        <w:ind w:left="113" w:hanging="113"/>
        <w:jc w:val="both"/>
        <w:rPr>
          <w:i/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3)</w:t>
      </w:r>
      <w:r w:rsidRPr="00D51628">
        <w:rPr>
          <w:rStyle w:val="shorttext"/>
          <w:i/>
          <w:sz w:val="12"/>
          <w:szCs w:val="12"/>
          <w:lang w:val="en-US"/>
        </w:rPr>
        <w:t xml:space="preserve"> Aggregated production index by economic activities </w:t>
      </w:r>
      <w:r w:rsidRPr="00D51628">
        <w:rPr>
          <w:i/>
          <w:sz w:val="12"/>
          <w:szCs w:val="12"/>
          <w:lang w:val="en-US"/>
        </w:rPr>
        <w:t>«Mining and quarrying», «Manufacturing», «Electricity, gas and water supply» in accordance with ISIC 3.</w:t>
      </w:r>
      <w:bookmarkStart w:id="0" w:name="_GoBack"/>
      <w:bookmarkEnd w:id="0"/>
    </w:p>
    <w:sectPr w:rsidR="00E3220D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220D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9D5DD-0416-4E5C-918C-0E9535B23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3127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2020-01-23T09:47:00Z</dcterms:created>
  <dcterms:modified xsi:type="dcterms:W3CDTF">2020-01-23T09:47:00Z</dcterms:modified>
</cp:coreProperties>
</file>