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EB" w:rsidRPr="00D51628" w:rsidRDefault="009877EB" w:rsidP="009877EB">
      <w:pPr>
        <w:pageBreakBefore/>
        <w:tabs>
          <w:tab w:val="left" w:pos="7371"/>
        </w:tabs>
        <w:spacing w:after="60"/>
        <w:rPr>
          <w:lang w:val="en-US"/>
        </w:rPr>
      </w:pPr>
      <w:r w:rsidRPr="00D51628">
        <w:rPr>
          <w:b/>
          <w:bCs/>
          <w:sz w:val="16"/>
          <w:szCs w:val="16"/>
          <w:lang w:val="en-US"/>
        </w:rPr>
        <w:t xml:space="preserve">27.53. </w:t>
      </w:r>
      <w:r w:rsidRPr="00D51628">
        <w:rPr>
          <w:b/>
          <w:bCs/>
          <w:sz w:val="16"/>
          <w:szCs w:val="16"/>
        </w:rPr>
        <w:t>ЭКСПОРТ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</w:rPr>
        <w:t>И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</w:rPr>
        <w:t>ИМПОРТ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</w:rPr>
        <w:t>ТОВАРОВ</w:t>
      </w:r>
    </w:p>
    <w:p w:rsidR="009877EB" w:rsidRPr="00D51628" w:rsidRDefault="009877EB" w:rsidP="009877EB">
      <w:pPr>
        <w:tabs>
          <w:tab w:val="left" w:pos="7371"/>
        </w:tabs>
        <w:ind w:left="482"/>
        <w:rPr>
          <w:lang w:val="en-US"/>
        </w:rPr>
      </w:pPr>
      <w:r w:rsidRPr="00D51628">
        <w:rPr>
          <w:b/>
          <w:i/>
          <w:sz w:val="16"/>
          <w:lang w:val="en-US"/>
        </w:rPr>
        <w:t>EXPORTS AND IMPORT</w:t>
      </w:r>
      <w:r w:rsidRPr="00D51628">
        <w:rPr>
          <w:b/>
          <w:bCs/>
          <w:i/>
          <w:sz w:val="16"/>
          <w:szCs w:val="16"/>
          <w:lang w:val="en-US"/>
        </w:rPr>
        <w:t>S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i/>
          <w:sz w:val="16"/>
          <w:lang w:val="en-US"/>
        </w:rPr>
        <w:t>OF GOODS</w:t>
      </w:r>
    </w:p>
    <w:p w:rsidR="009877EB" w:rsidRPr="00D51628" w:rsidRDefault="009877EB" w:rsidP="009877EB">
      <w:pPr>
        <w:tabs>
          <w:tab w:val="left" w:pos="7371"/>
        </w:tabs>
        <w:spacing w:after="60"/>
        <w:jc w:val="right"/>
      </w:pPr>
      <w:proofErr w:type="gramStart"/>
      <w:r w:rsidRPr="00652A67">
        <w:t>(</w:t>
      </w:r>
      <w:r w:rsidRPr="00D51628">
        <w:t>миллиардов</w:t>
      </w:r>
      <w:r w:rsidRPr="00652A67">
        <w:t xml:space="preserve"> </w:t>
      </w:r>
      <w:r w:rsidRPr="00D51628">
        <w:t>долларов</w:t>
      </w:r>
      <w:r w:rsidRPr="00652A67">
        <w:t xml:space="preserve"> </w:t>
      </w:r>
      <w:r w:rsidRPr="00D51628">
        <w:t>США</w:t>
      </w:r>
      <w:r w:rsidRPr="00652A67">
        <w:t xml:space="preserve"> / </w:t>
      </w:r>
      <w:proofErr w:type="spellStart"/>
      <w:r w:rsidRPr="00D51628">
        <w:rPr>
          <w:i/>
          <w:lang w:val="en-US"/>
        </w:rPr>
        <w:t>bln</w:t>
      </w:r>
      <w:proofErr w:type="spellEnd"/>
      <w:r w:rsidRPr="00652A67">
        <w:rPr>
          <w:i/>
        </w:rPr>
        <w:t>.</w:t>
      </w:r>
      <w:proofErr w:type="gramEnd"/>
      <w:r w:rsidRPr="00652A67">
        <w:rPr>
          <w:i/>
        </w:rPr>
        <w:t xml:space="preserve"> </w:t>
      </w:r>
      <w:r w:rsidRPr="00D51628">
        <w:rPr>
          <w:i/>
          <w:lang w:val="en-US"/>
        </w:rPr>
        <w:t>US</w:t>
      </w:r>
      <w:r w:rsidRPr="00D51628">
        <w:rPr>
          <w:i/>
        </w:rPr>
        <w:t xml:space="preserve"> </w:t>
      </w:r>
      <w:r w:rsidRPr="00D51628">
        <w:rPr>
          <w:i/>
          <w:lang w:val="en-US"/>
        </w:rPr>
        <w:t>dollars</w:t>
      </w:r>
      <w:r w:rsidRPr="00D51628">
        <w:rPr>
          <w:i/>
        </w:rPr>
        <w:t>)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638"/>
        <w:gridCol w:w="639"/>
        <w:gridCol w:w="639"/>
        <w:gridCol w:w="639"/>
        <w:gridCol w:w="639"/>
        <w:gridCol w:w="639"/>
        <w:gridCol w:w="639"/>
        <w:gridCol w:w="639"/>
        <w:gridCol w:w="2406"/>
      </w:tblGrid>
      <w:tr w:rsidR="009877EB" w:rsidRPr="00D51628" w:rsidTr="00C54F65">
        <w:trPr>
          <w:cantSplit/>
        </w:trPr>
        <w:tc>
          <w:tcPr>
            <w:tcW w:w="2405" w:type="dxa"/>
            <w:vMerge w:val="restart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 w:after="60"/>
            </w:pPr>
          </w:p>
        </w:tc>
        <w:tc>
          <w:tcPr>
            <w:tcW w:w="2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ind w:left="57"/>
            </w:pPr>
            <w:r w:rsidRPr="00D51628">
              <w:t xml:space="preserve">Экспорт / </w:t>
            </w:r>
            <w:proofErr w:type="spellStart"/>
            <w:r w:rsidRPr="00D51628">
              <w:rPr>
                <w:i/>
              </w:rPr>
              <w:t>Exports</w:t>
            </w:r>
            <w:proofErr w:type="spellEnd"/>
          </w:p>
        </w:tc>
        <w:tc>
          <w:tcPr>
            <w:tcW w:w="25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ind w:left="57"/>
            </w:pPr>
            <w:r w:rsidRPr="00D51628">
              <w:t xml:space="preserve">Импорт / </w:t>
            </w:r>
            <w:proofErr w:type="spellStart"/>
            <w:r w:rsidRPr="00D51628">
              <w:rPr>
                <w:i/>
              </w:rPr>
              <w:t>Imports</w:t>
            </w:r>
            <w:proofErr w:type="spellEnd"/>
          </w:p>
        </w:tc>
        <w:tc>
          <w:tcPr>
            <w:tcW w:w="24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 w:after="60"/>
            </w:pPr>
          </w:p>
        </w:tc>
      </w:tr>
      <w:tr w:rsidR="009877EB" w:rsidRPr="00D51628" w:rsidTr="00C54F65">
        <w:trPr>
          <w:cantSplit/>
        </w:trPr>
        <w:tc>
          <w:tcPr>
            <w:tcW w:w="2405" w:type="dxa"/>
            <w:vMerge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 w:after="60"/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2016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2016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2017</w:t>
            </w:r>
          </w:p>
        </w:tc>
        <w:tc>
          <w:tcPr>
            <w:tcW w:w="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77EB" w:rsidRPr="00D51628" w:rsidRDefault="009877EB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240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 w:after="60"/>
            </w:pP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</w:pPr>
            <w:r w:rsidRPr="00D51628">
              <w:rPr>
                <w:b/>
                <w:bCs/>
              </w:rPr>
              <w:t>Россия</w:t>
            </w:r>
            <w:proofErr w:type="gramStart"/>
            <w:r w:rsidRPr="00D51628">
              <w:rPr>
                <w:b/>
                <w:bCs/>
                <w:vertAlign w:val="superscript"/>
              </w:rPr>
              <w:t>1</w:t>
            </w:r>
            <w:proofErr w:type="gramEnd"/>
            <w:r w:rsidRPr="00D51628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397,1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rPr>
                <w:lang w:val="en-US"/>
              </w:rPr>
              <w:t>285</w:t>
            </w:r>
            <w:r w:rsidRPr="00D51628">
              <w:t>,</w:t>
            </w:r>
            <w:r w:rsidRPr="00D51628">
              <w:rPr>
                <w:lang w:val="en-US"/>
              </w:rPr>
              <w:t>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  <w:rPr>
                <w:lang w:val="en-US"/>
              </w:rPr>
            </w:pPr>
            <w:r w:rsidRPr="00D51628">
              <w:t>357,3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  <w:rPr>
                <w:lang w:val="en-US"/>
              </w:rPr>
            </w:pPr>
            <w:r w:rsidRPr="00D51628">
              <w:t>449,6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228,9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  <w:rPr>
                <w:lang w:val="en-US"/>
              </w:rPr>
            </w:pPr>
            <w:r w:rsidRPr="00D51628">
              <w:t>182,</w:t>
            </w:r>
            <w:r w:rsidRPr="00D51628">
              <w:rPr>
                <w:lang w:val="en-US"/>
              </w:rPr>
              <w:t>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  <w:rPr>
                <w:lang w:val="en-US"/>
              </w:rPr>
            </w:pPr>
            <w:r w:rsidRPr="00D51628">
              <w:t>227,9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238,5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57"/>
            </w:pPr>
            <w:proofErr w:type="gramStart"/>
            <w:r w:rsidRPr="00D51628">
              <w:rPr>
                <w:b/>
                <w:i/>
              </w:rPr>
              <w:t>Russia</w:t>
            </w:r>
            <w:r w:rsidRPr="00D51628">
              <w:rPr>
                <w:b/>
                <w:bCs/>
                <w:vertAlign w:val="superscript"/>
              </w:rPr>
              <w:t>1)</w:t>
            </w:r>
            <w:proofErr w:type="gram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</w:pPr>
            <w:r w:rsidRPr="00D51628">
              <w:rPr>
                <w:b/>
                <w:bCs/>
              </w:rPr>
              <w:t>Страны СНГ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57"/>
            </w:pPr>
            <w:r w:rsidRPr="00D51628">
              <w:rPr>
                <w:b/>
                <w:i/>
              </w:rPr>
              <w:t xml:space="preserve">CIS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227"/>
            </w:pPr>
            <w:r w:rsidRPr="00D51628">
              <w:t>из них: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Азербайджан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21,4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13,5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15,3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19,5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8,5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8,8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11,5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Армения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5,0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Беларусь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25,3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23,5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29,2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33,9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34,9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27,6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34,2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38,4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Казахстан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38"/>
              </w:tabs>
              <w:spacing w:before="60"/>
              <w:ind w:right="113"/>
              <w:jc w:val="right"/>
            </w:pPr>
            <w:r w:rsidRPr="00D51628">
              <w:t>60,3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36,7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48,5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61,1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38"/>
              </w:tabs>
              <w:spacing w:before="60"/>
              <w:ind w:right="113"/>
              <w:jc w:val="right"/>
            </w:pPr>
            <w:r w:rsidRPr="00D51628">
              <w:t>31,1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25,4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29,6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33,7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Kazakhstan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Киргизия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38"/>
              </w:tabs>
              <w:spacing w:before="60"/>
              <w:ind w:right="113"/>
              <w:jc w:val="right"/>
            </w:pPr>
            <w:r w:rsidRPr="00D51628">
              <w:t>1,8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38"/>
              </w:tabs>
              <w:spacing w:before="60"/>
              <w:ind w:right="113"/>
              <w:jc w:val="right"/>
            </w:pPr>
            <w:r w:rsidRPr="00D51628">
              <w:t>3,2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4,9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Kyrgyzstan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Республика Молдова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38"/>
              </w:tabs>
              <w:spacing w:before="60"/>
              <w:ind w:right="113"/>
              <w:jc w:val="right"/>
            </w:pPr>
            <w:r w:rsidRPr="00D51628">
              <w:t>1,5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38"/>
              </w:tabs>
              <w:spacing w:before="60"/>
              <w:ind w:right="113"/>
              <w:jc w:val="right"/>
            </w:pPr>
            <w:r w:rsidRPr="00D51628">
              <w:t>3,9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5,8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Таджикистан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0,9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3,2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Туркмения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9,7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7,5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7,8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11,7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8,2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13,2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10,2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5,3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Turkmenistan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Узбекистан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11,7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9,0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10,1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10,9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8,7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11,3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12,0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17,3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Украина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51,4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36,4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43,3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47,3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60,7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39,2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49,6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57,2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</w:pPr>
            <w:r w:rsidRPr="00D51628">
              <w:rPr>
                <w:b/>
                <w:bCs/>
              </w:rPr>
              <w:t>Страны БРИКС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57"/>
            </w:pPr>
            <w:r w:rsidRPr="00D51628">
              <w:rPr>
                <w:b/>
                <w:i/>
                <w:lang w:val="en"/>
              </w:rPr>
              <w:t>BRICS countries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227"/>
            </w:pPr>
            <w:r w:rsidRPr="00D51628">
              <w:t>из них: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Бразилия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201,9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185,2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217,8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239,7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191,5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143,4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157,5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188,6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Индия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226,3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264,5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299,7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324,5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350,2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361,6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446,9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513,7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Китай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1578,3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2136,7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2280,4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1396,2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1589,5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1842,3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Южно-Африканская Республика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81,8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76,3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88,8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94,0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80,1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75,0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83,0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93,3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r w:rsidRPr="00D51628">
              <w:rPr>
                <w:i/>
                <w:lang w:val="en"/>
              </w:rPr>
              <w:t>South Africa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</w:pPr>
            <w:r w:rsidRPr="00D51628">
              <w:rPr>
                <w:b/>
                <w:bCs/>
              </w:rPr>
              <w:t>Страны ЕС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57"/>
            </w:pPr>
            <w:r w:rsidRPr="00D51628">
              <w:rPr>
                <w:b/>
                <w:i/>
              </w:rPr>
              <w:t xml:space="preserve">EU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227"/>
            </w:pPr>
            <w:r w:rsidRPr="00D51628">
              <w:t>из них: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  <w:rPr>
                <w:lang w:val="en-US"/>
              </w:rPr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Австрия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144,9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rPr>
                <w:lang w:val="en-US"/>
              </w:rPr>
              <w:t>145</w:t>
            </w:r>
            <w:r w:rsidRPr="00D51628">
              <w:t>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160,3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177,2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150,6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rPr>
                <w:lang w:val="en-US"/>
              </w:rPr>
              <w:t>1</w:t>
            </w:r>
            <w:r w:rsidRPr="00D51628">
              <w:t>50,1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166,7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183,9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Бельгия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407,1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398,2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430,5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464,4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391,3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379,4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408,9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447,9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Болгария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20,6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26,7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31,6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33,3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25,5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29,0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34,3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38,0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Венгрия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94,8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103,0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113,7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123,8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87,6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91,4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103,8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116,0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Германия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1261,6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1334,4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1448,2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1561,0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1056,2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1055,3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1162,9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1285,5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Дания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95,8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95,2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101,7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rPr>
                <w:lang w:val="en-US"/>
              </w:rPr>
              <w:t>107</w:t>
            </w:r>
            <w:r w:rsidRPr="00D51628">
              <w:t>,</w:t>
            </w:r>
            <w:r w:rsidRPr="00D51628">
              <w:rPr>
                <w:lang w:val="en-US"/>
              </w:rPr>
              <w:t>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83,2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85,3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92,4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101,4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Италия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446,9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462,9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>
              <w:t>510,6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534,9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487,0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406,8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456,8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490,2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Литва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20,7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25,0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29,9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23,4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27,3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32,5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Нидерланды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492,7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470,2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527,8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585,6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440,0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412,3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464,9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521,4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Польша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159,8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203,9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234,3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260,5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178,1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199,6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233,7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266,4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Румыния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49,4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63,6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70,8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80,0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61,9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74,6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85,5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97,8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 xml:space="preserve">Соединенное Королевство </w:t>
            </w:r>
            <w:r w:rsidRPr="00D51628">
              <w:br/>
              <w:t>(Великобритания)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417,7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404,3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436,5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468,1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568,4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583,5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613,0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652,3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Финляндия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69,5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57,4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67,3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76,0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68,8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60,8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70,1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78,4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Франция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517,0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501,4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535,0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581,1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608,7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571,9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624,0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672,2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Швеция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158,1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139,3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152,9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166,0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148,5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141,0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154,2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170,1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</w:pPr>
            <w:r w:rsidRPr="00D51628">
              <w:rPr>
                <w:b/>
                <w:bCs/>
              </w:rPr>
              <w:t>Другие страны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57"/>
            </w:pPr>
            <w:proofErr w:type="spellStart"/>
            <w:r w:rsidRPr="00D51628">
              <w:rPr>
                <w:b/>
                <w:i/>
              </w:rPr>
              <w:t>Other</w:t>
            </w:r>
            <w:proofErr w:type="spellEnd"/>
            <w:r w:rsidRPr="00D51628">
              <w:rPr>
                <w:b/>
                <w:i/>
              </w:rPr>
              <w:t xml:space="preserve">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  <w:r w:rsidRPr="00D51628">
              <w:rPr>
                <w:b/>
                <w:i/>
              </w:rPr>
              <w:t xml:space="preserve"> 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227"/>
            </w:pPr>
            <w:r w:rsidRPr="00D51628">
              <w:t>из них: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napToGrid w:val="0"/>
              <w:spacing w:before="60"/>
              <w:ind w:right="113"/>
              <w:jc w:val="right"/>
            </w:pP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Австралия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212,3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192,5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231,1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257,1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193,2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189,1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221,2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227,0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Аргентина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64,7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57,7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48,0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55,6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…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Argentina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Канада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387,5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393,5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423,4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450,0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392,1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403,0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426,9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459,0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Canada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Мексика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298,1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373,9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409,5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450,6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301,5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387,1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420,4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464,3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Норвегия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130,7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89,5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102,0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121,9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77,3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72,7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82,8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87,5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Республика Корея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466,4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495,4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574,1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625,4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425,2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406,2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478,5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513,6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США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1278,5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1451,0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1546,7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1664,1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1969,2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2250,2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2409,5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2614,3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r w:rsidRPr="00D51628">
              <w:rPr>
                <w:i/>
              </w:rPr>
              <w:t>USA</w:t>
            </w:r>
          </w:p>
        </w:tc>
      </w:tr>
      <w:tr w:rsidR="009877EB" w:rsidRPr="00D51628" w:rsidTr="00C54F65">
        <w:trPr>
          <w:cantSplit/>
        </w:trPr>
        <w:tc>
          <w:tcPr>
            <w:tcW w:w="2405" w:type="dxa"/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Турция</w:t>
            </w:r>
          </w:p>
        </w:tc>
        <w:tc>
          <w:tcPr>
            <w:tcW w:w="63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113,9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142,7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157,2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168,2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185,5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198,6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233,8</w:t>
            </w:r>
          </w:p>
        </w:tc>
        <w:tc>
          <w:tcPr>
            <w:tcW w:w="6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222,4</w:t>
            </w:r>
          </w:p>
        </w:tc>
        <w:tc>
          <w:tcPr>
            <w:tcW w:w="24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Turkey</w:t>
            </w:r>
            <w:proofErr w:type="spellEnd"/>
          </w:p>
        </w:tc>
      </w:tr>
      <w:tr w:rsidR="009877EB" w:rsidRPr="00D51628" w:rsidTr="00C54F65">
        <w:trPr>
          <w:cantSplit/>
        </w:trPr>
        <w:tc>
          <w:tcPr>
            <w:tcW w:w="2405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13"/>
            </w:pPr>
            <w:r w:rsidRPr="00D51628">
              <w:t>Япония</w:t>
            </w:r>
          </w:p>
        </w:tc>
        <w:tc>
          <w:tcPr>
            <w:tcW w:w="63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769,8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644,9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698,2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630"/>
              </w:tabs>
              <w:spacing w:before="60"/>
              <w:ind w:right="113"/>
              <w:jc w:val="right"/>
            </w:pPr>
            <w:r w:rsidRPr="00D51628">
              <w:t>738,2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tabs>
                <w:tab w:val="left" w:pos="714"/>
              </w:tabs>
              <w:spacing w:before="60"/>
              <w:ind w:right="113"/>
              <w:jc w:val="right"/>
            </w:pPr>
            <w:r w:rsidRPr="00D51628">
              <w:t>692,4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607,6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671,3</w:t>
            </w:r>
          </w:p>
        </w:tc>
        <w:tc>
          <w:tcPr>
            <w:tcW w:w="6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right="113"/>
              <w:jc w:val="right"/>
            </w:pPr>
            <w:r w:rsidRPr="00D51628">
              <w:t>748,3</w:t>
            </w:r>
          </w:p>
        </w:tc>
        <w:tc>
          <w:tcPr>
            <w:tcW w:w="240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9877EB" w:rsidRPr="00D51628" w:rsidRDefault="009877EB" w:rsidP="00C54F65">
            <w:pPr>
              <w:spacing w:before="60"/>
              <w:ind w:left="170"/>
            </w:pPr>
            <w:proofErr w:type="spellStart"/>
            <w:r w:rsidRPr="00D51628">
              <w:rPr>
                <w:i/>
              </w:rPr>
              <w:t>Japan</w:t>
            </w:r>
            <w:proofErr w:type="spellEnd"/>
          </w:p>
        </w:tc>
      </w:tr>
    </w:tbl>
    <w:p w:rsidR="009877EB" w:rsidRPr="00D51628" w:rsidRDefault="009877EB" w:rsidP="009877EB">
      <w:pPr>
        <w:spacing w:before="60"/>
        <w:jc w:val="both"/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По данным таможенной статистики, с учетом взаимной торговли товарами с государствами-членами ЕАЭС.</w:t>
      </w:r>
    </w:p>
    <w:p w:rsidR="009877EB" w:rsidRPr="00D51628" w:rsidRDefault="009877EB" w:rsidP="009877EB">
      <w:pPr>
        <w:spacing w:before="60"/>
        <w:jc w:val="both"/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1)</w:t>
      </w:r>
      <w:r w:rsidRPr="00D51628">
        <w:rPr>
          <w:i/>
          <w:sz w:val="12"/>
          <w:szCs w:val="12"/>
          <w:lang w:val="en-US"/>
        </w:rPr>
        <w:t xml:space="preserve"> According to data of customs statistics, taking into account mutual trade in goods with the Eurasian Economic Union (EAEU) member states.</w:t>
      </w:r>
      <w:bookmarkStart w:id="0" w:name="_GoBack"/>
      <w:bookmarkEnd w:id="0"/>
    </w:p>
    <w:sectPr w:rsidR="009877EB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877EB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EB8FD-1660-4F58-BBD5-7EB527AE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3159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2020-01-23T10:06:00Z</dcterms:created>
  <dcterms:modified xsi:type="dcterms:W3CDTF">2020-01-23T10:06:00Z</dcterms:modified>
</cp:coreProperties>
</file>