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A" w:rsidRPr="006731A0" w:rsidRDefault="006731A0" w:rsidP="006731A0">
      <w:pPr>
        <w:ind w:firstLine="0"/>
        <w:jc w:val="center"/>
        <w:rPr>
          <w:u w:val="single"/>
        </w:rPr>
      </w:pPr>
      <w:r w:rsidRPr="006731A0">
        <w:rPr>
          <w:u w:val="single"/>
        </w:rPr>
        <w:t>Управление национальных счетов</w:t>
      </w:r>
    </w:p>
    <w:p w:rsidR="006731A0" w:rsidRPr="006731A0" w:rsidRDefault="006731A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Pr="006731A0" w:rsidRDefault="00130E96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ведущая</w:t>
            </w: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6731A0" w:rsidRPr="006731A0" w:rsidRDefault="006731A0" w:rsidP="006731A0">
            <w:pPr>
              <w:tabs>
                <w:tab w:val="left" w:pos="315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bookmarkStart w:id="0" w:name="_GoBack"/>
            <w:bookmarkEnd w:id="0"/>
            <w:r w:rsidRPr="006731A0">
              <w:t>- официального статистического учета и системы государственной статистики в Российской Федерации;</w:t>
            </w:r>
          </w:p>
          <w:p w:rsidR="006731A0" w:rsidRPr="006731A0" w:rsidRDefault="006731A0" w:rsidP="006731A0">
            <w:pPr>
              <w:tabs>
                <w:tab w:val="left" w:pos="261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>- основ общей теории статистики;</w:t>
            </w:r>
          </w:p>
          <w:p w:rsidR="006731A0" w:rsidRPr="006731A0" w:rsidRDefault="006731A0" w:rsidP="006731A0">
            <w:pPr>
              <w:tabs>
                <w:tab w:val="left" w:pos="261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>- основных принципов официального статистического учета;</w:t>
            </w:r>
          </w:p>
          <w:p w:rsidR="006731A0" w:rsidRPr="006731A0" w:rsidRDefault="006731A0" w:rsidP="006731A0">
            <w:pPr>
              <w:tabs>
                <w:tab w:val="left" w:pos="261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>- основ Системы национальных счетов;</w:t>
            </w:r>
          </w:p>
          <w:p w:rsidR="006731A0" w:rsidRPr="006731A0" w:rsidRDefault="006731A0" w:rsidP="006731A0">
            <w:pPr>
              <w:tabs>
                <w:tab w:val="left" w:pos="261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>- основ понятийного аппарата макро- и микроэкономики;</w:t>
            </w:r>
          </w:p>
          <w:p w:rsidR="006731A0" w:rsidRDefault="006731A0" w:rsidP="006731A0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6731A0">
              <w:rPr>
                <w:rFonts w:eastAsia="Calibri"/>
                <w:shd w:val="clear" w:color="auto" w:fill="FFFFFF"/>
                <w:lang w:eastAsia="zh-CN"/>
              </w:rPr>
              <w:t xml:space="preserve">- понятия – экономическое описание задачи по сбору и </w:t>
            </w:r>
            <w:r>
              <w:rPr>
                <w:rFonts w:eastAsia="Calibri"/>
                <w:shd w:val="clear" w:color="auto" w:fill="FFFFFF"/>
                <w:lang w:eastAsia="zh-CN"/>
              </w:rPr>
              <w:t>обработке статистических данных</w:t>
            </w:r>
          </w:p>
          <w:p w:rsidR="006731A0" w:rsidRPr="006731A0" w:rsidRDefault="006731A0" w:rsidP="006731A0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расчет агрегированных и производных статистических показателей;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 анализ и балансировка статистических данных;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 выполнение статистических расчетов с применением математических методов и технических средств;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 обеспечение сохранности и конфиденциальности первичных статистических данных.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 xml:space="preserve">- анализ итогов федеральных статистических </w:t>
            </w:r>
            <w:r w:rsidRPr="006731A0">
              <w:lastRenderedPageBreak/>
              <w:t>наблюдений, необходимых для макроэкономических расчетов;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-работа с различными источниками статистической информации.</w:t>
            </w:r>
          </w:p>
          <w:p w:rsid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- контроль качества и согласованности полученных результатов.</w:t>
            </w:r>
          </w:p>
          <w:p w:rsidR="006731A0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21579B" w:rsidRPr="006731A0" w:rsidRDefault="006731A0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«Менеджмент организации», «Прикладная информатика», «Прикладная математика и информатика», «Прикладная математика», «Мелиорация, рекультивация и охрана земель», «Математические методы и исследование операций в экономике», «Социология», «Финансы и кредит», «Экономика».</w:t>
            </w: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 годовых и квартальных оценок ВВП производственным методом;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разработка методологических положений по расчету показателей счета производства  СНС;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 годовых оценок ВРП;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расчет показателя валового накопления основного капитала;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расчет показателей внешней торговли (экспорт и импорт) в составе ВВП;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построение счетов остального мира;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составление консолидированных счетов Российской Федерации;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расчет изменения стоимости запасов материальных оборотных средств как элемента ВВП;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расчет фактического конечного потребления домашних хозяйств на территории субъектов Российской Федерации;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lastRenderedPageBreak/>
              <w:t>- разработка методологии  построения баланса активов и пассивов и счетов накопления;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подготовка электронных экономических описаний по сбору и  обработке первичных статистических данных;</w:t>
            </w:r>
          </w:p>
          <w:p w:rsidR="00130E96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</w:t>
            </w:r>
            <w:proofErr w:type="spellStart"/>
            <w:r>
              <w:t>дезагрегация</w:t>
            </w:r>
            <w:proofErr w:type="spellEnd"/>
            <w:r>
              <w:t xml:space="preserve"> компонентов расходов ВВП для проведения международных сопоставлений ВВП;</w:t>
            </w:r>
          </w:p>
          <w:p w:rsidR="0021579B" w:rsidRPr="006731A0" w:rsidRDefault="00130E96" w:rsidP="00130E96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заполнение вопросников международных организаций.</w:t>
            </w: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130E96"/>
    <w:rsid w:val="0021579B"/>
    <w:rsid w:val="006731A0"/>
    <w:rsid w:val="006E24AC"/>
    <w:rsid w:val="00E64A4C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3</cp:revision>
  <dcterms:created xsi:type="dcterms:W3CDTF">2021-03-17T06:33:00Z</dcterms:created>
  <dcterms:modified xsi:type="dcterms:W3CDTF">2021-03-17T06:33:00Z</dcterms:modified>
</cp:coreProperties>
</file>