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32" w:rsidRPr="00586ACA" w:rsidRDefault="00CB1732" w:rsidP="00CB1732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  <w:lang w:val="en-US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caps/>
          <w:sz w:val="16"/>
          <w:szCs w:val="16"/>
        </w:rPr>
        <w:t>.9</w:t>
      </w:r>
      <w:r w:rsidRPr="00D95370">
        <w:rPr>
          <w:rFonts w:ascii="Arial" w:hAnsi="Arial" w:cs="Arial"/>
          <w:b/>
          <w:bCs/>
          <w:caps/>
          <w:sz w:val="16"/>
          <w:szCs w:val="16"/>
        </w:rPr>
        <w:t xml:space="preserve">. </w:t>
      </w:r>
      <w:r w:rsidRPr="00586ACA">
        <w:rPr>
          <w:rFonts w:ascii="Arial" w:hAnsi="Arial" w:cs="Arial"/>
          <w:b/>
          <w:bCs/>
          <w:caps/>
          <w:sz w:val="16"/>
          <w:szCs w:val="16"/>
        </w:rPr>
        <w:t xml:space="preserve">Структура потребительских расходов </w:t>
      </w:r>
      <w:r w:rsidRPr="00586ACA">
        <w:rPr>
          <w:rFonts w:ascii="Arial" w:hAnsi="Arial" w:cs="Arial"/>
          <w:b/>
          <w:bCs/>
          <w:caps/>
          <w:sz w:val="16"/>
          <w:szCs w:val="16"/>
        </w:rPr>
        <w:br/>
      </w:r>
      <w:r w:rsidRPr="00586ACA">
        <w:rPr>
          <w:rFonts w:ascii="Arial" w:hAnsi="Arial" w:cs="Arial"/>
          <w:b/>
          <w:bCs/>
          <w:sz w:val="16"/>
          <w:szCs w:val="16"/>
        </w:rPr>
        <w:t xml:space="preserve">В ЗАВИСИМОСТИ ОТ УРОВНЯ СРЕДНЕДУШЕВЫХ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86ACA">
        <w:rPr>
          <w:rFonts w:ascii="Arial" w:hAnsi="Arial" w:cs="Arial"/>
          <w:b/>
          <w:bCs/>
          <w:sz w:val="16"/>
          <w:szCs w:val="16"/>
        </w:rPr>
        <w:t>РАСПОЛАГАЕМЫХ РЕСУРСОВ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86ACA">
        <w:rPr>
          <w:rFonts w:ascii="Arial" w:hAnsi="Arial" w:cs="Arial"/>
          <w:b/>
          <w:bCs/>
          <w:sz w:val="16"/>
          <w:szCs w:val="16"/>
        </w:rPr>
        <w:t>в 20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586ACA">
        <w:rPr>
          <w:rFonts w:ascii="Arial" w:hAnsi="Arial" w:cs="Arial"/>
          <w:b/>
          <w:bCs/>
          <w:sz w:val="16"/>
          <w:szCs w:val="16"/>
        </w:rPr>
        <w:t>1 г.</w:t>
      </w:r>
    </w:p>
    <w:p w:rsidR="00CB1732" w:rsidRPr="00D95370" w:rsidRDefault="00CB1732" w:rsidP="00CB1732">
      <w:pPr>
        <w:tabs>
          <w:tab w:val="center" w:pos="7655"/>
        </w:tabs>
        <w:spacing w:after="60"/>
        <w:jc w:val="center"/>
        <w:rPr>
          <w:rFonts w:ascii="Arial" w:hAnsi="Arial" w:cs="Arial"/>
          <w:strike/>
          <w:sz w:val="14"/>
          <w:szCs w:val="14"/>
          <w:highlight w:val="yellow"/>
        </w:rPr>
      </w:pPr>
      <w:r w:rsidRPr="00D95370">
        <w:rPr>
          <w:rFonts w:ascii="Arial" w:hAnsi="Arial" w:cs="Arial"/>
          <w:sz w:val="14"/>
          <w:szCs w:val="14"/>
        </w:rPr>
        <w:t>(в процентах от общего объема потребительских расходов домашних хозяйств</w:t>
      </w:r>
      <w:r>
        <w:rPr>
          <w:rFonts w:ascii="Arial" w:hAnsi="Arial" w:cs="Arial"/>
          <w:sz w:val="14"/>
          <w:szCs w:val="14"/>
        </w:rPr>
        <w:br/>
      </w:r>
      <w:r w:rsidRPr="00D95370">
        <w:rPr>
          <w:rFonts w:ascii="Arial" w:hAnsi="Arial" w:cs="Arial"/>
          <w:sz w:val="14"/>
          <w:szCs w:val="14"/>
        </w:rPr>
        <w:t>соответствующей группы)</w:t>
      </w:r>
    </w:p>
    <w:tbl>
      <w:tblPr>
        <w:tblW w:w="6586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B1732" w:rsidRPr="00AD0F85" w:rsidTr="00B242B8">
        <w:trPr>
          <w:cantSplit/>
          <w:trHeight w:val="60"/>
        </w:trPr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AD0F85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6C6BE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C6BE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  <w:highlight w:val="red"/>
              </w:rPr>
            </w:pPr>
            <w:r w:rsidRPr="00AD0F85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C6BE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C6BE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CB1732" w:rsidRPr="00AD0F85" w:rsidTr="00B242B8">
        <w:trPr>
          <w:cantSplit/>
          <w:trHeight w:val="60"/>
        </w:trPr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2" w:rsidRPr="00AD0F85" w:rsidRDefault="00CB1732" w:rsidP="00B242B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trike/>
                <w:sz w:val="12"/>
                <w:szCs w:val="12"/>
                <w:vertAlign w:val="superscript"/>
              </w:rPr>
            </w:pPr>
            <w:proofErr w:type="gramStart"/>
            <w:r w:rsidRPr="00311D28">
              <w:rPr>
                <w:rFonts w:ascii="Arial" w:hAnsi="Arial" w:cs="Arial"/>
                <w:spacing w:val="-6"/>
                <w:sz w:val="12"/>
                <w:szCs w:val="12"/>
              </w:rPr>
              <w:t>Питание</w:t>
            </w:r>
            <w:r w:rsidRPr="00311D28">
              <w:rPr>
                <w:rFonts w:ascii="Arial" w:hAnsi="Arial" w:cs="Arial"/>
                <w:spacing w:val="-6"/>
                <w:sz w:val="12"/>
                <w:szCs w:val="12"/>
                <w:vertAlign w:val="superscript"/>
              </w:rPr>
              <w:t>3</w:t>
            </w:r>
            <w:r w:rsidRPr="00AD0F85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  <w:r w:rsidRPr="00AD0F85">
              <w:rPr>
                <w:rFonts w:ascii="Arial" w:hAnsi="Arial" w:cs="Arial"/>
                <w:strike/>
                <w:sz w:val="12"/>
                <w:szCs w:val="12"/>
                <w:highlight w:val="yellow"/>
              </w:rPr>
              <w:t xml:space="preserve"> </w:t>
            </w:r>
            <w:proofErr w:type="gramEnd"/>
          </w:p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0F85">
              <w:rPr>
                <w:rFonts w:ascii="Arial" w:hAnsi="Arial" w:cs="Arial"/>
                <w:sz w:val="12"/>
                <w:szCs w:val="12"/>
              </w:rPr>
              <w:t>Покупка алк</w:t>
            </w:r>
            <w:r w:rsidRPr="00AD0F85">
              <w:rPr>
                <w:rFonts w:ascii="Arial" w:hAnsi="Arial" w:cs="Arial"/>
                <w:sz w:val="12"/>
                <w:szCs w:val="12"/>
              </w:rPr>
              <w:t>о</w:t>
            </w:r>
            <w:r w:rsidRPr="00AD0F85">
              <w:rPr>
                <w:rFonts w:ascii="Arial" w:hAnsi="Arial" w:cs="Arial"/>
                <w:sz w:val="12"/>
                <w:szCs w:val="12"/>
              </w:rPr>
              <w:t xml:space="preserve">гольных </w:t>
            </w:r>
            <w:proofErr w:type="gramStart"/>
            <w:r w:rsidRPr="00AD0F85">
              <w:rPr>
                <w:rFonts w:ascii="Arial" w:hAnsi="Arial" w:cs="Arial"/>
                <w:sz w:val="12"/>
                <w:szCs w:val="12"/>
              </w:rPr>
              <w:t>напит-ков</w:t>
            </w:r>
            <w:proofErr w:type="gramEnd"/>
            <w:r w:rsidRPr="00AD0F85">
              <w:rPr>
                <w:rFonts w:ascii="Arial" w:hAnsi="Arial" w:cs="Arial"/>
                <w:sz w:val="12"/>
                <w:szCs w:val="12"/>
              </w:rPr>
              <w:t>, т</w:t>
            </w:r>
            <w:r w:rsidRPr="00AD0F85">
              <w:rPr>
                <w:rFonts w:ascii="Arial" w:hAnsi="Arial" w:cs="Arial"/>
                <w:sz w:val="12"/>
                <w:szCs w:val="12"/>
              </w:rPr>
              <w:t>а</w:t>
            </w:r>
            <w:r w:rsidRPr="00AD0F85">
              <w:rPr>
                <w:rFonts w:ascii="Arial" w:hAnsi="Arial" w:cs="Arial"/>
                <w:sz w:val="12"/>
                <w:szCs w:val="12"/>
              </w:rPr>
              <w:t>бачных изделий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0F85">
              <w:rPr>
                <w:rFonts w:ascii="Arial" w:hAnsi="Arial" w:cs="Arial"/>
                <w:sz w:val="12"/>
                <w:szCs w:val="12"/>
              </w:rPr>
              <w:t xml:space="preserve">Покупка </w:t>
            </w:r>
            <w:proofErr w:type="spellStart"/>
            <w:r w:rsidRPr="00AD0F85">
              <w:rPr>
                <w:rFonts w:ascii="Arial" w:hAnsi="Arial" w:cs="Arial"/>
                <w:sz w:val="12"/>
                <w:szCs w:val="12"/>
              </w:rPr>
              <w:t>непродо</w:t>
            </w:r>
            <w:proofErr w:type="spellEnd"/>
            <w:r w:rsidRPr="00AD0F85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D0F85">
              <w:rPr>
                <w:rFonts w:ascii="Arial" w:hAnsi="Arial" w:cs="Arial"/>
                <w:sz w:val="12"/>
                <w:szCs w:val="12"/>
              </w:rPr>
              <w:t>вольст</w:t>
            </w:r>
            <w:proofErr w:type="spellEnd"/>
            <w:r w:rsidRPr="00AD0F85">
              <w:rPr>
                <w:rFonts w:ascii="Arial" w:hAnsi="Arial" w:cs="Arial"/>
                <w:sz w:val="12"/>
                <w:szCs w:val="12"/>
              </w:rPr>
              <w:t>-венных товаров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0F85">
              <w:rPr>
                <w:rFonts w:ascii="Arial" w:hAnsi="Arial" w:cs="Arial"/>
                <w:sz w:val="12"/>
                <w:szCs w:val="12"/>
              </w:rPr>
              <w:t>Оплата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311D28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trike/>
                <w:spacing w:val="-6"/>
                <w:sz w:val="12"/>
                <w:szCs w:val="12"/>
                <w:vertAlign w:val="superscript"/>
              </w:rPr>
            </w:pPr>
            <w:proofErr w:type="gramStart"/>
            <w:r w:rsidRPr="00311D28">
              <w:rPr>
                <w:rFonts w:ascii="Arial" w:hAnsi="Arial" w:cs="Arial"/>
                <w:spacing w:val="-6"/>
                <w:sz w:val="12"/>
                <w:szCs w:val="12"/>
              </w:rPr>
              <w:t>Питание</w:t>
            </w:r>
            <w:r w:rsidRPr="00311D28">
              <w:rPr>
                <w:rFonts w:ascii="Arial" w:hAnsi="Arial" w:cs="Arial"/>
                <w:spacing w:val="-6"/>
                <w:sz w:val="12"/>
                <w:szCs w:val="12"/>
                <w:vertAlign w:val="superscript"/>
              </w:rPr>
              <w:t>3)</w:t>
            </w:r>
            <w:r w:rsidRPr="00311D28">
              <w:rPr>
                <w:rFonts w:ascii="Arial" w:hAnsi="Arial" w:cs="Arial"/>
                <w:strike/>
                <w:spacing w:val="-6"/>
                <w:sz w:val="12"/>
                <w:szCs w:val="12"/>
                <w:highlight w:val="yellow"/>
              </w:rPr>
              <w:t xml:space="preserve"> </w:t>
            </w:r>
            <w:proofErr w:type="gramEnd"/>
          </w:p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0F85">
              <w:rPr>
                <w:rFonts w:ascii="Arial" w:hAnsi="Arial" w:cs="Arial"/>
                <w:sz w:val="12"/>
                <w:szCs w:val="12"/>
              </w:rPr>
              <w:t>Покупка алк</w:t>
            </w:r>
            <w:r w:rsidRPr="00AD0F85">
              <w:rPr>
                <w:rFonts w:ascii="Arial" w:hAnsi="Arial" w:cs="Arial"/>
                <w:sz w:val="12"/>
                <w:szCs w:val="12"/>
              </w:rPr>
              <w:t>о</w:t>
            </w:r>
            <w:r w:rsidRPr="00AD0F85">
              <w:rPr>
                <w:rFonts w:ascii="Arial" w:hAnsi="Arial" w:cs="Arial"/>
                <w:sz w:val="12"/>
                <w:szCs w:val="12"/>
              </w:rPr>
              <w:t>гольных напитков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0F85">
              <w:rPr>
                <w:rFonts w:ascii="Arial" w:hAnsi="Arial" w:cs="Arial"/>
                <w:sz w:val="12"/>
                <w:szCs w:val="12"/>
              </w:rPr>
              <w:t xml:space="preserve">Покупка </w:t>
            </w:r>
            <w:proofErr w:type="spellStart"/>
            <w:r w:rsidRPr="00AD0F85">
              <w:rPr>
                <w:rFonts w:ascii="Arial" w:hAnsi="Arial" w:cs="Arial"/>
                <w:sz w:val="12"/>
                <w:szCs w:val="12"/>
              </w:rPr>
              <w:t>непродо</w:t>
            </w:r>
            <w:proofErr w:type="spellEnd"/>
            <w:r w:rsidRPr="00AD0F85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D0F85">
              <w:rPr>
                <w:rFonts w:ascii="Arial" w:hAnsi="Arial" w:cs="Arial"/>
                <w:sz w:val="12"/>
                <w:szCs w:val="12"/>
              </w:rPr>
              <w:t>вольст</w:t>
            </w:r>
            <w:proofErr w:type="spellEnd"/>
            <w:r w:rsidRPr="00AD0F85">
              <w:rPr>
                <w:rFonts w:ascii="Arial" w:hAnsi="Arial" w:cs="Arial"/>
                <w:sz w:val="12"/>
                <w:szCs w:val="12"/>
              </w:rPr>
              <w:t>-венных товаров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732" w:rsidRPr="00AD0F85" w:rsidRDefault="00CB1732" w:rsidP="00B242B8">
            <w:pPr>
              <w:tabs>
                <w:tab w:val="center" w:pos="7655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0F85">
              <w:rPr>
                <w:rFonts w:ascii="Arial" w:hAnsi="Arial" w:cs="Arial"/>
                <w:sz w:val="12"/>
                <w:szCs w:val="12"/>
              </w:rPr>
              <w:t>Оплата услуг</w:t>
            </w:r>
          </w:p>
        </w:tc>
      </w:tr>
      <w:tr w:rsidR="00CB1732" w:rsidRPr="00D95370" w:rsidTr="00B242B8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outlineLvl w:val="0"/>
              <w:rPr>
                <w:rFonts w:ascii="Arial" w:hAnsi="Arial" w:cs="Arial"/>
                <w:b/>
                <w:strike/>
                <w:sz w:val="14"/>
                <w:szCs w:val="14"/>
                <w:highlight w:val="yellow"/>
                <w:u w:val="single"/>
              </w:rPr>
            </w:pPr>
            <w:r w:rsidRPr="00377E9F">
              <w:rPr>
                <w:rFonts w:ascii="Arial" w:hAnsi="Arial" w:cs="Arial"/>
                <w:bCs/>
                <w:spacing w:val="-2"/>
                <w:sz w:val="14"/>
                <w:szCs w:val="14"/>
              </w:rPr>
              <w:t>Все домашние хозяйства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CB1732" w:rsidRPr="00D95370" w:rsidTr="00B242B8">
        <w:trPr>
          <w:trHeight w:val="27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284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77E9F">
              <w:rPr>
                <w:rFonts w:ascii="Arial" w:hAnsi="Arial" w:cs="Arial"/>
                <w:bCs/>
                <w:spacing w:val="-2"/>
                <w:sz w:val="14"/>
                <w:szCs w:val="14"/>
              </w:rPr>
              <w:t xml:space="preserve">Домашние хозяйства </w:t>
            </w:r>
            <w:r w:rsidRPr="00377E9F">
              <w:rPr>
                <w:rFonts w:ascii="Arial" w:hAnsi="Arial" w:cs="Arial"/>
                <w:bCs/>
                <w:spacing w:val="-2"/>
                <w:sz w:val="14"/>
                <w:szCs w:val="14"/>
              </w:rPr>
              <w:br/>
              <w:t xml:space="preserve">по 10-процентным группам: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 xml:space="preserve">первая (с наименьшими </w:t>
            </w: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377E9F">
              <w:rPr>
                <w:rFonts w:ascii="Arial" w:hAnsi="Arial" w:cs="Arial"/>
                <w:spacing w:val="-3"/>
                <w:sz w:val="14"/>
                <w:szCs w:val="14"/>
              </w:rPr>
              <w:t>располагаемыми ресурсам</w:t>
            </w: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и)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вторая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третья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четвертая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пятая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шестая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седьмая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восьмая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девятая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CB1732" w:rsidRPr="00D95370" w:rsidTr="00B242B8">
        <w:trPr>
          <w:trHeight w:val="60"/>
        </w:trPr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tabs>
                <w:tab w:val="center" w:pos="7655"/>
              </w:tabs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десятая (с наибольшими ра</w:t>
            </w: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с</w:t>
            </w: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>полагаемыми ресурсами)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1732" w:rsidRPr="00377E9F" w:rsidRDefault="00CB1732" w:rsidP="00B242B8">
            <w:pPr>
              <w:autoSpaceDE w:val="0"/>
              <w:autoSpaceDN w:val="0"/>
              <w:adjustRightInd w:val="0"/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</w:tbl>
    <w:p w:rsidR="00CB1732" w:rsidRPr="00586ACA" w:rsidRDefault="00CB1732" w:rsidP="00CB1732">
      <w:pPr>
        <w:spacing w:before="60"/>
        <w:ind w:left="113" w:hanging="113"/>
        <w:jc w:val="both"/>
        <w:rPr>
          <w:rFonts w:ascii="Arial" w:hAnsi="Arial" w:cs="Arial"/>
          <w:b/>
          <w:sz w:val="12"/>
          <w:szCs w:val="12"/>
        </w:rPr>
      </w:pPr>
      <w:r w:rsidRPr="00586ACA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b/>
          <w:sz w:val="12"/>
          <w:szCs w:val="12"/>
        </w:rPr>
        <w:t> </w:t>
      </w:r>
      <w:r w:rsidRPr="00586ACA">
        <w:rPr>
          <w:rFonts w:ascii="Arial" w:hAnsi="Arial" w:cs="Arial"/>
          <w:sz w:val="12"/>
          <w:szCs w:val="12"/>
        </w:rPr>
        <w:t xml:space="preserve">Здесь и далее. По Беларуси </w:t>
      </w:r>
      <w:r>
        <w:rPr>
          <w:rFonts w:ascii="Calibri" w:hAnsi="Calibri" w:cs="Calibri"/>
          <w:sz w:val="12"/>
          <w:szCs w:val="12"/>
        </w:rPr>
        <w:t>–</w:t>
      </w:r>
      <w:r w:rsidRPr="00586ACA">
        <w:rPr>
          <w:rFonts w:ascii="Arial" w:hAnsi="Arial" w:cs="Arial"/>
          <w:sz w:val="12"/>
          <w:szCs w:val="12"/>
        </w:rPr>
        <w:t xml:space="preserve"> при формировании </w:t>
      </w:r>
      <w:proofErr w:type="spellStart"/>
      <w:r w:rsidRPr="00586ACA">
        <w:rPr>
          <w:rFonts w:ascii="Arial" w:hAnsi="Arial" w:cs="Arial"/>
          <w:sz w:val="12"/>
          <w:szCs w:val="12"/>
        </w:rPr>
        <w:t>децильных</w:t>
      </w:r>
      <w:proofErr w:type="spellEnd"/>
      <w:r w:rsidRPr="00586ACA">
        <w:rPr>
          <w:rFonts w:ascii="Arial" w:hAnsi="Arial" w:cs="Arial"/>
          <w:sz w:val="12"/>
          <w:szCs w:val="12"/>
        </w:rPr>
        <w:t xml:space="preserve"> групп домашние хозяйства ранжируются по уровню среднедушевых располагаемых ресурсов.</w:t>
      </w:r>
    </w:p>
    <w:p w:rsidR="00CB1732" w:rsidRDefault="00CB1732" w:rsidP="00CB1732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586ACA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</w:t>
      </w:r>
      <w:r w:rsidRPr="00586ACA">
        <w:rPr>
          <w:rFonts w:ascii="Arial" w:hAnsi="Arial" w:cs="Arial"/>
          <w:sz w:val="12"/>
          <w:szCs w:val="12"/>
        </w:rPr>
        <w:t xml:space="preserve">Здесь и далее. Формирование </w:t>
      </w:r>
      <w:proofErr w:type="spellStart"/>
      <w:r w:rsidRPr="00586ACA">
        <w:rPr>
          <w:rFonts w:ascii="Arial" w:hAnsi="Arial" w:cs="Arial"/>
          <w:sz w:val="12"/>
          <w:szCs w:val="12"/>
        </w:rPr>
        <w:t>децильных</w:t>
      </w:r>
      <w:proofErr w:type="spellEnd"/>
      <w:r w:rsidRPr="00586ACA">
        <w:rPr>
          <w:rFonts w:ascii="Arial" w:hAnsi="Arial" w:cs="Arial"/>
          <w:sz w:val="12"/>
          <w:szCs w:val="12"/>
        </w:rPr>
        <w:t xml:space="preserve"> групп до 2016 г. производилось раздельно по городскому и сельскому населению. В целом по всему населению отдельного региона и России производилась </w:t>
      </w:r>
      <w:proofErr w:type="spellStart"/>
      <w:r w:rsidRPr="00586ACA">
        <w:rPr>
          <w:rFonts w:ascii="Arial" w:hAnsi="Arial" w:cs="Arial"/>
          <w:sz w:val="12"/>
          <w:szCs w:val="12"/>
        </w:rPr>
        <w:t>суммировка</w:t>
      </w:r>
      <w:proofErr w:type="spellEnd"/>
      <w:r w:rsidRPr="00586ACA">
        <w:rPr>
          <w:rFonts w:ascii="Arial" w:hAnsi="Arial" w:cs="Arial"/>
          <w:sz w:val="12"/>
          <w:szCs w:val="12"/>
        </w:rPr>
        <w:t xml:space="preserve"> в пределах каждой </w:t>
      </w:r>
      <w:proofErr w:type="spellStart"/>
      <w:r w:rsidRPr="00586ACA">
        <w:rPr>
          <w:rFonts w:ascii="Arial" w:hAnsi="Arial" w:cs="Arial"/>
          <w:sz w:val="12"/>
          <w:szCs w:val="12"/>
        </w:rPr>
        <w:t>децильной</w:t>
      </w:r>
      <w:proofErr w:type="spellEnd"/>
      <w:r w:rsidRPr="00586ACA">
        <w:rPr>
          <w:rFonts w:ascii="Arial" w:hAnsi="Arial" w:cs="Arial"/>
          <w:sz w:val="12"/>
          <w:szCs w:val="12"/>
        </w:rPr>
        <w:t xml:space="preserve"> группы. С 2016 г. формирование осуществляется на основе объединенного массива по России в целом.</w:t>
      </w:r>
    </w:p>
    <w:p w:rsidR="00CB1732" w:rsidRPr="00586ACA" w:rsidRDefault="00CB1732" w:rsidP="00CB1732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586ACA">
        <w:rPr>
          <w:rFonts w:ascii="Arial" w:hAnsi="Arial" w:cs="Arial"/>
          <w:sz w:val="12"/>
          <w:szCs w:val="12"/>
          <w:vertAlign w:val="superscript"/>
        </w:rPr>
        <w:t>3)</w:t>
      </w:r>
      <w:r w:rsidRPr="00311D28">
        <w:rPr>
          <w:rFonts w:ascii="Arial" w:hAnsi="Arial" w:cs="Arial"/>
          <w:sz w:val="12"/>
          <w:szCs w:val="12"/>
        </w:rPr>
        <w:t> </w:t>
      </w:r>
      <w:r w:rsidRPr="00586ACA">
        <w:rPr>
          <w:rFonts w:ascii="Arial" w:hAnsi="Arial" w:cs="Arial"/>
          <w:sz w:val="12"/>
          <w:szCs w:val="12"/>
        </w:rPr>
        <w:t>Включая питание вне дома.</w:t>
      </w:r>
    </w:p>
    <w:p w:rsidR="007C03A1" w:rsidRPr="00CB1732" w:rsidRDefault="007C03A1" w:rsidP="00CB1732"/>
    <w:sectPr w:rsidR="007C03A1" w:rsidRPr="00CB1732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CB173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B17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67F6-EF6B-48C5-9C8A-E202393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35</cp:revision>
  <cp:lastPrinted>2022-12-12T12:48:00Z</cp:lastPrinted>
  <dcterms:created xsi:type="dcterms:W3CDTF">2022-12-13T07:44:00Z</dcterms:created>
  <dcterms:modified xsi:type="dcterms:W3CDTF">2022-12-13T11:33:00Z</dcterms:modified>
</cp:coreProperties>
</file>