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CE" w:rsidRPr="00CF42BF" w:rsidRDefault="005133CE" w:rsidP="005133CE">
      <w:pPr>
        <w:pStyle w:val="ZAGG"/>
        <w:suppressAutoHyphens w:val="0"/>
        <w:spacing w:after="60"/>
        <w:rPr>
          <w:color w:val="auto"/>
        </w:rPr>
      </w:pPr>
      <w:r>
        <w:rPr>
          <w:color w:val="auto"/>
        </w:rPr>
        <w:t>10.3</w:t>
      </w:r>
      <w:r w:rsidRPr="003F1457">
        <w:rPr>
          <w:color w:val="auto"/>
        </w:rPr>
        <w:t>.</w:t>
      </w:r>
      <w:r w:rsidRPr="00CF42BF">
        <w:rPr>
          <w:color w:val="auto"/>
        </w:rPr>
        <w:t xml:space="preserve"> Коэффициенты обновления, выбытия </w:t>
      </w:r>
      <w:r w:rsidRPr="00CF42BF">
        <w:rPr>
          <w:color w:val="auto"/>
        </w:rPr>
        <w:br/>
        <w:t>и степень износа основных фондов</w:t>
      </w:r>
      <w:r w:rsidRPr="00CF42BF">
        <w:rPr>
          <w:color w:val="auto"/>
          <w:vertAlign w:val="superscript"/>
        </w:rPr>
        <w:t xml:space="preserve"> </w:t>
      </w:r>
      <w:r w:rsidRPr="00CF42BF">
        <w:rPr>
          <w:color w:val="auto"/>
        </w:rPr>
        <w:t>(СРЕДСТВ)</w:t>
      </w:r>
      <w:r w:rsidRPr="00CF42BF">
        <w:rPr>
          <w:b w:val="0"/>
          <w:color w:val="auto"/>
          <w:vertAlign w:val="superscript"/>
        </w:rPr>
        <w:t>1)</w:t>
      </w:r>
    </w:p>
    <w:tbl>
      <w:tblPr>
        <w:tblW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663"/>
        <w:gridCol w:w="663"/>
        <w:gridCol w:w="663"/>
        <w:gridCol w:w="663"/>
        <w:gridCol w:w="663"/>
        <w:gridCol w:w="663"/>
        <w:gridCol w:w="663"/>
      </w:tblGrid>
      <w:tr w:rsidR="005133CE" w:rsidRPr="00CF42BF" w:rsidTr="00273F58">
        <w:trPr>
          <w:trHeight w:val="173"/>
        </w:trPr>
        <w:tc>
          <w:tcPr>
            <w:tcW w:w="1938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33CE" w:rsidRPr="00CF42BF" w:rsidRDefault="005133CE" w:rsidP="00273F58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CE" w:rsidRPr="00CF42BF" w:rsidRDefault="005133CE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2BF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CE" w:rsidRPr="00CF42BF" w:rsidRDefault="005133CE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2BF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CE" w:rsidRPr="007B35AB" w:rsidRDefault="005133CE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CE" w:rsidRPr="00CB601E" w:rsidRDefault="005133CE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601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CE" w:rsidRPr="00CB601E" w:rsidRDefault="005133CE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601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33CE" w:rsidRPr="00CB601E" w:rsidRDefault="005133CE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3CE" w:rsidRPr="00CB601E" w:rsidRDefault="005133CE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133CE" w:rsidRPr="00CF42BF" w:rsidTr="00273F58">
        <w:tc>
          <w:tcPr>
            <w:tcW w:w="193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CF42BF" w:rsidRDefault="005133CE" w:rsidP="00273F58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CF42BF">
              <w:rPr>
                <w:rFonts w:ascii="Arial" w:hAnsi="Arial" w:cs="Arial"/>
                <w:sz w:val="14"/>
                <w:szCs w:val="14"/>
              </w:rPr>
              <w:t xml:space="preserve">Коэффициент обновления </w:t>
            </w:r>
            <w:r w:rsidRPr="00CF42BF">
              <w:rPr>
                <w:rFonts w:ascii="Arial" w:hAnsi="Arial" w:cs="Arial"/>
                <w:sz w:val="14"/>
                <w:szCs w:val="14"/>
              </w:rPr>
              <w:br/>
              <w:t>(ввод в действие основных фондов (средств)</w:t>
            </w:r>
            <w:r w:rsidRPr="00CF42BF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CF42BF">
              <w:rPr>
                <w:rFonts w:ascii="Arial" w:hAnsi="Arial" w:cs="Arial"/>
                <w:sz w:val="14"/>
                <w:szCs w:val="14"/>
              </w:rPr>
              <w:t xml:space="preserve"> в проце</w:t>
            </w:r>
            <w:r w:rsidRPr="00CF42BF">
              <w:rPr>
                <w:rFonts w:ascii="Arial" w:hAnsi="Arial" w:cs="Arial"/>
                <w:sz w:val="14"/>
                <w:szCs w:val="14"/>
              </w:rPr>
              <w:t>н</w:t>
            </w:r>
            <w:r w:rsidRPr="00CF42BF">
              <w:rPr>
                <w:rFonts w:ascii="Arial" w:hAnsi="Arial" w:cs="Arial"/>
                <w:sz w:val="14"/>
                <w:szCs w:val="14"/>
              </w:rPr>
              <w:t xml:space="preserve">тах от общей стоимости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F42BF">
              <w:rPr>
                <w:rFonts w:ascii="Arial" w:hAnsi="Arial" w:cs="Arial"/>
                <w:sz w:val="14"/>
                <w:szCs w:val="14"/>
              </w:rPr>
              <w:t>основных фондов (средств) на конец года)</w:t>
            </w:r>
          </w:p>
        </w:tc>
        <w:tc>
          <w:tcPr>
            <w:tcW w:w="66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133CE" w:rsidRPr="00CF42BF" w:rsidTr="00273F58">
        <w:trPr>
          <w:trHeight w:val="60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CF42BF" w:rsidRDefault="005133CE" w:rsidP="00273F58">
            <w:pPr>
              <w:spacing w:before="2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F42B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autoSpaceDE/>
              <w:adjustRightInd/>
              <w:spacing w:before="200" w:line="240" w:lineRule="auto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5,0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autoSpaceDE/>
              <w:adjustRightInd/>
              <w:spacing w:before="200" w:line="240" w:lineRule="auto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5,7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5,4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6,0</w:t>
            </w:r>
          </w:p>
        </w:tc>
      </w:tr>
      <w:tr w:rsidR="005133CE" w:rsidRPr="00CF42BF" w:rsidTr="00273F58">
        <w:trPr>
          <w:trHeight w:val="60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CF42BF" w:rsidRDefault="005133CE" w:rsidP="00273F58">
            <w:pPr>
              <w:spacing w:before="2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F42B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3,0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3,7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autoSpaceDE/>
              <w:adjustRightInd/>
              <w:spacing w:before="200" w:line="240" w:lineRule="auto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3,9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4,0</w:t>
            </w:r>
          </w:p>
        </w:tc>
      </w:tr>
      <w:tr w:rsidR="005133CE" w:rsidRPr="00CF42BF" w:rsidTr="00273F58">
        <w:trPr>
          <w:trHeight w:val="60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CF42BF" w:rsidRDefault="005133CE" w:rsidP="00273F58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CF42BF">
              <w:rPr>
                <w:rFonts w:ascii="Arial" w:hAnsi="Arial" w:cs="Arial"/>
                <w:sz w:val="14"/>
                <w:szCs w:val="14"/>
              </w:rPr>
              <w:t>Коэффициент выбытия</w:t>
            </w:r>
            <w:r w:rsidRPr="00CF42BF">
              <w:rPr>
                <w:rFonts w:ascii="Arial" w:hAnsi="Arial" w:cs="Arial"/>
                <w:sz w:val="14"/>
                <w:szCs w:val="14"/>
              </w:rPr>
              <w:br/>
              <w:t xml:space="preserve">(ликвидация основных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F42BF">
              <w:rPr>
                <w:rFonts w:ascii="Arial" w:hAnsi="Arial" w:cs="Arial"/>
                <w:sz w:val="14"/>
                <w:szCs w:val="14"/>
              </w:rPr>
              <w:t>фондов (средств)</w:t>
            </w:r>
            <w:r w:rsidRPr="00CF42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2) </w:t>
            </w:r>
            <w:r w:rsidRPr="00CF42B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F42BF">
              <w:rPr>
                <w:rFonts w:ascii="Arial" w:hAnsi="Arial" w:cs="Arial"/>
                <w:sz w:val="14"/>
                <w:szCs w:val="14"/>
              </w:rPr>
              <w:t xml:space="preserve">в процентах от общей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F42BF">
              <w:rPr>
                <w:rFonts w:ascii="Arial" w:hAnsi="Arial" w:cs="Arial"/>
                <w:sz w:val="14"/>
                <w:szCs w:val="14"/>
              </w:rPr>
              <w:t>стоимости основных фондов (средств) на начало года)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133CE" w:rsidRPr="00CF42BF" w:rsidTr="00273F58">
        <w:trPr>
          <w:trHeight w:val="60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CF42BF" w:rsidRDefault="005133CE" w:rsidP="00273F58">
            <w:pPr>
              <w:spacing w:before="2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F42B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autoSpaceDE/>
              <w:adjustRightInd/>
              <w:spacing w:before="200" w:line="240" w:lineRule="auto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autoSpaceDE/>
              <w:adjustRightInd/>
              <w:spacing w:before="200" w:line="240" w:lineRule="auto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</w:tr>
      <w:tr w:rsidR="005133CE" w:rsidRPr="00CF42BF" w:rsidTr="00273F58">
        <w:trPr>
          <w:trHeight w:val="133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CF42BF" w:rsidRDefault="005133CE" w:rsidP="00273F58">
            <w:pPr>
              <w:spacing w:before="2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F42B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</w:t>
            </w: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0,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</w:tr>
      <w:tr w:rsidR="005133CE" w:rsidRPr="00CF42BF" w:rsidTr="00273F58">
        <w:trPr>
          <w:trHeight w:val="60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CF42BF" w:rsidRDefault="005133CE" w:rsidP="00273F58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CF42BF">
              <w:rPr>
                <w:rFonts w:ascii="Arial" w:hAnsi="Arial" w:cs="Arial"/>
                <w:sz w:val="14"/>
                <w:szCs w:val="14"/>
              </w:rPr>
              <w:t>Степень износа основных фондов (средств)</w:t>
            </w:r>
            <w:r w:rsidRPr="00CF42BF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F42BF">
              <w:rPr>
                <w:rFonts w:ascii="Arial" w:hAnsi="Arial" w:cs="Arial"/>
                <w:sz w:val="14"/>
                <w:szCs w:val="14"/>
              </w:rPr>
              <w:t>(на конец года), процентов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133CE" w:rsidRPr="00CF42BF" w:rsidTr="00273F58">
        <w:trPr>
          <w:trHeight w:val="60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CF42BF" w:rsidRDefault="005133CE" w:rsidP="00273F58">
            <w:pPr>
              <w:spacing w:before="2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F42B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50,7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autoSpaceDE/>
              <w:adjustRightInd/>
              <w:spacing w:before="200" w:line="240" w:lineRule="auto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42,1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pStyle w:val="Noparagraphstyle"/>
              <w:autoSpaceDE/>
              <w:adjustRightInd/>
              <w:spacing w:before="200" w:line="240" w:lineRule="auto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36,7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38,8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40,4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40,7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40,7</w:t>
            </w:r>
          </w:p>
        </w:tc>
      </w:tr>
      <w:tr w:rsidR="005133CE" w:rsidRPr="00CF42BF" w:rsidTr="00273F58">
        <w:trPr>
          <w:trHeight w:val="60"/>
        </w:trPr>
        <w:tc>
          <w:tcPr>
            <w:tcW w:w="1938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5133CE" w:rsidRPr="00CF42BF" w:rsidRDefault="005133CE" w:rsidP="00273F58">
            <w:pPr>
              <w:spacing w:before="2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F42B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45,2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</w:t>
            </w: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47,7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46,6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37,8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39,0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5133CE" w:rsidRPr="00B03513" w:rsidRDefault="005133CE" w:rsidP="00273F58">
            <w:pPr>
              <w:spacing w:before="20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40,5</w:t>
            </w:r>
          </w:p>
        </w:tc>
      </w:tr>
    </w:tbl>
    <w:p w:rsidR="005133CE" w:rsidRPr="00AD3D5F" w:rsidRDefault="005133CE" w:rsidP="005133CE">
      <w:pPr>
        <w:spacing w:before="40"/>
        <w:ind w:left="113" w:hanging="113"/>
        <w:jc w:val="both"/>
        <w:rPr>
          <w:rFonts w:ascii="Arial" w:hAnsi="Arial" w:cs="Arial"/>
          <w:sz w:val="12"/>
          <w:szCs w:val="12"/>
        </w:rPr>
      </w:pPr>
      <w:proofErr w:type="gramStart"/>
      <w:r w:rsidRPr="00B03513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B03513">
        <w:rPr>
          <w:rFonts w:ascii="Arial" w:hAnsi="Arial" w:cs="Arial"/>
          <w:color w:val="000000" w:themeColor="text1"/>
          <w:sz w:val="12"/>
          <w:szCs w:val="12"/>
        </w:rPr>
        <w:t> </w:t>
      </w:r>
      <w:r w:rsidRPr="00AD3D5F">
        <w:rPr>
          <w:rFonts w:ascii="Arial" w:hAnsi="Arial" w:cs="Arial"/>
          <w:sz w:val="12"/>
          <w:szCs w:val="12"/>
        </w:rPr>
        <w:t xml:space="preserve">По России коэффициенты обновления и выбытия приведены: 2005, 2010 гг. – в сопоставимых ценах 2000 г., </w:t>
      </w:r>
      <w:r w:rsidRPr="00AD3D5F">
        <w:rPr>
          <w:rFonts w:ascii="Arial" w:hAnsi="Arial" w:cs="Arial"/>
          <w:sz w:val="12"/>
          <w:szCs w:val="12"/>
        </w:rPr>
        <w:br/>
        <w:t>начиная с 2015</w:t>
      </w:r>
      <w:r w:rsidRPr="00AD3D5F">
        <w:rPr>
          <w:rFonts w:ascii="Arial" w:hAnsi="Arial" w:cs="Arial"/>
          <w:sz w:val="12"/>
          <w:szCs w:val="12"/>
          <w:lang w:val="en-US"/>
        </w:rPr>
        <w:t> </w:t>
      </w:r>
      <w:r w:rsidRPr="00AD3D5F">
        <w:rPr>
          <w:rFonts w:ascii="Arial" w:hAnsi="Arial" w:cs="Arial"/>
          <w:sz w:val="12"/>
          <w:szCs w:val="12"/>
        </w:rPr>
        <w:t>г. – в сопоставимых ценах 2010</w:t>
      </w:r>
      <w:r w:rsidRPr="00AD3D5F">
        <w:rPr>
          <w:rFonts w:ascii="Arial" w:hAnsi="Arial" w:cs="Arial"/>
          <w:sz w:val="12"/>
          <w:szCs w:val="12"/>
          <w:lang w:val="en-US"/>
        </w:rPr>
        <w:t> </w:t>
      </w:r>
      <w:r w:rsidRPr="00AD3D5F">
        <w:rPr>
          <w:rFonts w:ascii="Arial" w:hAnsi="Arial" w:cs="Arial"/>
          <w:sz w:val="12"/>
          <w:szCs w:val="12"/>
        </w:rPr>
        <w:t>г.; начиная с 2020</w:t>
      </w:r>
      <w:r w:rsidRPr="00AD3D5F">
        <w:rPr>
          <w:rFonts w:ascii="Arial" w:hAnsi="Arial" w:cs="Arial"/>
          <w:sz w:val="12"/>
          <w:szCs w:val="12"/>
          <w:lang w:val="en-US"/>
        </w:rPr>
        <w:t> </w:t>
      </w:r>
      <w:r w:rsidRPr="00AD3D5F">
        <w:rPr>
          <w:rFonts w:ascii="Arial" w:hAnsi="Arial" w:cs="Arial"/>
          <w:sz w:val="12"/>
          <w:szCs w:val="12"/>
        </w:rPr>
        <w:t>г. – в сопоставимых ценах 2020</w:t>
      </w:r>
      <w:r w:rsidRPr="00AD3D5F">
        <w:rPr>
          <w:rFonts w:ascii="Arial" w:hAnsi="Arial" w:cs="Arial"/>
          <w:sz w:val="12"/>
          <w:szCs w:val="12"/>
          <w:lang w:val="en-US"/>
        </w:rPr>
        <w:t> </w:t>
      </w:r>
      <w:r w:rsidRPr="00AD3D5F">
        <w:rPr>
          <w:rFonts w:ascii="Arial" w:hAnsi="Arial" w:cs="Arial"/>
          <w:sz w:val="12"/>
          <w:szCs w:val="12"/>
        </w:rPr>
        <w:t xml:space="preserve">г.; </w:t>
      </w:r>
      <w:r w:rsidRPr="00AD3D5F">
        <w:rPr>
          <w:rFonts w:ascii="Arial" w:hAnsi="Arial" w:cs="Arial"/>
          <w:sz w:val="12"/>
          <w:szCs w:val="12"/>
        </w:rPr>
        <w:br/>
        <w:t xml:space="preserve">по Беларуси – за 2005 г. – в ценах 2000 г., 2010, 2015 гг. – в ценах </w:t>
      </w:r>
      <w:smartTag w:uri="urn:schemas-microsoft-com:office:smarttags" w:element="metricconverter">
        <w:smartTagPr>
          <w:attr w:name="ProductID" w:val="2009 г"/>
        </w:smartTagPr>
        <w:r w:rsidRPr="00AD3D5F">
          <w:rPr>
            <w:rFonts w:ascii="Arial" w:hAnsi="Arial" w:cs="Arial"/>
            <w:sz w:val="12"/>
            <w:szCs w:val="12"/>
          </w:rPr>
          <w:t>2009 г</w:t>
        </w:r>
      </w:smartTag>
      <w:r w:rsidRPr="00AD3D5F">
        <w:rPr>
          <w:rFonts w:ascii="Arial" w:hAnsi="Arial" w:cs="Arial"/>
          <w:sz w:val="12"/>
          <w:szCs w:val="12"/>
        </w:rPr>
        <w:t xml:space="preserve">., 2018 г., 2019 г. – в ценах 2014 г., </w:t>
      </w:r>
      <w:r w:rsidRPr="00AD3D5F">
        <w:rPr>
          <w:rFonts w:ascii="Arial" w:hAnsi="Arial" w:cs="Arial"/>
          <w:sz w:val="12"/>
          <w:szCs w:val="12"/>
        </w:rPr>
        <w:br/>
        <w:t>начиная с</w:t>
      </w:r>
      <w:proofErr w:type="gramEnd"/>
      <w:r w:rsidRPr="00AD3D5F">
        <w:rPr>
          <w:rFonts w:ascii="Arial" w:hAnsi="Arial" w:cs="Arial"/>
          <w:sz w:val="12"/>
          <w:szCs w:val="12"/>
        </w:rPr>
        <w:t xml:space="preserve"> 2020 г. – в ценах 2018 г.</w:t>
      </w:r>
    </w:p>
    <w:p w:rsidR="005133CE" w:rsidRPr="00B03513" w:rsidRDefault="005133CE" w:rsidP="005133CE">
      <w:pPr>
        <w:ind w:left="142" w:hanging="142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B03513">
        <w:rPr>
          <w:rFonts w:ascii="Arial" w:hAnsi="Arial" w:cs="Arial"/>
          <w:color w:val="000000" w:themeColor="text1"/>
          <w:sz w:val="12"/>
          <w:szCs w:val="12"/>
          <w:vertAlign w:val="superscript"/>
        </w:rPr>
        <w:t>2)</w:t>
      </w:r>
      <w:r w:rsidRPr="00B03513">
        <w:rPr>
          <w:rFonts w:ascii="Arial" w:hAnsi="Arial" w:cs="Arial"/>
          <w:color w:val="000000" w:themeColor="text1"/>
          <w:sz w:val="12"/>
          <w:szCs w:val="12"/>
        </w:rPr>
        <w:t> Включая скот.</w:t>
      </w:r>
    </w:p>
    <w:p w:rsidR="005133CE" w:rsidRPr="00CF42BF" w:rsidRDefault="005133CE" w:rsidP="005133CE">
      <w:pPr>
        <w:ind w:left="142" w:hanging="142"/>
        <w:jc w:val="both"/>
        <w:rPr>
          <w:rFonts w:ascii="Arial" w:hAnsi="Arial" w:cs="Arial"/>
          <w:sz w:val="12"/>
          <w:szCs w:val="12"/>
        </w:rPr>
      </w:pPr>
    </w:p>
    <w:p w:rsidR="007C03A1" w:rsidRPr="005133CE" w:rsidRDefault="007C03A1" w:rsidP="005133CE">
      <w:bookmarkStart w:id="0" w:name="_GoBack"/>
      <w:bookmarkEnd w:id="0"/>
    </w:p>
    <w:sectPr w:rsidR="007C03A1" w:rsidRPr="005133CE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5133CE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5133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022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5B86-B5A8-4A43-9940-4FF36371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81</cp:revision>
  <cp:lastPrinted>2022-12-12T12:48:00Z</cp:lastPrinted>
  <dcterms:created xsi:type="dcterms:W3CDTF">2022-12-13T07:44:00Z</dcterms:created>
  <dcterms:modified xsi:type="dcterms:W3CDTF">2022-12-13T13:38:00Z</dcterms:modified>
</cp:coreProperties>
</file>