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1" w:rsidRPr="00F70E79" w:rsidRDefault="00120EB1" w:rsidP="00120EB1">
      <w:pPr>
        <w:pStyle w:val="ZAGG3"/>
        <w:pageBreakBefore/>
        <w:rPr>
          <w:rFonts w:cs="Arial"/>
          <w:color w:val="auto"/>
        </w:rPr>
      </w:pPr>
      <w:r w:rsidRPr="00F70E79">
        <w:rPr>
          <w:rFonts w:cs="Arial"/>
          <w:color w:val="auto"/>
        </w:rPr>
        <w:t>1</w:t>
      </w:r>
      <w:r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 xml:space="preserve">.8. Состояние взаиморасчетов организаций России </w:t>
      </w:r>
      <w:r w:rsidRPr="00F70E79">
        <w:rPr>
          <w:rFonts w:cs="Arial"/>
          <w:color w:val="auto"/>
        </w:rPr>
        <w:br/>
        <w:t>с хозяйствующими субъектами Беларуси</w:t>
      </w:r>
    </w:p>
    <w:p w:rsidR="00120EB1" w:rsidRPr="00F70E79" w:rsidRDefault="00120EB1" w:rsidP="00120EB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(по прямым хозяйственным договорам; миллионов российских рублей</w:t>
      </w:r>
      <w:r>
        <w:rPr>
          <w:rFonts w:ascii="Arial" w:hAnsi="Arial" w:cs="Arial"/>
          <w:sz w:val="14"/>
          <w:szCs w:val="14"/>
        </w:rPr>
        <w:t>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660"/>
        <w:gridCol w:w="660"/>
        <w:gridCol w:w="661"/>
        <w:gridCol w:w="661"/>
        <w:gridCol w:w="661"/>
        <w:gridCol w:w="713"/>
        <w:gridCol w:w="699"/>
      </w:tblGrid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bottom w:val="single" w:sz="6" w:space="0" w:color="000000"/>
            </w:tcBorders>
            <w:vAlign w:val="bottom"/>
          </w:tcPr>
          <w:p w:rsidR="00120EB1" w:rsidRPr="00761E01" w:rsidRDefault="00120EB1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bottom w:val="single" w:sz="6" w:space="0" w:color="000000"/>
            </w:tcBorders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70" w:type="dxa"/>
            <w:tcBorders>
              <w:bottom w:val="single" w:sz="6" w:space="0" w:color="000000"/>
            </w:tcBorders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0" w:type="dxa"/>
            <w:tcBorders>
              <w:bottom w:val="single" w:sz="6" w:space="0" w:color="000000"/>
            </w:tcBorders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Объем отгруженной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продукции (работ, услуг)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организаций России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организациям Беларуси </w:t>
            </w:r>
          </w:p>
        </w:tc>
        <w:tc>
          <w:tcPr>
            <w:tcW w:w="669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212 845</w:t>
            </w:r>
          </w:p>
        </w:tc>
        <w:tc>
          <w:tcPr>
            <w:tcW w:w="669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475 843</w:t>
            </w:r>
          </w:p>
        </w:tc>
        <w:tc>
          <w:tcPr>
            <w:tcW w:w="670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806 856</w:t>
            </w:r>
          </w:p>
        </w:tc>
        <w:tc>
          <w:tcPr>
            <w:tcW w:w="670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6"/>
                <w:sz w:val="14"/>
                <w:szCs w:val="14"/>
              </w:rPr>
              <w:t>1 170 470</w:t>
            </w:r>
          </w:p>
        </w:tc>
        <w:tc>
          <w:tcPr>
            <w:tcW w:w="670" w:type="dxa"/>
            <w:tcBorders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6"/>
                <w:sz w:val="14"/>
                <w:szCs w:val="14"/>
              </w:rPr>
              <w:t>1 163 425</w:t>
            </w:r>
          </w:p>
        </w:tc>
        <w:tc>
          <w:tcPr>
            <w:tcW w:w="72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1 000 590</w:t>
            </w: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1 619 055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Суммарная задолженность по обязательствам 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орган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заций России организациям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Беларуси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1 841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5 961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761E01">
              <w:rPr>
                <w:rFonts w:ascii="Arial" w:hAnsi="Arial" w:cs="Arial"/>
                <w:sz w:val="14"/>
                <w:szCs w:val="14"/>
              </w:rPr>
              <w:t> 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667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50 888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48 724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63 987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82 301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 xml:space="preserve">том числе </w:t>
            </w:r>
            <w:proofErr w:type="gramStart"/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61E01">
              <w:rPr>
                <w:rFonts w:ascii="Arial" w:hAnsi="Arial" w:cs="Arial"/>
                <w:sz w:val="14"/>
                <w:szCs w:val="14"/>
              </w:rPr>
              <w:t> 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183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91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1 392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1 612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3 097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Из суммарной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задолженности: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pStyle w:val="Noparagraphstyle"/>
              <w:spacing w:before="16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pStyle w:val="Noparagraphstyle"/>
              <w:spacing w:before="160" w:line="240" w:lineRule="auto"/>
              <w:ind w:right="28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pStyle w:val="Noparagraphstyle"/>
              <w:tabs>
                <w:tab w:val="left" w:pos="142"/>
              </w:tabs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за полученную продукцию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(кредиторская)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1 841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5 944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25 877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40 48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44 104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57 791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68 072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1 183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91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1 330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1 538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3 023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по полученным кредитам и займам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7 790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10 408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4 620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6 196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14 229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-368"/>
              </w:tabs>
              <w:spacing w:before="160"/>
              <w:ind w:left="-368" w:right="1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организаций Беларуси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организациям России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(дебиторская)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6 400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39 501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46 012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66 869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100 376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61E01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87 311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1 341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1 028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1 199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1 539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2 825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Превышение задолженн</w:t>
            </w:r>
            <w:r w:rsidRPr="00761E01">
              <w:rPr>
                <w:rFonts w:ascii="Arial" w:hAnsi="Arial" w:cs="Arial"/>
                <w:sz w:val="14"/>
                <w:szCs w:val="14"/>
              </w:rPr>
              <w:t>о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сти организаций Беларуси над задолженностью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им организаций России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за полученную продукцию 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4 559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33 557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20 135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26 38</w:t>
            </w: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bottom w:val="nil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56 272</w:t>
            </w:r>
          </w:p>
        </w:tc>
        <w:tc>
          <w:tcPr>
            <w:tcW w:w="72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29 870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19 239</w:t>
            </w:r>
          </w:p>
        </w:tc>
      </w:tr>
      <w:tr w:rsidR="00120EB1" w:rsidRPr="00F70E79" w:rsidTr="0064201E">
        <w:trPr>
          <w:trHeight w:val="60"/>
          <w:jc w:val="center"/>
        </w:trPr>
        <w:tc>
          <w:tcPr>
            <w:tcW w:w="1883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Превышение просроченной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 xml:space="preserve">задолженности организаций </w:t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br/>
              <w:t xml:space="preserve">Беларуси над просроченной </w:t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br/>
              <w:t>задолженностью им орган</w:t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>и</w:t>
            </w:r>
            <w:r w:rsidRPr="00761E01">
              <w:rPr>
                <w:rFonts w:ascii="Arial" w:hAnsi="Arial" w:cs="Arial"/>
                <w:spacing w:val="-4"/>
                <w:sz w:val="14"/>
                <w:szCs w:val="14"/>
              </w:rPr>
              <w:t>заций России за полученную продукцию</w:t>
            </w:r>
          </w:p>
        </w:tc>
        <w:tc>
          <w:tcPr>
            <w:tcW w:w="669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69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70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70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1E01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670" w:type="dxa"/>
            <w:tcBorders>
              <w:top w:val="nil"/>
              <w:bottom w:val="single" w:sz="6" w:space="0" w:color="auto"/>
            </w:tcBorders>
            <w:vAlign w:val="bottom"/>
          </w:tcPr>
          <w:p w:rsidR="00120EB1" w:rsidRPr="00761E01" w:rsidRDefault="00120EB1" w:rsidP="0064201E">
            <w:pPr>
              <w:spacing w:before="160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-131</w:t>
            </w:r>
          </w:p>
        </w:tc>
        <w:tc>
          <w:tcPr>
            <w:tcW w:w="723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0EB1" w:rsidRPr="00761E01" w:rsidRDefault="00120EB1" w:rsidP="0064201E">
            <w:pPr>
              <w:tabs>
                <w:tab w:val="left" w:pos="142"/>
              </w:tabs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-198</w:t>
            </w:r>
          </w:p>
        </w:tc>
      </w:tr>
    </w:tbl>
    <w:p w:rsidR="00120EB1" w:rsidRPr="00F70E79" w:rsidRDefault="00120EB1" w:rsidP="00120EB1">
      <w:pPr>
        <w:pStyle w:val="ZAGG3"/>
        <w:rPr>
          <w:rFonts w:cs="Arial"/>
          <w:color w:val="auto"/>
        </w:rPr>
      </w:pPr>
      <w:bookmarkStart w:id="0" w:name="_GoBack"/>
      <w:bookmarkEnd w:id="0"/>
    </w:p>
    <w:sectPr w:rsidR="00120EB1" w:rsidRPr="00F70E7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120EB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20E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53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EE7-FC38-4ECC-B3A4-79D5070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147</cp:revision>
  <cp:lastPrinted>2022-12-12T12:48:00Z</cp:lastPrinted>
  <dcterms:created xsi:type="dcterms:W3CDTF">2022-12-13T07:44:00Z</dcterms:created>
  <dcterms:modified xsi:type="dcterms:W3CDTF">2022-12-14T10:38:00Z</dcterms:modified>
</cp:coreProperties>
</file>